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585CD5" w14:textId="3CAA1CEC" w:rsidR="0059526F" w:rsidRPr="00AE4305" w:rsidRDefault="0059526F" w:rsidP="00AB025E">
      <w:pPr>
        <w:pStyle w:val="Title2"/>
        <w:spacing w:line="360" w:lineRule="auto"/>
        <w:jc w:val="center"/>
        <w:rPr>
          <w:b w:val="0"/>
          <w:sz w:val="32"/>
          <w:szCs w:val="32"/>
        </w:rPr>
      </w:pPr>
      <w:bookmarkStart w:id="0" w:name="_GoBack"/>
      <w:bookmarkEnd w:id="0"/>
      <w:r w:rsidRPr="00AE4305">
        <w:rPr>
          <w:b w:val="0"/>
          <w:sz w:val="32"/>
          <w:szCs w:val="32"/>
        </w:rPr>
        <w:t>Supporting Information</w:t>
      </w:r>
    </w:p>
    <w:p w14:paraId="2811AEFD" w14:textId="77777777" w:rsidR="001013F4" w:rsidRPr="00AE4305" w:rsidRDefault="001013F4" w:rsidP="00D91BCE">
      <w:pPr>
        <w:pStyle w:val="Tableofcontents"/>
      </w:pPr>
    </w:p>
    <w:p w14:paraId="6BEEAA20" w14:textId="77777777" w:rsidR="00F50B3E" w:rsidRPr="00AE4305" w:rsidRDefault="00F50B3E" w:rsidP="00D91BCE">
      <w:pPr>
        <w:pStyle w:val="Tableofcontents"/>
        <w:rPr>
          <w:i/>
          <w:iCs/>
        </w:rPr>
      </w:pPr>
      <w:r w:rsidRPr="00AE4305">
        <w:t xml:space="preserve">Advanced DNA-gold biointerface for PCR-free molecular detection of </w:t>
      </w:r>
      <w:r w:rsidRPr="00AE4305">
        <w:rPr>
          <w:i/>
          <w:iCs/>
        </w:rPr>
        <w:t>Leishmania infantum</w:t>
      </w:r>
    </w:p>
    <w:p w14:paraId="3E018A62" w14:textId="77777777" w:rsidR="00F50B3E" w:rsidRPr="00AE4305" w:rsidRDefault="00F50B3E" w:rsidP="00D91BCE">
      <w:pPr>
        <w:pStyle w:val="Tableofcontents"/>
      </w:pPr>
    </w:p>
    <w:p w14:paraId="5C2695B6" w14:textId="77777777" w:rsidR="00F50B3E" w:rsidRPr="00AE4305" w:rsidRDefault="00F50B3E" w:rsidP="00F50B3E">
      <w:pPr>
        <w:pStyle w:val="BBAuthorName"/>
        <w:spacing w:after="0"/>
        <w:jc w:val="both"/>
        <w:rPr>
          <w:lang w:val="it-IT"/>
        </w:rPr>
      </w:pPr>
      <w:r w:rsidRPr="00AE4305">
        <w:rPr>
          <w:bCs/>
          <w:lang w:val="it-IT"/>
        </w:rPr>
        <w:t>Paolo Calorenni</w:t>
      </w:r>
      <w:r w:rsidRPr="00AE4305">
        <w:rPr>
          <w:bCs/>
          <w:vertAlign w:val="superscript"/>
          <w:lang w:val="it-IT"/>
        </w:rPr>
        <w:t>1</w:t>
      </w:r>
      <w:r w:rsidRPr="00AE4305">
        <w:rPr>
          <w:vertAlign w:val="superscript"/>
          <w:lang w:val="it-IT"/>
        </w:rPr>
        <w:t>‡</w:t>
      </w:r>
      <w:r w:rsidRPr="00AE4305">
        <w:rPr>
          <w:bCs/>
          <w:lang w:val="it-IT"/>
        </w:rPr>
        <w:t>, Giovanni Bella</w:t>
      </w:r>
      <w:r w:rsidRPr="00AE4305">
        <w:rPr>
          <w:bCs/>
          <w:vertAlign w:val="superscript"/>
          <w:lang w:val="it-IT"/>
        </w:rPr>
        <w:t>1</w:t>
      </w:r>
      <w:r w:rsidRPr="00AE4305">
        <w:rPr>
          <w:vertAlign w:val="superscript"/>
          <w:lang w:val="it-IT"/>
        </w:rPr>
        <w:t>‡</w:t>
      </w:r>
      <w:r w:rsidRPr="00AE4305">
        <w:rPr>
          <w:bCs/>
          <w:lang w:val="it-IT"/>
        </w:rPr>
        <w:t>, Marco Sebastiano Nicolò</w:t>
      </w:r>
      <w:r w:rsidRPr="00AE4305">
        <w:rPr>
          <w:bCs/>
          <w:vertAlign w:val="superscript"/>
          <w:lang w:val="it-IT"/>
        </w:rPr>
        <w:t>1</w:t>
      </w:r>
      <w:r w:rsidRPr="00AE4305">
        <w:rPr>
          <w:bCs/>
          <w:lang w:val="it-IT"/>
        </w:rPr>
        <w:t>, Emanuele Luigi Sciuto</w:t>
      </w:r>
      <w:r w:rsidRPr="00AE4305">
        <w:rPr>
          <w:bCs/>
          <w:vertAlign w:val="superscript"/>
          <w:lang w:val="it-IT"/>
        </w:rPr>
        <w:t>1</w:t>
      </w:r>
      <w:r w:rsidRPr="00AE4305">
        <w:rPr>
          <w:bCs/>
          <w:lang w:val="it-IT"/>
        </w:rPr>
        <w:t>*, Maria Vittoria Balli</w:t>
      </w:r>
      <w:r w:rsidRPr="00AE4305">
        <w:rPr>
          <w:bCs/>
          <w:vertAlign w:val="superscript"/>
          <w:lang w:val="it-IT"/>
        </w:rPr>
        <w:t>2</w:t>
      </w:r>
      <w:r w:rsidRPr="00AE4305">
        <w:rPr>
          <w:bCs/>
          <w:lang w:val="it-IT"/>
        </w:rPr>
        <w:t>, Giovanni Valenti</w:t>
      </w:r>
      <w:r w:rsidRPr="00AE4305">
        <w:rPr>
          <w:bCs/>
          <w:vertAlign w:val="superscript"/>
          <w:lang w:val="it-IT"/>
        </w:rPr>
        <w:t>2</w:t>
      </w:r>
      <w:r w:rsidRPr="00AE4305">
        <w:rPr>
          <w:bCs/>
          <w:lang w:val="it-IT"/>
        </w:rPr>
        <w:t>, Tommaso Gritti</w:t>
      </w:r>
      <w:r w:rsidRPr="00AE4305">
        <w:rPr>
          <w:bCs/>
          <w:vertAlign w:val="superscript"/>
          <w:lang w:val="it-IT"/>
        </w:rPr>
        <w:t>3</w:t>
      </w:r>
      <w:r w:rsidRPr="00AE4305">
        <w:rPr>
          <w:bCs/>
          <w:lang w:val="it-IT"/>
        </w:rPr>
        <w:t>, Stefania Varani</w:t>
      </w:r>
      <w:r w:rsidRPr="00AE4305">
        <w:rPr>
          <w:bCs/>
          <w:vertAlign w:val="superscript"/>
          <w:lang w:val="it-IT"/>
        </w:rPr>
        <w:t>3</w:t>
      </w:r>
      <w:r w:rsidRPr="00AE4305">
        <w:rPr>
          <w:bCs/>
          <w:lang w:val="it-IT"/>
        </w:rPr>
        <w:t>, Luca Prodi</w:t>
      </w:r>
      <w:r w:rsidRPr="00AE4305">
        <w:rPr>
          <w:bCs/>
          <w:vertAlign w:val="superscript"/>
          <w:lang w:val="it-IT"/>
        </w:rPr>
        <w:t>2</w:t>
      </w:r>
      <w:r w:rsidRPr="00AE4305">
        <w:rPr>
          <w:bCs/>
          <w:lang w:val="it-IT"/>
        </w:rPr>
        <w:t xml:space="preserve"> and Sabrina Conoci</w:t>
      </w:r>
      <w:r w:rsidRPr="00AE4305">
        <w:rPr>
          <w:bCs/>
          <w:vertAlign w:val="superscript"/>
          <w:lang w:val="it-IT"/>
        </w:rPr>
        <w:t>1,2,4</w:t>
      </w:r>
    </w:p>
    <w:p w14:paraId="4F4A453A" w14:textId="77777777" w:rsidR="00F50B3E" w:rsidRPr="00AE4305" w:rsidRDefault="00F50B3E" w:rsidP="00F50B3E">
      <w:pPr>
        <w:pStyle w:val="BCAuthorAddress"/>
        <w:spacing w:after="0"/>
        <w:jc w:val="both"/>
        <w:rPr>
          <w:lang w:val="en-GB"/>
        </w:rPr>
      </w:pPr>
      <w:r w:rsidRPr="00AE4305">
        <w:rPr>
          <w:vertAlign w:val="superscript"/>
          <w:lang w:val="en-GB"/>
        </w:rPr>
        <w:t xml:space="preserve">1 </w:t>
      </w:r>
      <w:r w:rsidRPr="00AE4305">
        <w:rPr>
          <w:lang w:val="en-GB"/>
        </w:rPr>
        <w:t xml:space="preserve">Department of Chemical, Biological, Pharmaceutical and Environmental Sciences, University of Messina, </w:t>
      </w:r>
      <w:proofErr w:type="spellStart"/>
      <w:r w:rsidRPr="00AE4305">
        <w:rPr>
          <w:lang w:val="en-GB"/>
        </w:rPr>
        <w:t>Viale</w:t>
      </w:r>
      <w:proofErr w:type="spellEnd"/>
      <w:r w:rsidRPr="00AE4305">
        <w:rPr>
          <w:lang w:val="en-GB"/>
        </w:rPr>
        <w:t xml:space="preserve"> Ferdinando </w:t>
      </w:r>
      <w:proofErr w:type="spellStart"/>
      <w:r w:rsidRPr="00AE4305">
        <w:rPr>
          <w:lang w:val="en-GB"/>
        </w:rPr>
        <w:t>Stagno</w:t>
      </w:r>
      <w:proofErr w:type="spellEnd"/>
      <w:r w:rsidRPr="00AE4305">
        <w:rPr>
          <w:lang w:val="en-GB"/>
        </w:rPr>
        <w:t xml:space="preserve"> </w:t>
      </w:r>
      <w:proofErr w:type="spellStart"/>
      <w:r w:rsidRPr="00AE4305">
        <w:rPr>
          <w:lang w:val="en-GB"/>
        </w:rPr>
        <w:t>d’Alcontres</w:t>
      </w:r>
      <w:proofErr w:type="spellEnd"/>
      <w:r w:rsidRPr="00AE4305">
        <w:rPr>
          <w:lang w:val="en-GB"/>
        </w:rPr>
        <w:t xml:space="preserve"> 31, Messina, 98166 Italy.</w:t>
      </w:r>
    </w:p>
    <w:p w14:paraId="6F4EA14D" w14:textId="77777777" w:rsidR="00F50B3E" w:rsidRPr="00AE4305" w:rsidRDefault="00F50B3E" w:rsidP="00F50B3E">
      <w:pPr>
        <w:pStyle w:val="BCAuthorAddress"/>
        <w:spacing w:after="0"/>
        <w:jc w:val="both"/>
        <w:rPr>
          <w:lang w:val="en-GB"/>
        </w:rPr>
      </w:pPr>
      <w:r w:rsidRPr="00AE4305">
        <w:rPr>
          <w:vertAlign w:val="superscript"/>
          <w:lang w:val="en-GB"/>
        </w:rPr>
        <w:t>2</w:t>
      </w:r>
      <w:r w:rsidRPr="00AE4305">
        <w:rPr>
          <w:lang w:val="en-GB"/>
        </w:rPr>
        <w:t xml:space="preserve"> Department of Chemistry ‘‘Giacomo Ciamician’’, University of Bologna, Via Francesco </w:t>
      </w:r>
      <w:proofErr w:type="spellStart"/>
      <w:r w:rsidRPr="00AE4305">
        <w:rPr>
          <w:lang w:val="en-GB"/>
        </w:rPr>
        <w:t>Selmi</w:t>
      </w:r>
      <w:proofErr w:type="spellEnd"/>
      <w:r w:rsidRPr="00AE4305">
        <w:rPr>
          <w:lang w:val="en-GB"/>
        </w:rPr>
        <w:t xml:space="preserve"> 2, Bologna, 40126, Italy.</w:t>
      </w:r>
    </w:p>
    <w:p w14:paraId="368F0201" w14:textId="77777777" w:rsidR="00F50B3E" w:rsidRPr="00AE4305" w:rsidRDefault="00F50B3E" w:rsidP="00F50B3E">
      <w:pPr>
        <w:pStyle w:val="BCAuthorAddress"/>
        <w:spacing w:after="0"/>
        <w:jc w:val="both"/>
        <w:rPr>
          <w:lang w:val="en-GB"/>
        </w:rPr>
      </w:pPr>
      <w:r w:rsidRPr="00AE4305">
        <w:rPr>
          <w:vertAlign w:val="superscript"/>
          <w:lang w:val="en-GB"/>
        </w:rPr>
        <w:t xml:space="preserve">3 </w:t>
      </w:r>
      <w:r w:rsidRPr="00AE4305">
        <w:rPr>
          <w:lang w:val="en-GB"/>
        </w:rPr>
        <w:t xml:space="preserve">Department of Medical and Surgical Sciences, University of Bologna, Via </w:t>
      </w:r>
      <w:proofErr w:type="spellStart"/>
      <w:r w:rsidRPr="00AE4305">
        <w:rPr>
          <w:lang w:val="en-GB"/>
        </w:rPr>
        <w:t>Massarenti</w:t>
      </w:r>
      <w:proofErr w:type="spellEnd"/>
      <w:r w:rsidRPr="00AE4305">
        <w:rPr>
          <w:lang w:val="en-GB"/>
        </w:rPr>
        <w:t xml:space="preserve"> 9, Bologna, 40138 Italy.</w:t>
      </w:r>
    </w:p>
    <w:p w14:paraId="274CC418" w14:textId="77777777" w:rsidR="00F50B3E" w:rsidRPr="00AE4305" w:rsidRDefault="00F50B3E" w:rsidP="00F50B3E">
      <w:pPr>
        <w:pStyle w:val="BCAuthorAddress"/>
        <w:spacing w:after="0"/>
        <w:jc w:val="both"/>
        <w:rPr>
          <w:lang w:val="it-IT"/>
        </w:rPr>
      </w:pPr>
      <w:r w:rsidRPr="00AE4305">
        <w:rPr>
          <w:vertAlign w:val="superscript"/>
          <w:lang w:val="it-IT"/>
        </w:rPr>
        <w:t>4</w:t>
      </w:r>
      <w:r w:rsidRPr="00AE4305">
        <w:rPr>
          <w:lang w:val="it-IT"/>
        </w:rPr>
        <w:t xml:space="preserve"> URT LAB SENS DSFTM CNR Messina, Viale Ferdinando Stagno d’Alcontres 31, Messina, 98166, Italy.</w:t>
      </w:r>
    </w:p>
    <w:p w14:paraId="479F45B1" w14:textId="3C6B97ED" w:rsidR="004A7D3E" w:rsidRPr="00AE4305" w:rsidRDefault="004A7D3E" w:rsidP="00B90DF9">
      <w:pPr>
        <w:spacing w:line="360" w:lineRule="auto"/>
        <w:jc w:val="both"/>
        <w:rPr>
          <w:lang w:val="it-IT"/>
        </w:rPr>
      </w:pPr>
    </w:p>
    <w:p w14:paraId="300F8EBA" w14:textId="77777777" w:rsidR="00F83DD4" w:rsidRPr="00AE4305" w:rsidRDefault="00F83DD4" w:rsidP="00F83DD4">
      <w:pPr>
        <w:pStyle w:val="Head1"/>
        <w:jc w:val="both"/>
      </w:pPr>
      <w:r w:rsidRPr="00AE4305">
        <w:t xml:space="preserve">1. Background of CA and SFE analysis </w:t>
      </w:r>
    </w:p>
    <w:p w14:paraId="5FE343DE" w14:textId="77777777" w:rsidR="00F83DD4" w:rsidRPr="00AE4305" w:rsidRDefault="00F83DD4" w:rsidP="00F83DD4">
      <w:pPr>
        <w:pStyle w:val="Head1"/>
        <w:jc w:val="both"/>
      </w:pPr>
    </w:p>
    <w:p w14:paraId="2CAF94BC" w14:textId="10143747" w:rsidR="00F83DD4" w:rsidRPr="00AE4305" w:rsidRDefault="00F83DD4" w:rsidP="00F83DD4">
      <w:pPr>
        <w:spacing w:line="360" w:lineRule="auto"/>
        <w:jc w:val="both"/>
        <w:rPr>
          <w:lang w:val="en-GB"/>
        </w:rPr>
      </w:pPr>
      <w:r w:rsidRPr="00AE4305">
        <w:rPr>
          <w:lang w:val="en-GB"/>
        </w:rPr>
        <w:t>Contact angle measurements represent a fast and cheap way to evaluate the surface chemical properties of functionalized interfaces. CA is thermodynamically defined as function of a three-phase mechanical equilibrium that occurs in a solid-liquid-gas interface that is created by spotting a fluid drop on a solid surface.</w:t>
      </w:r>
      <w:r w:rsidRPr="00AE4305">
        <w:rPr>
          <w:vertAlign w:val="superscript"/>
        </w:rPr>
        <w:t xml:space="preserve">[1] </w:t>
      </w:r>
      <w:r w:rsidRPr="00AE4305">
        <w:rPr>
          <w:lang w:val="en-GB"/>
        </w:rPr>
        <w:t>This equilibrium is described by the Young's equation</w:t>
      </w:r>
      <w:r w:rsidRPr="00AE4305">
        <w:rPr>
          <w:vertAlign w:val="superscript"/>
        </w:rPr>
        <w:t>[2]</w:t>
      </w:r>
      <w:r w:rsidRPr="00AE4305">
        <w:rPr>
          <w:lang w:val="en-GB"/>
        </w:rPr>
        <w:t xml:space="preserve"> (1):</w:t>
      </w:r>
    </w:p>
    <w:p w14:paraId="66E9B827" w14:textId="076BFADF" w:rsidR="00F83DD4" w:rsidRPr="00AE4305" w:rsidRDefault="00F83DD4" w:rsidP="006863AE">
      <w:pPr>
        <w:spacing w:line="360" w:lineRule="auto"/>
        <w:jc w:val="center"/>
        <w:rPr>
          <w:lang w:val="en-GB"/>
        </w:rPr>
      </w:pPr>
      <w:proofErr w:type="spellStart"/>
      <w:r w:rsidRPr="00AE4305">
        <w:rPr>
          <w:lang w:val="en-GB"/>
        </w:rPr>
        <w:t>γlv</w:t>
      </w:r>
      <w:proofErr w:type="spellEnd"/>
      <w:r w:rsidRPr="00AE4305">
        <w:rPr>
          <w:lang w:val="en-GB"/>
        </w:rPr>
        <w:t xml:space="preserve"> cos </w:t>
      </w:r>
      <w:proofErr w:type="spellStart"/>
      <w:r w:rsidRPr="00AE4305">
        <w:rPr>
          <w:lang w:val="en-GB"/>
        </w:rPr>
        <w:t>θy</w:t>
      </w:r>
      <w:proofErr w:type="spellEnd"/>
      <w:r w:rsidRPr="00AE4305">
        <w:rPr>
          <w:lang w:val="en-GB"/>
        </w:rPr>
        <w:t xml:space="preserve"> = </w:t>
      </w:r>
      <w:proofErr w:type="spellStart"/>
      <w:r w:rsidRPr="00AE4305">
        <w:rPr>
          <w:lang w:val="en-GB"/>
        </w:rPr>
        <w:t>γsv</w:t>
      </w:r>
      <w:proofErr w:type="spellEnd"/>
      <w:r w:rsidRPr="00AE4305">
        <w:rPr>
          <w:lang w:val="en-GB"/>
        </w:rPr>
        <w:t xml:space="preserve"> – </w:t>
      </w:r>
      <w:proofErr w:type="spellStart"/>
      <w:r w:rsidRPr="00AE4305">
        <w:rPr>
          <w:lang w:val="en-GB"/>
        </w:rPr>
        <w:t>γsl</w:t>
      </w:r>
      <w:proofErr w:type="spellEnd"/>
      <w:r w:rsidRPr="00AE4305">
        <w:rPr>
          <w:lang w:val="en-GB"/>
        </w:rPr>
        <w:t xml:space="preserve"> (1)</w:t>
      </w:r>
    </w:p>
    <w:p w14:paraId="72523A0E" w14:textId="77777777" w:rsidR="006863AE" w:rsidRPr="00AE4305" w:rsidRDefault="006863AE" w:rsidP="00F83DD4">
      <w:pPr>
        <w:spacing w:line="360" w:lineRule="auto"/>
        <w:jc w:val="both"/>
        <w:rPr>
          <w:lang w:val="en-GB"/>
        </w:rPr>
      </w:pPr>
    </w:p>
    <w:p w14:paraId="2F4A916D" w14:textId="30C78BFD" w:rsidR="00F83DD4" w:rsidRPr="00AE4305" w:rsidRDefault="00F83DD4" w:rsidP="00F83DD4">
      <w:pPr>
        <w:spacing w:line="360" w:lineRule="auto"/>
        <w:jc w:val="both"/>
        <w:rPr>
          <w:lang w:val="en-GB"/>
        </w:rPr>
      </w:pPr>
      <w:r w:rsidRPr="00AE4305">
        <w:rPr>
          <w:lang w:val="en-GB"/>
        </w:rPr>
        <w:t xml:space="preserve">where </w:t>
      </w:r>
      <w:proofErr w:type="spellStart"/>
      <w:r w:rsidRPr="00AE4305">
        <w:rPr>
          <w:lang w:val="en-GB"/>
        </w:rPr>
        <w:t>γlv</w:t>
      </w:r>
      <w:proofErr w:type="spellEnd"/>
      <w:r w:rsidRPr="00AE4305">
        <w:rPr>
          <w:lang w:val="en-GB"/>
        </w:rPr>
        <w:t xml:space="preserve">, </w:t>
      </w:r>
      <w:proofErr w:type="spellStart"/>
      <w:r w:rsidRPr="00AE4305">
        <w:rPr>
          <w:lang w:val="en-GB"/>
        </w:rPr>
        <w:t>γsv</w:t>
      </w:r>
      <w:proofErr w:type="spellEnd"/>
      <w:r w:rsidRPr="00AE4305">
        <w:rPr>
          <w:lang w:val="en-GB"/>
        </w:rPr>
        <w:t xml:space="preserve"> and </w:t>
      </w:r>
      <w:proofErr w:type="spellStart"/>
      <w:r w:rsidRPr="00AE4305">
        <w:rPr>
          <w:lang w:val="en-GB"/>
        </w:rPr>
        <w:t>γsl</w:t>
      </w:r>
      <w:proofErr w:type="spellEnd"/>
      <w:r w:rsidRPr="00AE4305">
        <w:rPr>
          <w:lang w:val="en-GB"/>
        </w:rPr>
        <w:t xml:space="preserve"> represent, respectively, the liquid-vapor, solid-vapor and solid-liquid interfacial tensions and </w:t>
      </w:r>
      <w:proofErr w:type="spellStart"/>
      <w:r w:rsidRPr="00AE4305">
        <w:rPr>
          <w:lang w:val="en-GB"/>
        </w:rPr>
        <w:t>θy</w:t>
      </w:r>
      <w:proofErr w:type="spellEnd"/>
      <w:r w:rsidRPr="00AE4305">
        <w:rPr>
          <w:lang w:val="en-GB"/>
        </w:rPr>
        <w:t xml:space="preserve"> is the CA, as illustrated in </w:t>
      </w:r>
      <w:r w:rsidRPr="00AE4305">
        <w:rPr>
          <w:b/>
          <w:bCs/>
          <w:lang w:val="en-GB"/>
        </w:rPr>
        <w:t>Figure S1a</w:t>
      </w:r>
      <w:r w:rsidRPr="00AE4305">
        <w:rPr>
          <w:lang w:val="en-GB"/>
        </w:rPr>
        <w:t>. CA is primarily used to evaluate the surface wettability and morphology but, by controlling the variables related to the three-phase interface, CA could be used to study the surface isoelectric properties too.</w:t>
      </w:r>
    </w:p>
    <w:p w14:paraId="5AB9D398" w14:textId="77777777" w:rsidR="00F83DD4" w:rsidRPr="00AE4305" w:rsidRDefault="00F83DD4" w:rsidP="00F83DD4">
      <w:pPr>
        <w:spacing w:line="360" w:lineRule="auto"/>
        <w:jc w:val="both"/>
        <w:rPr>
          <w:lang w:val="en-G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3"/>
        <w:gridCol w:w="4299"/>
      </w:tblGrid>
      <w:tr w:rsidR="00F83DD4" w:rsidRPr="00AE4305" w14:paraId="3B2911DD" w14:textId="77777777" w:rsidTr="00AE33F3">
        <w:trPr>
          <w:jc w:val="center"/>
        </w:trPr>
        <w:tc>
          <w:tcPr>
            <w:tcW w:w="4794" w:type="dxa"/>
            <w:vAlign w:val="center"/>
          </w:tcPr>
          <w:p w14:paraId="25F7559F" w14:textId="6ADD1ECA" w:rsidR="00F83DD4" w:rsidRPr="00AE4305" w:rsidRDefault="00F83DD4" w:rsidP="00AE33F3">
            <w:pPr>
              <w:spacing w:line="360" w:lineRule="auto"/>
              <w:jc w:val="both"/>
              <w:rPr>
                <w:lang w:val="en-GB"/>
              </w:rPr>
            </w:pPr>
            <w:r w:rsidRPr="00AE4305">
              <w:rPr>
                <w:noProof/>
                <w:lang w:val="en-IN" w:eastAsia="en-IN"/>
              </w:rPr>
              <w:lastRenderedPageBreak/>
              <w:drawing>
                <wp:inline distT="0" distB="0" distL="0" distR="0" wp14:anchorId="4117F78C" wp14:editId="4F809086">
                  <wp:extent cx="2864953" cy="1283188"/>
                  <wp:effectExtent l="0" t="0" r="0" b="0"/>
                  <wp:docPr id="724173748" name="Immagine 72" descr="Immagine che contiene testo, schermata, diagramm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63259" name="Immagine 6" descr="Immagine che contiene testo, schermata, diagramma, design&#10;&#10;Descrizione generata automaticamente"/>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0750" r="44998" b="21749"/>
                          <a:stretch/>
                        </pic:blipFill>
                        <pic:spPr bwMode="auto">
                          <a:xfrm>
                            <a:off x="0" y="0"/>
                            <a:ext cx="2877714" cy="128890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66" w:type="dxa"/>
            <w:vAlign w:val="center"/>
          </w:tcPr>
          <w:p w14:paraId="1C9C81B7" w14:textId="77777777" w:rsidR="00F83DD4" w:rsidRPr="00AE4305" w:rsidRDefault="00F83DD4" w:rsidP="00AE33F3">
            <w:pPr>
              <w:spacing w:line="360" w:lineRule="auto"/>
              <w:jc w:val="both"/>
              <w:rPr>
                <w:lang w:val="en-GB"/>
              </w:rPr>
            </w:pPr>
            <w:r w:rsidRPr="00AE4305">
              <w:rPr>
                <w:noProof/>
                <w:lang w:val="en-IN" w:eastAsia="en-IN"/>
              </w:rPr>
              <w:drawing>
                <wp:inline distT="0" distB="0" distL="0" distR="0" wp14:anchorId="12353648" wp14:editId="1E701437">
                  <wp:extent cx="2230120" cy="1925782"/>
                  <wp:effectExtent l="0" t="0" r="0" b="0"/>
                  <wp:docPr id="2026423830"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57125" b="11023"/>
                          <a:stretch/>
                        </pic:blipFill>
                        <pic:spPr bwMode="auto">
                          <a:xfrm>
                            <a:off x="0" y="0"/>
                            <a:ext cx="2234421" cy="1929496"/>
                          </a:xfrm>
                          <a:prstGeom prst="rect">
                            <a:avLst/>
                          </a:prstGeom>
                          <a:noFill/>
                          <a:ln>
                            <a:noFill/>
                          </a:ln>
                          <a:extLst>
                            <a:ext uri="{53640926-AAD7-44D8-BBD7-CCE9431645EC}">
                              <a14:shadowObscured xmlns:a14="http://schemas.microsoft.com/office/drawing/2010/main"/>
                            </a:ext>
                          </a:extLst>
                        </pic:spPr>
                      </pic:pic>
                    </a:graphicData>
                  </a:graphic>
                </wp:inline>
              </w:drawing>
            </w:r>
            <w:r w:rsidRPr="00AE4305" w:rsidDel="00837ED4">
              <w:rPr>
                <w:lang w:val="it-IT"/>
              </w:rPr>
              <w:t xml:space="preserve"> </w:t>
            </w:r>
          </w:p>
        </w:tc>
      </w:tr>
      <w:tr w:rsidR="00F83DD4" w:rsidRPr="00AE4305" w14:paraId="15B3FCF6" w14:textId="77777777" w:rsidTr="00AE33F3">
        <w:trPr>
          <w:jc w:val="center"/>
        </w:trPr>
        <w:tc>
          <w:tcPr>
            <w:tcW w:w="4794" w:type="dxa"/>
          </w:tcPr>
          <w:p w14:paraId="319F1098" w14:textId="77777777" w:rsidR="00F83DD4" w:rsidRPr="00AE4305" w:rsidRDefault="00F83DD4" w:rsidP="00AE33F3">
            <w:pPr>
              <w:spacing w:line="360" w:lineRule="auto"/>
              <w:jc w:val="center"/>
              <w:rPr>
                <w:b/>
                <w:bCs/>
                <w:sz w:val="28"/>
                <w:szCs w:val="28"/>
                <w:lang w:val="en-GB"/>
              </w:rPr>
            </w:pPr>
            <w:r w:rsidRPr="00AE4305">
              <w:rPr>
                <w:b/>
                <w:bCs/>
                <w:sz w:val="28"/>
                <w:szCs w:val="28"/>
                <w:lang w:val="en-GB"/>
              </w:rPr>
              <w:t>a</w:t>
            </w:r>
          </w:p>
        </w:tc>
        <w:tc>
          <w:tcPr>
            <w:tcW w:w="4566" w:type="dxa"/>
          </w:tcPr>
          <w:p w14:paraId="3E4C71BC" w14:textId="77777777" w:rsidR="00F83DD4" w:rsidRPr="00AE4305" w:rsidRDefault="00F83DD4" w:rsidP="00AE33F3">
            <w:pPr>
              <w:spacing w:line="360" w:lineRule="auto"/>
              <w:jc w:val="center"/>
              <w:rPr>
                <w:b/>
                <w:bCs/>
                <w:sz w:val="28"/>
                <w:szCs w:val="28"/>
                <w:lang w:val="en-GB"/>
              </w:rPr>
            </w:pPr>
            <w:r w:rsidRPr="00AE4305">
              <w:rPr>
                <w:b/>
                <w:bCs/>
                <w:sz w:val="28"/>
                <w:szCs w:val="28"/>
                <w:lang w:val="en-GB"/>
              </w:rPr>
              <w:t>b</w:t>
            </w:r>
          </w:p>
        </w:tc>
      </w:tr>
    </w:tbl>
    <w:p w14:paraId="34FC1DAB" w14:textId="77777777" w:rsidR="00F83DD4" w:rsidRPr="00AE4305" w:rsidRDefault="00F83DD4" w:rsidP="00F83DD4">
      <w:pPr>
        <w:spacing w:line="360" w:lineRule="auto"/>
        <w:jc w:val="both"/>
        <w:rPr>
          <w:lang w:val="en-GB"/>
        </w:rPr>
      </w:pPr>
      <w:r w:rsidRPr="00AE4305">
        <w:rPr>
          <w:b/>
          <w:lang w:val="en-US"/>
        </w:rPr>
        <w:t xml:space="preserve">Figure S1. </w:t>
      </w:r>
      <w:r w:rsidRPr="00AE4305">
        <w:rPr>
          <w:b/>
          <w:bCs/>
          <w:lang w:val="en-GB"/>
        </w:rPr>
        <w:t xml:space="preserve">(a) </w:t>
      </w:r>
      <w:r w:rsidRPr="00AE4305">
        <w:rPr>
          <w:lang w:val="en-GB"/>
        </w:rPr>
        <w:t xml:space="preserve">Contact angle (θ) in a three-phases interface formed by the liquid droplet on a solid-biomaterial and the surrounding gas. </w:t>
      </w:r>
      <w:r w:rsidRPr="00AE4305">
        <w:rPr>
          <w:b/>
          <w:bCs/>
          <w:lang w:val="en-GB"/>
        </w:rPr>
        <w:t>(b)</w:t>
      </w:r>
      <w:r w:rsidRPr="00AE4305">
        <w:rPr>
          <w:lang w:val="en-GB"/>
        </w:rPr>
        <w:t xml:space="preserve"> Scheme of the electrical double layer (EDL) produced by the droplet and the exposed surface charged functional groups.</w:t>
      </w:r>
    </w:p>
    <w:p w14:paraId="470AFAB8" w14:textId="77777777" w:rsidR="00F83DD4" w:rsidRPr="00AE4305" w:rsidRDefault="00F83DD4" w:rsidP="00F83DD4">
      <w:pPr>
        <w:spacing w:line="360" w:lineRule="auto"/>
        <w:jc w:val="both"/>
        <w:rPr>
          <w:lang w:val="en-US"/>
        </w:rPr>
      </w:pPr>
    </w:p>
    <w:p w14:paraId="0B413745" w14:textId="77777777" w:rsidR="00F83DD4" w:rsidRPr="00AE4305" w:rsidRDefault="00F83DD4" w:rsidP="00F83DD4">
      <w:pPr>
        <w:spacing w:line="360" w:lineRule="auto"/>
        <w:jc w:val="both"/>
        <w:rPr>
          <w:lang w:val="en-GB"/>
        </w:rPr>
      </w:pPr>
      <w:r w:rsidRPr="00AE4305">
        <w:rPr>
          <w:lang w:val="en-GB"/>
        </w:rPr>
        <w:t>The study of correlation between wettability</w:t>
      </w:r>
      <w:r w:rsidRPr="00AE4305">
        <w:rPr>
          <w:vertAlign w:val="superscript"/>
        </w:rPr>
        <w:t>[3]</w:t>
      </w:r>
      <w:r w:rsidRPr="00AE4305">
        <w:rPr>
          <w:lang w:val="en-GB"/>
        </w:rPr>
        <w:t xml:space="preserve"> and CA allows to understand how the droplet diffuses on the solid substrate and to evaluate the droplet tendency to form surface interactions with the solid. Therefore, through this combined investigation is possible to obtain fundamental information on surface functionalization processes and applications based on phases interactions.</w:t>
      </w:r>
    </w:p>
    <w:p w14:paraId="5FF1FE0C" w14:textId="77777777" w:rsidR="00F83DD4" w:rsidRPr="00AE4305" w:rsidRDefault="00F83DD4" w:rsidP="00F83DD4">
      <w:pPr>
        <w:spacing w:line="360" w:lineRule="auto"/>
        <w:jc w:val="both"/>
        <w:rPr>
          <w:lang w:val="en-GB"/>
        </w:rPr>
      </w:pPr>
      <w:r w:rsidRPr="00AE4305">
        <w:rPr>
          <w:lang w:val="en-GB"/>
        </w:rPr>
        <w:t>The correlation between surface wettability and pH can be, also, used as valid tool for the study of isoelectric properties and charge density of functionalized interfaces. The spotting of a drop of an electrolyte solution onto an interface create an electric double layer (EDL</w:t>
      </w:r>
      <w:proofErr w:type="gramStart"/>
      <w:r w:rsidRPr="00AE4305">
        <w:rPr>
          <w:lang w:val="en-GB"/>
        </w:rPr>
        <w:t>)</w:t>
      </w:r>
      <w:r w:rsidRPr="00AE4305">
        <w:rPr>
          <w:vertAlign w:val="superscript"/>
        </w:rPr>
        <w:t>[</w:t>
      </w:r>
      <w:proofErr w:type="gramEnd"/>
      <w:r w:rsidRPr="00AE4305">
        <w:rPr>
          <w:vertAlign w:val="superscript"/>
        </w:rPr>
        <w:t>4]</w:t>
      </w:r>
      <w:r w:rsidRPr="00AE4305">
        <w:rPr>
          <w:lang w:val="en-GB"/>
        </w:rPr>
        <w:t xml:space="preserve">, as shown in </w:t>
      </w:r>
      <w:r w:rsidRPr="00AE4305">
        <w:rPr>
          <w:b/>
          <w:bCs/>
          <w:lang w:val="en-GB"/>
        </w:rPr>
        <w:t>Figure S1b</w:t>
      </w:r>
      <w:r w:rsidRPr="00AE4305">
        <w:rPr>
          <w:lang w:val="en-GB"/>
        </w:rPr>
        <w:t xml:space="preserve">. Within EDL, the combination of counterions of drop with the charges of functional groups exposed by the interface generates an electrostatic attractive force and a potential that at certain pH decrease to zero (potential of zero charge, PZC), identifying an isoelectric condition of the functionalized interface. Therefore, by tuning the pH of the drop solution is possible to modify the charges environment of EDL and the CA value as function of the isoelectric properties of the studied interface. </w:t>
      </w:r>
    </w:p>
    <w:p w14:paraId="61AC0419" w14:textId="77777777" w:rsidR="00F83DD4" w:rsidRPr="00AE4305" w:rsidRDefault="00F83DD4" w:rsidP="00F83DD4">
      <w:pPr>
        <w:spacing w:line="360" w:lineRule="auto"/>
        <w:jc w:val="both"/>
        <w:rPr>
          <w:lang w:val="en-GB"/>
        </w:rPr>
      </w:pPr>
      <w:r w:rsidRPr="00AE4305">
        <w:rPr>
          <w:lang w:val="en-GB"/>
        </w:rPr>
        <w:t xml:space="preserve">A last parameter that correlates both wettability and surface charges is the surface free energy (SFE) which measures the surface tension of a substrate. SFE arises from molecular interactions at the air-solid interface so that the higher SFE value the more hydrophilic is the solid surface. </w:t>
      </w:r>
    </w:p>
    <w:p w14:paraId="1F2628F2" w14:textId="77777777" w:rsidR="00F83DD4" w:rsidRPr="00AE4305" w:rsidRDefault="00F83DD4" w:rsidP="00F83DD4">
      <w:pPr>
        <w:spacing w:line="360" w:lineRule="auto"/>
        <w:jc w:val="both"/>
        <w:rPr>
          <w:lang w:val="en-GB"/>
        </w:rPr>
      </w:pPr>
      <w:r w:rsidRPr="00AE4305">
        <w:rPr>
          <w:lang w:val="en-GB"/>
        </w:rPr>
        <w:t>In our work to calculate the SFE of the functionalized biointerface we employed the Owens-Wendt-</w:t>
      </w:r>
      <w:proofErr w:type="spellStart"/>
      <w:r w:rsidRPr="00AE4305">
        <w:rPr>
          <w:lang w:val="en-GB"/>
        </w:rPr>
        <w:t>Rabel</w:t>
      </w:r>
      <w:proofErr w:type="spellEnd"/>
      <w:r w:rsidRPr="00AE4305">
        <w:rPr>
          <w:lang w:val="en-GB"/>
        </w:rPr>
        <w:t>-</w:t>
      </w:r>
      <w:proofErr w:type="spellStart"/>
      <w:r w:rsidRPr="00AE4305">
        <w:rPr>
          <w:lang w:val="en-GB"/>
        </w:rPr>
        <w:t>Kaelble</w:t>
      </w:r>
      <w:proofErr w:type="spellEnd"/>
      <w:r w:rsidRPr="00AE4305">
        <w:rPr>
          <w:lang w:val="en-GB"/>
        </w:rPr>
        <w:t xml:space="preserve"> (OWRK) model</w:t>
      </w:r>
      <w:r w:rsidRPr="00AE4305">
        <w:rPr>
          <w:vertAlign w:val="superscript"/>
        </w:rPr>
        <w:t>[5,6]</w:t>
      </w:r>
      <w:r w:rsidRPr="00AE4305">
        <w:rPr>
          <w:lang w:val="en-GB"/>
        </w:rPr>
        <w:t xml:space="preserve"> by which the surface tension of the liquid, </w:t>
      </w:r>
      <w:proofErr w:type="spellStart"/>
      <w:r w:rsidRPr="00AE4305">
        <w:rPr>
          <w:lang w:val="en-GB"/>
        </w:rPr>
        <w:t>γ</w:t>
      </w:r>
      <w:r w:rsidRPr="00AE4305">
        <w:rPr>
          <w:vertAlign w:val="subscript"/>
          <w:lang w:val="en-GB"/>
        </w:rPr>
        <w:t>LV</w:t>
      </w:r>
      <w:proofErr w:type="spellEnd"/>
      <w:r w:rsidRPr="00AE4305">
        <w:rPr>
          <w:lang w:val="en-GB"/>
        </w:rPr>
        <w:t>, is calculated by the sum of a dispersive component (</w:t>
      </w:r>
      <w:proofErr w:type="spellStart"/>
      <w:r w:rsidRPr="00AE4305">
        <w:rPr>
          <w:lang w:val="en-GB"/>
        </w:rPr>
        <w:t>γ</w:t>
      </w:r>
      <w:r w:rsidRPr="00AE4305">
        <w:rPr>
          <w:vertAlign w:val="superscript"/>
          <w:lang w:val="en-GB"/>
        </w:rPr>
        <w:t>D</w:t>
      </w:r>
      <w:r w:rsidRPr="00AE4305">
        <w:rPr>
          <w:vertAlign w:val="subscript"/>
          <w:lang w:val="en-GB"/>
        </w:rPr>
        <w:t>LV</w:t>
      </w:r>
      <w:proofErr w:type="spellEnd"/>
      <w:r w:rsidRPr="00AE4305">
        <w:rPr>
          <w:lang w:val="en-GB"/>
        </w:rPr>
        <w:t xml:space="preserve"> e.g. Van der Waals interactions) and a polar component (</w:t>
      </w:r>
      <w:proofErr w:type="spellStart"/>
      <w:r w:rsidRPr="00AE4305">
        <w:rPr>
          <w:lang w:val="en-GB"/>
        </w:rPr>
        <w:t>γ</w:t>
      </w:r>
      <w:r w:rsidRPr="00AE4305">
        <w:rPr>
          <w:vertAlign w:val="superscript"/>
          <w:lang w:val="en-GB"/>
        </w:rPr>
        <w:t>P</w:t>
      </w:r>
      <w:r w:rsidRPr="00AE4305">
        <w:rPr>
          <w:vertAlign w:val="subscript"/>
          <w:lang w:val="en-GB"/>
        </w:rPr>
        <w:t>LV</w:t>
      </w:r>
      <w:proofErr w:type="spellEnd"/>
      <w:r w:rsidRPr="00AE4305">
        <w:rPr>
          <w:lang w:val="en-GB"/>
        </w:rPr>
        <w:t>, e.g. hydrogen bonding). Also, the solid SFE (</w:t>
      </w:r>
      <w:proofErr w:type="spellStart"/>
      <w:r w:rsidRPr="00AE4305">
        <w:rPr>
          <w:lang w:val="en-GB"/>
        </w:rPr>
        <w:t>γ</w:t>
      </w:r>
      <w:r w:rsidRPr="00AE4305">
        <w:rPr>
          <w:vertAlign w:val="subscript"/>
          <w:lang w:val="en-GB"/>
        </w:rPr>
        <w:t>SV</w:t>
      </w:r>
      <w:proofErr w:type="spellEnd"/>
      <w:r w:rsidRPr="00AE4305">
        <w:rPr>
          <w:lang w:val="en-GB"/>
        </w:rPr>
        <w:t xml:space="preserve">) is a sum of dispersive </w:t>
      </w:r>
      <w:r w:rsidRPr="00AE4305">
        <w:rPr>
          <w:lang w:val="en-GB"/>
        </w:rPr>
        <w:lastRenderedPageBreak/>
        <w:t xml:space="preserve">and polar components such that </w:t>
      </w:r>
      <w:proofErr w:type="spellStart"/>
      <w:r w:rsidRPr="00AE4305">
        <w:rPr>
          <w:lang w:val="en-GB"/>
        </w:rPr>
        <w:t>γ</w:t>
      </w:r>
      <w:r w:rsidRPr="00AE4305">
        <w:rPr>
          <w:vertAlign w:val="subscript"/>
          <w:lang w:val="en-GB"/>
        </w:rPr>
        <w:t>SV</w:t>
      </w:r>
      <w:proofErr w:type="spellEnd"/>
      <w:r w:rsidRPr="00AE4305">
        <w:rPr>
          <w:lang w:val="en-GB"/>
        </w:rPr>
        <w:t xml:space="preserve"> = </w:t>
      </w:r>
      <w:proofErr w:type="spellStart"/>
      <w:r w:rsidRPr="00AE4305">
        <w:rPr>
          <w:lang w:val="en-GB"/>
        </w:rPr>
        <w:t>γ</w:t>
      </w:r>
      <w:r w:rsidRPr="00AE4305">
        <w:rPr>
          <w:vertAlign w:val="superscript"/>
          <w:lang w:val="en-GB"/>
        </w:rPr>
        <w:t>D</w:t>
      </w:r>
      <w:r w:rsidRPr="00AE4305">
        <w:rPr>
          <w:vertAlign w:val="subscript"/>
          <w:lang w:val="en-GB"/>
        </w:rPr>
        <w:t>SV</w:t>
      </w:r>
      <w:proofErr w:type="spellEnd"/>
      <w:r w:rsidRPr="00AE4305">
        <w:rPr>
          <w:lang w:val="en-GB"/>
        </w:rPr>
        <w:t xml:space="preserve"> + </w:t>
      </w:r>
      <w:proofErr w:type="spellStart"/>
      <w:r w:rsidRPr="00AE4305">
        <w:rPr>
          <w:lang w:val="en-GB"/>
        </w:rPr>
        <w:t>γ</w:t>
      </w:r>
      <w:r w:rsidRPr="00AE4305">
        <w:rPr>
          <w:vertAlign w:val="superscript"/>
          <w:lang w:val="en-GB"/>
        </w:rPr>
        <w:t>P</w:t>
      </w:r>
      <w:r w:rsidRPr="00AE4305">
        <w:rPr>
          <w:vertAlign w:val="subscript"/>
          <w:lang w:val="en-GB"/>
        </w:rPr>
        <w:t>SV</w:t>
      </w:r>
      <w:proofErr w:type="spellEnd"/>
      <w:r w:rsidRPr="00AE4305">
        <w:rPr>
          <w:lang w:val="en-GB"/>
        </w:rPr>
        <w:t>. The OWRK model, then, combines the liquid surface tension, solid SFE, and liquid-solid contact angle (θ) calculation into the following equation (2):</w:t>
      </w:r>
    </w:p>
    <w:p w14:paraId="15FD9B0B" w14:textId="77777777" w:rsidR="00F83DD4" w:rsidRPr="00AE4305" w:rsidRDefault="00113369" w:rsidP="00F83DD4">
      <w:pPr>
        <w:spacing w:line="360" w:lineRule="auto"/>
        <w:jc w:val="both"/>
        <w:rPr>
          <w:lang w:val="en-GB"/>
        </w:rPr>
      </w:pPr>
      <m:oMathPara>
        <m:oMath>
          <m:sSub>
            <m:sSubPr>
              <m:ctrlPr>
                <w:rPr>
                  <w:rFonts w:ascii="Cambria Math" w:hAnsi="Cambria Math"/>
                  <w:i/>
                  <w:lang w:val="en-GB"/>
                </w:rPr>
              </m:ctrlPr>
            </m:sSubPr>
            <m:e>
              <m:r>
                <w:rPr>
                  <w:rFonts w:ascii="Cambria Math" w:hAnsi="Cambria Math"/>
                  <w:lang w:val="en-GB"/>
                </w:rPr>
                <m:t>γ</m:t>
              </m:r>
            </m:e>
            <m:sub>
              <m:r>
                <w:rPr>
                  <w:rFonts w:ascii="Cambria Math" w:hAnsi="Cambria Math"/>
                  <w:lang w:val="en-GB"/>
                </w:rPr>
                <m:t>LV</m:t>
              </m:r>
            </m:sub>
          </m:sSub>
          <m:d>
            <m:dPr>
              <m:ctrlPr>
                <w:rPr>
                  <w:rFonts w:ascii="Cambria Math" w:hAnsi="Cambria Math"/>
                  <w:i/>
                  <w:lang w:val="en-GB"/>
                </w:rPr>
              </m:ctrlPr>
            </m:dPr>
            <m:e>
              <m:r>
                <w:rPr>
                  <w:rFonts w:ascii="Cambria Math" w:hAnsi="Cambria Math"/>
                  <w:lang w:val="en-GB"/>
                </w:rPr>
                <m:t>1+cosθ</m:t>
              </m:r>
            </m:e>
          </m:d>
          <m:r>
            <w:rPr>
              <w:rFonts w:ascii="Cambria Math" w:hAnsi="Cambria Math"/>
              <w:lang w:val="en-GB"/>
            </w:rPr>
            <m:t>=2[(</m:t>
          </m:r>
          <m:sSubSup>
            <m:sSubSupPr>
              <m:ctrlPr>
                <w:rPr>
                  <w:rFonts w:ascii="Cambria Math" w:hAnsi="Cambria Math"/>
                  <w:i/>
                  <w:lang w:val="en-GB"/>
                </w:rPr>
              </m:ctrlPr>
            </m:sSubSupPr>
            <m:e>
              <m:r>
                <w:rPr>
                  <w:rFonts w:ascii="Cambria Math" w:hAnsi="Cambria Math"/>
                  <w:lang w:val="en-GB"/>
                </w:rPr>
                <m:t>γ</m:t>
              </m:r>
            </m:e>
            <m:sub>
              <m:r>
                <w:rPr>
                  <w:rFonts w:ascii="Cambria Math" w:hAnsi="Cambria Math"/>
                  <w:lang w:val="en-GB"/>
                </w:rPr>
                <m:t>SV</m:t>
              </m:r>
            </m:sub>
            <m:sup>
              <m:r>
                <w:rPr>
                  <w:rFonts w:ascii="Cambria Math" w:hAnsi="Cambria Math"/>
                  <w:lang w:val="en-GB"/>
                </w:rPr>
                <m:t>D</m:t>
              </m:r>
            </m:sup>
          </m:sSubSup>
          <m:sSubSup>
            <m:sSubSupPr>
              <m:ctrlPr>
                <w:rPr>
                  <w:rFonts w:ascii="Cambria Math" w:hAnsi="Cambria Math"/>
                  <w:i/>
                  <w:lang w:val="en-GB"/>
                </w:rPr>
              </m:ctrlPr>
            </m:sSubSupPr>
            <m:e>
              <m:r>
                <w:rPr>
                  <w:rFonts w:ascii="Cambria Math" w:hAnsi="Cambria Math"/>
                  <w:lang w:val="en-GB"/>
                </w:rPr>
                <m:t>γ</m:t>
              </m:r>
            </m:e>
            <m:sub>
              <m:r>
                <w:rPr>
                  <w:rFonts w:ascii="Cambria Math" w:hAnsi="Cambria Math"/>
                  <w:lang w:val="en-GB"/>
                </w:rPr>
                <m:t>LV</m:t>
              </m:r>
            </m:sub>
            <m:sup>
              <m:r>
                <w:rPr>
                  <w:rFonts w:ascii="Cambria Math" w:hAnsi="Cambria Math"/>
                  <w:lang w:val="en-GB"/>
                </w:rPr>
                <m:t>D</m:t>
              </m:r>
            </m:sup>
          </m:sSubSup>
          <m:sSup>
            <m:sSupPr>
              <m:ctrlPr>
                <w:rPr>
                  <w:rFonts w:ascii="Cambria Math" w:hAnsi="Cambria Math"/>
                  <w:i/>
                  <w:lang w:val="en-GB"/>
                </w:rPr>
              </m:ctrlPr>
            </m:sSupPr>
            <m:e>
              <m:r>
                <w:rPr>
                  <w:rFonts w:ascii="Cambria Math" w:hAnsi="Cambria Math"/>
                  <w:lang w:val="en-GB"/>
                </w:rPr>
                <m:t>)</m:t>
              </m:r>
            </m:e>
            <m:sup>
              <m:f>
                <m:fPr>
                  <m:ctrlPr>
                    <w:rPr>
                      <w:rFonts w:ascii="Cambria Math" w:hAnsi="Cambria Math"/>
                      <w:i/>
                      <w:lang w:val="en-GB"/>
                    </w:rPr>
                  </m:ctrlPr>
                </m:fPr>
                <m:num>
                  <m:r>
                    <w:rPr>
                      <w:rFonts w:ascii="Cambria Math" w:hAnsi="Cambria Math"/>
                      <w:lang w:val="en-GB"/>
                    </w:rPr>
                    <m:t>1</m:t>
                  </m:r>
                </m:num>
                <m:den>
                  <m:r>
                    <w:rPr>
                      <w:rFonts w:ascii="Cambria Math" w:hAnsi="Cambria Math"/>
                      <w:lang w:val="en-GB"/>
                    </w:rPr>
                    <m:t>2</m:t>
                  </m:r>
                </m:den>
              </m:f>
            </m:sup>
          </m:s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γ</m:t>
              </m:r>
            </m:e>
            <m:sub>
              <m:r>
                <w:rPr>
                  <w:rFonts w:ascii="Cambria Math" w:hAnsi="Cambria Math"/>
                  <w:lang w:val="en-GB"/>
                </w:rPr>
                <m:t>SV</m:t>
              </m:r>
            </m:sub>
            <m:sup>
              <m:r>
                <w:rPr>
                  <w:rFonts w:ascii="Cambria Math" w:hAnsi="Cambria Math"/>
                  <w:lang w:val="en-GB"/>
                </w:rPr>
                <m:t>P</m:t>
              </m:r>
            </m:sup>
          </m:sSubSup>
          <m:sSubSup>
            <m:sSubSupPr>
              <m:ctrlPr>
                <w:rPr>
                  <w:rFonts w:ascii="Cambria Math" w:hAnsi="Cambria Math"/>
                  <w:i/>
                  <w:lang w:val="en-GB"/>
                </w:rPr>
              </m:ctrlPr>
            </m:sSubSupPr>
            <m:e>
              <m:r>
                <w:rPr>
                  <w:rFonts w:ascii="Cambria Math" w:hAnsi="Cambria Math"/>
                  <w:lang w:val="en-GB"/>
                </w:rPr>
                <m:t>γ</m:t>
              </m:r>
            </m:e>
            <m:sub>
              <m:r>
                <w:rPr>
                  <w:rFonts w:ascii="Cambria Math" w:hAnsi="Cambria Math"/>
                  <w:lang w:val="en-GB"/>
                </w:rPr>
                <m:t>LV</m:t>
              </m:r>
            </m:sub>
            <m:sup>
              <m:r>
                <w:rPr>
                  <w:rFonts w:ascii="Cambria Math" w:hAnsi="Cambria Math"/>
                  <w:lang w:val="en-GB"/>
                </w:rPr>
                <m:t>P</m:t>
              </m:r>
            </m:sup>
          </m:sSubSup>
          <m:sSup>
            <m:sSupPr>
              <m:ctrlPr>
                <w:rPr>
                  <w:rFonts w:ascii="Cambria Math" w:hAnsi="Cambria Math"/>
                  <w:i/>
                  <w:lang w:val="en-GB"/>
                </w:rPr>
              </m:ctrlPr>
            </m:sSupPr>
            <m:e>
              <m:r>
                <w:rPr>
                  <w:rFonts w:ascii="Cambria Math" w:hAnsi="Cambria Math"/>
                  <w:lang w:val="en-GB"/>
                </w:rPr>
                <m:t>)</m:t>
              </m:r>
            </m:e>
            <m:sup>
              <m:f>
                <m:fPr>
                  <m:ctrlPr>
                    <w:rPr>
                      <w:rFonts w:ascii="Cambria Math" w:hAnsi="Cambria Math"/>
                      <w:i/>
                      <w:lang w:val="en-GB"/>
                    </w:rPr>
                  </m:ctrlPr>
                </m:fPr>
                <m:num>
                  <m:r>
                    <w:rPr>
                      <w:rFonts w:ascii="Cambria Math" w:hAnsi="Cambria Math"/>
                      <w:lang w:val="en-GB"/>
                    </w:rPr>
                    <m:t>1</m:t>
                  </m:r>
                </m:num>
                <m:den>
                  <m:r>
                    <w:rPr>
                      <w:rFonts w:ascii="Cambria Math" w:hAnsi="Cambria Math"/>
                      <w:lang w:val="en-GB"/>
                    </w:rPr>
                    <m:t>2</m:t>
                  </m:r>
                </m:den>
              </m:f>
            </m:sup>
          </m:sSup>
          <m:r>
            <w:rPr>
              <w:rFonts w:ascii="Cambria Math" w:hAnsi="Cambria Math"/>
              <w:lang w:val="en-GB"/>
            </w:rPr>
            <m:t>] (2)</m:t>
          </m:r>
        </m:oMath>
      </m:oMathPara>
    </w:p>
    <w:p w14:paraId="3D31A147" w14:textId="77777777" w:rsidR="00F83DD4" w:rsidRPr="00AE4305" w:rsidRDefault="00F83DD4" w:rsidP="00F83DD4">
      <w:pPr>
        <w:spacing w:line="360" w:lineRule="auto"/>
        <w:jc w:val="both"/>
        <w:rPr>
          <w:lang w:val="en-GB"/>
        </w:rPr>
      </w:pPr>
    </w:p>
    <w:p w14:paraId="3405080C" w14:textId="77777777" w:rsidR="00F83DD4" w:rsidRPr="00AE4305" w:rsidRDefault="00F83DD4" w:rsidP="00F83DD4">
      <w:pPr>
        <w:spacing w:line="360" w:lineRule="auto"/>
        <w:jc w:val="both"/>
        <w:rPr>
          <w:lang w:val="en-GB"/>
        </w:rPr>
      </w:pPr>
      <w:r w:rsidRPr="00AE4305">
        <w:rPr>
          <w:lang w:val="en-GB"/>
        </w:rPr>
        <w:t xml:space="preserve">In this approach the solid is theoretically smooth and chemically homogeneous and the CA is measured from two liquids with known polar and dispersed fractions of SFE. </w:t>
      </w:r>
    </w:p>
    <w:p w14:paraId="40127360" w14:textId="77777777" w:rsidR="00F83DD4" w:rsidRPr="00AE4305" w:rsidRDefault="00F83DD4" w:rsidP="00F83DD4">
      <w:pPr>
        <w:spacing w:line="360" w:lineRule="auto"/>
        <w:jc w:val="both"/>
        <w:rPr>
          <w:lang w:val="en-GB"/>
        </w:rPr>
      </w:pPr>
      <w:r w:rsidRPr="00AE4305">
        <w:rPr>
          <w:lang w:val="en-GB"/>
        </w:rPr>
        <w:t xml:space="preserve">Every system strives to achieve equilibrium with a free energy state that is as low as possible. </w:t>
      </w:r>
    </w:p>
    <w:p w14:paraId="1EE0FA80" w14:textId="77777777" w:rsidR="00F83DD4" w:rsidRPr="00AE4305" w:rsidRDefault="00F83DD4" w:rsidP="00F83DD4">
      <w:pPr>
        <w:spacing w:line="360" w:lineRule="auto"/>
        <w:jc w:val="both"/>
        <w:rPr>
          <w:lang w:val="en-GB"/>
        </w:rPr>
      </w:pPr>
      <w:r w:rsidRPr="00AE4305">
        <w:rPr>
          <w:lang w:val="en-GB"/>
        </w:rPr>
        <w:t>Every system aspires to a state of equilibrium, solids, in particular, form an interface with a liquid to attempt to minimize free energy, therefore having a wettable surface</w:t>
      </w:r>
      <w:r w:rsidRPr="00AE4305">
        <w:rPr>
          <w:vertAlign w:val="superscript"/>
        </w:rPr>
        <w:t>[7]</w:t>
      </w:r>
      <w:r w:rsidRPr="00AE4305">
        <w:rPr>
          <w:lang w:val="en-GB"/>
        </w:rPr>
        <w:t>. Therefore, the SFE of a solid is closely related to its wettability, if high the surface of the solid will be wettable.</w:t>
      </w:r>
    </w:p>
    <w:p w14:paraId="37F6C50F" w14:textId="77777777" w:rsidR="00F83DD4" w:rsidRPr="00AE4305" w:rsidRDefault="00F83DD4" w:rsidP="00F83DD4">
      <w:pPr>
        <w:spacing w:line="360" w:lineRule="auto"/>
        <w:jc w:val="both"/>
        <w:rPr>
          <w:lang w:val="en-GB"/>
        </w:rPr>
      </w:pPr>
    </w:p>
    <w:p w14:paraId="10F2B202" w14:textId="77777777" w:rsidR="00F83DD4" w:rsidRPr="00AE4305" w:rsidRDefault="00F83DD4" w:rsidP="00F83DD4">
      <w:pPr>
        <w:spacing w:line="360" w:lineRule="auto"/>
        <w:jc w:val="both"/>
        <w:rPr>
          <w:b/>
          <w:bCs/>
          <w:lang w:val="it-IT"/>
        </w:rPr>
      </w:pPr>
      <w:r w:rsidRPr="00AE4305">
        <w:rPr>
          <w:b/>
          <w:bCs/>
          <w:lang w:val="it-IT"/>
        </w:rPr>
        <w:t>2. CA experimental data</w:t>
      </w:r>
    </w:p>
    <w:p w14:paraId="49A3BD3C" w14:textId="77777777" w:rsidR="00F83DD4" w:rsidRPr="00AE4305" w:rsidRDefault="00F83DD4" w:rsidP="00F83DD4">
      <w:pPr>
        <w:spacing w:line="360" w:lineRule="auto"/>
        <w:jc w:val="both"/>
        <w:rPr>
          <w:b/>
          <w:bCs/>
          <w:lang w:val="it-IT"/>
        </w:rPr>
      </w:pPr>
    </w:p>
    <w:p w14:paraId="299F7DB7" w14:textId="77777777" w:rsidR="00F83DD4" w:rsidRPr="00AE4305" w:rsidRDefault="00F83DD4" w:rsidP="00F83DD4">
      <w:pPr>
        <w:spacing w:line="360" w:lineRule="auto"/>
        <w:jc w:val="center"/>
        <w:rPr>
          <w:lang w:val="en-GB"/>
        </w:rPr>
      </w:pPr>
      <w:r w:rsidRPr="00AE4305">
        <w:rPr>
          <w:noProof/>
          <w:lang w:val="en-IN" w:eastAsia="en-IN"/>
        </w:rPr>
        <w:drawing>
          <wp:inline distT="0" distB="0" distL="0" distR="0" wp14:anchorId="4CC45454" wp14:editId="22E3E5E5">
            <wp:extent cx="4524112" cy="2204878"/>
            <wp:effectExtent l="0" t="0" r="0" b="5080"/>
            <wp:docPr id="1423004797"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73030" cy="2228719"/>
                    </a:xfrm>
                    <a:prstGeom prst="rect">
                      <a:avLst/>
                    </a:prstGeom>
                    <a:noFill/>
                  </pic:spPr>
                </pic:pic>
              </a:graphicData>
            </a:graphic>
          </wp:inline>
        </w:drawing>
      </w:r>
    </w:p>
    <w:p w14:paraId="66A6A3EE" w14:textId="77777777" w:rsidR="00F83DD4" w:rsidRPr="00AE4305" w:rsidRDefault="00F83DD4" w:rsidP="00F83DD4">
      <w:pPr>
        <w:spacing w:line="360" w:lineRule="auto"/>
        <w:jc w:val="both"/>
        <w:rPr>
          <w:lang w:val="en-GB"/>
        </w:rPr>
      </w:pPr>
      <w:r w:rsidRPr="00AE4305">
        <w:rPr>
          <w:b/>
          <w:bCs/>
          <w:lang w:val="en-GB"/>
        </w:rPr>
        <w:t>Figure S2.</w:t>
      </w:r>
      <w:r w:rsidRPr="00AE4305">
        <w:rPr>
          <w:lang w:val="en-GB"/>
        </w:rPr>
        <w:t xml:space="preserve"> LI probes average contact angles and standard deviations of four different trials (n=4) at various </w:t>
      </w:r>
      <w:proofErr w:type="spellStart"/>
      <w:r w:rsidRPr="00AE4305">
        <w:rPr>
          <w:lang w:val="en-GB"/>
        </w:rPr>
        <w:t>pH.</w:t>
      </w:r>
      <w:proofErr w:type="spellEnd"/>
    </w:p>
    <w:p w14:paraId="21EBC21F" w14:textId="77777777" w:rsidR="00F83DD4" w:rsidRPr="00AE4305" w:rsidRDefault="00F83DD4" w:rsidP="00F83DD4">
      <w:pPr>
        <w:spacing w:line="360" w:lineRule="auto"/>
        <w:jc w:val="center"/>
        <w:rPr>
          <w:lang w:val="en-GB"/>
        </w:rPr>
      </w:pPr>
      <w:r w:rsidRPr="00AE4305">
        <w:rPr>
          <w:noProof/>
          <w:lang w:val="en-IN" w:eastAsia="en-IN"/>
        </w:rPr>
        <w:drawing>
          <wp:inline distT="0" distB="0" distL="0" distR="0" wp14:anchorId="1BF751B1" wp14:editId="7A05C26C">
            <wp:extent cx="4414345" cy="2152145"/>
            <wp:effectExtent l="0" t="0" r="5715" b="635"/>
            <wp:docPr id="1876811552" name="Immagin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41176" cy="2165226"/>
                    </a:xfrm>
                    <a:prstGeom prst="rect">
                      <a:avLst/>
                    </a:prstGeom>
                    <a:noFill/>
                  </pic:spPr>
                </pic:pic>
              </a:graphicData>
            </a:graphic>
          </wp:inline>
        </w:drawing>
      </w:r>
    </w:p>
    <w:p w14:paraId="6C82DEE0" w14:textId="4F9B1222" w:rsidR="00F83DD4" w:rsidRPr="00AE4305" w:rsidRDefault="00224B19" w:rsidP="00F83DD4">
      <w:pPr>
        <w:spacing w:line="360" w:lineRule="auto"/>
        <w:jc w:val="both"/>
        <w:rPr>
          <w:lang w:val="en-GB"/>
        </w:rPr>
      </w:pPr>
      <w:r w:rsidRPr="00224B19">
        <w:rPr>
          <w:b/>
          <w:bCs/>
          <w:highlight w:val="yellow"/>
          <w:lang w:val="en-GB"/>
        </w:rPr>
        <w:lastRenderedPageBreak/>
        <w:t>Figure</w:t>
      </w:r>
      <w:r w:rsidR="00F83DD4" w:rsidRPr="00AE4305">
        <w:rPr>
          <w:b/>
          <w:bCs/>
          <w:lang w:val="en-GB"/>
        </w:rPr>
        <w:t xml:space="preserve"> S3.</w:t>
      </w:r>
      <w:r w:rsidR="00F83DD4" w:rsidRPr="00AE4305">
        <w:rPr>
          <w:lang w:val="en-GB"/>
        </w:rPr>
        <w:t xml:space="preserve"> LI probes-</w:t>
      </w:r>
      <w:proofErr w:type="spellStart"/>
      <w:r w:rsidR="00F83DD4" w:rsidRPr="00AE4305">
        <w:rPr>
          <w:lang w:val="en-GB"/>
        </w:rPr>
        <w:t>kDNA</w:t>
      </w:r>
      <w:proofErr w:type="spellEnd"/>
      <w:r w:rsidR="00F83DD4" w:rsidRPr="00AE4305">
        <w:rPr>
          <w:lang w:val="en-GB"/>
        </w:rPr>
        <w:t xml:space="preserve"> average contact angles and standard deviations of four different trials (n=4) at various </w:t>
      </w:r>
      <w:proofErr w:type="spellStart"/>
      <w:r w:rsidR="00F83DD4" w:rsidRPr="00AE4305">
        <w:rPr>
          <w:lang w:val="en-GB"/>
        </w:rPr>
        <w:t>pH.</w:t>
      </w:r>
      <w:proofErr w:type="spellEnd"/>
    </w:p>
    <w:p w14:paraId="73AD1961" w14:textId="77777777" w:rsidR="00F83DD4" w:rsidRPr="00AE4305" w:rsidRDefault="00F83DD4" w:rsidP="00F83DD4">
      <w:pPr>
        <w:spacing w:line="360" w:lineRule="auto"/>
        <w:jc w:val="center"/>
        <w:rPr>
          <w:lang w:val="it-IT"/>
        </w:rPr>
      </w:pPr>
      <w:r w:rsidRPr="00AE4305">
        <w:rPr>
          <w:noProof/>
          <w:lang w:val="en-IN" w:eastAsia="en-IN"/>
        </w:rPr>
        <w:drawing>
          <wp:inline distT="0" distB="0" distL="0" distR="0" wp14:anchorId="4A00A23E" wp14:editId="155D0BDA">
            <wp:extent cx="4303986" cy="2352234"/>
            <wp:effectExtent l="0" t="0" r="1905" b="0"/>
            <wp:docPr id="186907916" name="Immagin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35395" cy="2369400"/>
                    </a:xfrm>
                    <a:prstGeom prst="rect">
                      <a:avLst/>
                    </a:prstGeom>
                    <a:noFill/>
                  </pic:spPr>
                </pic:pic>
              </a:graphicData>
            </a:graphic>
          </wp:inline>
        </w:drawing>
      </w:r>
    </w:p>
    <w:p w14:paraId="52B38E8E" w14:textId="77777777" w:rsidR="00F83DD4" w:rsidRPr="00AE4305" w:rsidRDefault="00F83DD4" w:rsidP="00F83DD4">
      <w:pPr>
        <w:spacing w:line="360" w:lineRule="auto"/>
        <w:jc w:val="both"/>
        <w:rPr>
          <w:lang w:val="en-GB"/>
        </w:rPr>
      </w:pPr>
      <w:r w:rsidRPr="00AE4305">
        <w:rPr>
          <w:b/>
          <w:bCs/>
          <w:lang w:val="en-GB"/>
        </w:rPr>
        <w:t>Figure S4.</w:t>
      </w:r>
      <w:r w:rsidRPr="00AE4305">
        <w:rPr>
          <w:lang w:val="en-GB"/>
        </w:rPr>
        <w:t xml:space="preserve"> SFE analysis: water average contact angles and standard deviations of four different trials (n=4).</w:t>
      </w:r>
    </w:p>
    <w:p w14:paraId="4D70C237" w14:textId="77777777" w:rsidR="00F83DD4" w:rsidRPr="00AE4305" w:rsidRDefault="00F83DD4" w:rsidP="00F83DD4">
      <w:pPr>
        <w:spacing w:line="360" w:lineRule="auto"/>
        <w:jc w:val="center"/>
        <w:rPr>
          <w:lang w:val="en-GB"/>
        </w:rPr>
      </w:pPr>
      <w:r w:rsidRPr="00AE4305">
        <w:rPr>
          <w:noProof/>
          <w:lang w:val="en-IN" w:eastAsia="en-IN"/>
        </w:rPr>
        <w:drawing>
          <wp:inline distT="0" distB="0" distL="0" distR="0" wp14:anchorId="2D9C702E" wp14:editId="65886136">
            <wp:extent cx="4319752" cy="1685140"/>
            <wp:effectExtent l="0" t="0" r="5080" b="0"/>
            <wp:docPr id="1460549940"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48430" cy="1696327"/>
                    </a:xfrm>
                    <a:prstGeom prst="rect">
                      <a:avLst/>
                    </a:prstGeom>
                    <a:noFill/>
                  </pic:spPr>
                </pic:pic>
              </a:graphicData>
            </a:graphic>
          </wp:inline>
        </w:drawing>
      </w:r>
    </w:p>
    <w:p w14:paraId="79D78FA5" w14:textId="77777777" w:rsidR="00F83DD4" w:rsidRPr="00AE4305" w:rsidRDefault="00F83DD4" w:rsidP="00F83DD4">
      <w:pPr>
        <w:spacing w:line="360" w:lineRule="auto"/>
        <w:jc w:val="both"/>
        <w:rPr>
          <w:lang w:val="en-GB"/>
        </w:rPr>
      </w:pPr>
      <w:r w:rsidRPr="00AE4305">
        <w:rPr>
          <w:b/>
          <w:bCs/>
          <w:lang w:val="en-GB"/>
        </w:rPr>
        <w:t>Figure S5.</w:t>
      </w:r>
      <w:r w:rsidRPr="00AE4305">
        <w:rPr>
          <w:lang w:val="en-GB"/>
        </w:rPr>
        <w:t xml:space="preserve"> SFE analysis: diiodomethane average contact angles and standard deviations of four different trials (n=4).</w:t>
      </w:r>
    </w:p>
    <w:p w14:paraId="5DAE9AB6" w14:textId="77777777" w:rsidR="00F83DD4" w:rsidRPr="00AE4305" w:rsidRDefault="00F83DD4" w:rsidP="00F83DD4">
      <w:pPr>
        <w:spacing w:line="360" w:lineRule="auto"/>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F83DD4" w:rsidRPr="00AE4305" w14:paraId="49C2EEB1" w14:textId="77777777" w:rsidTr="00AE33F3">
        <w:tc>
          <w:tcPr>
            <w:tcW w:w="9628" w:type="dxa"/>
          </w:tcPr>
          <w:p w14:paraId="0E721601" w14:textId="77777777" w:rsidR="00F83DD4" w:rsidRPr="00AE4305" w:rsidRDefault="00F83DD4" w:rsidP="00AE33F3">
            <w:pPr>
              <w:spacing w:line="360" w:lineRule="auto"/>
              <w:jc w:val="center"/>
              <w:rPr>
                <w:lang w:val="en-GB"/>
              </w:rPr>
            </w:pPr>
            <w:bookmarkStart w:id="1" w:name="_Hlk168066933"/>
            <w:r w:rsidRPr="00AE4305">
              <w:rPr>
                <w:noProof/>
                <w:lang w:val="en-IN" w:eastAsia="en-IN"/>
              </w:rPr>
              <w:drawing>
                <wp:inline distT="0" distB="0" distL="0" distR="0" wp14:anchorId="3C063FEA" wp14:editId="56CED20B">
                  <wp:extent cx="3836873" cy="2609850"/>
                  <wp:effectExtent l="0" t="0" r="0" b="0"/>
                  <wp:docPr id="2066015101"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50338" b="11961"/>
                          <a:stretch/>
                        </pic:blipFill>
                        <pic:spPr bwMode="auto">
                          <a:xfrm>
                            <a:off x="0" y="0"/>
                            <a:ext cx="3894194" cy="264884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83DD4" w:rsidRPr="00AE4305" w14:paraId="3776E856" w14:textId="77777777" w:rsidTr="00AE33F3">
        <w:tc>
          <w:tcPr>
            <w:tcW w:w="9628" w:type="dxa"/>
          </w:tcPr>
          <w:p w14:paraId="564BDD55" w14:textId="77777777" w:rsidR="00F83DD4" w:rsidRPr="00AE4305" w:rsidRDefault="00F83DD4" w:rsidP="00AE33F3">
            <w:pPr>
              <w:spacing w:line="360" w:lineRule="auto"/>
              <w:jc w:val="center"/>
              <w:rPr>
                <w:b/>
                <w:bCs/>
                <w:sz w:val="28"/>
                <w:szCs w:val="28"/>
                <w:lang w:val="en-GB"/>
              </w:rPr>
            </w:pPr>
            <w:r w:rsidRPr="00AE4305">
              <w:rPr>
                <w:b/>
                <w:bCs/>
                <w:sz w:val="28"/>
                <w:szCs w:val="28"/>
                <w:lang w:val="en-GB"/>
              </w:rPr>
              <w:lastRenderedPageBreak/>
              <w:t>a</w:t>
            </w:r>
          </w:p>
        </w:tc>
      </w:tr>
      <w:tr w:rsidR="00F83DD4" w:rsidRPr="00AE4305" w14:paraId="313E9DC5" w14:textId="77777777" w:rsidTr="00AE33F3">
        <w:tc>
          <w:tcPr>
            <w:tcW w:w="9628" w:type="dxa"/>
          </w:tcPr>
          <w:p w14:paraId="67BBF8A4" w14:textId="77777777" w:rsidR="00F83DD4" w:rsidRPr="00AE4305" w:rsidRDefault="00F83DD4" w:rsidP="00AE33F3">
            <w:pPr>
              <w:spacing w:line="360" w:lineRule="auto"/>
              <w:jc w:val="center"/>
              <w:rPr>
                <w:b/>
                <w:bCs/>
                <w:lang w:val="en-GB"/>
              </w:rPr>
            </w:pPr>
            <w:r w:rsidRPr="00AE4305">
              <w:rPr>
                <w:b/>
                <w:bCs/>
                <w:noProof/>
                <w:lang w:val="en-IN" w:eastAsia="en-IN"/>
              </w:rPr>
              <w:drawing>
                <wp:inline distT="0" distB="0" distL="0" distR="0" wp14:anchorId="575CC843" wp14:editId="1D7B8B22">
                  <wp:extent cx="3759200" cy="2237251"/>
                  <wp:effectExtent l="0" t="0" r="0" b="0"/>
                  <wp:docPr id="425832637"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50900" b="11961"/>
                          <a:stretch/>
                        </pic:blipFill>
                        <pic:spPr bwMode="auto">
                          <a:xfrm>
                            <a:off x="0" y="0"/>
                            <a:ext cx="3812969" cy="226925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83DD4" w:rsidRPr="00AE4305" w14:paraId="49A4BB5A" w14:textId="77777777" w:rsidTr="00AE33F3">
        <w:tc>
          <w:tcPr>
            <w:tcW w:w="9628" w:type="dxa"/>
          </w:tcPr>
          <w:p w14:paraId="4A376183" w14:textId="77777777" w:rsidR="00F83DD4" w:rsidRPr="00AE4305" w:rsidRDefault="00F83DD4" w:rsidP="00AE33F3">
            <w:pPr>
              <w:spacing w:line="360" w:lineRule="auto"/>
              <w:jc w:val="center"/>
              <w:rPr>
                <w:b/>
                <w:bCs/>
                <w:sz w:val="28"/>
                <w:szCs w:val="28"/>
                <w:lang w:val="en-GB"/>
              </w:rPr>
            </w:pPr>
            <w:r w:rsidRPr="00AE4305">
              <w:rPr>
                <w:b/>
                <w:bCs/>
                <w:sz w:val="28"/>
                <w:szCs w:val="28"/>
                <w:lang w:val="en-GB"/>
              </w:rPr>
              <w:t>b</w:t>
            </w:r>
          </w:p>
        </w:tc>
      </w:tr>
    </w:tbl>
    <w:p w14:paraId="4FB44097" w14:textId="77777777" w:rsidR="00F83DD4" w:rsidRPr="00AE4305" w:rsidRDefault="00F83DD4" w:rsidP="00F83DD4">
      <w:pPr>
        <w:spacing w:line="360" w:lineRule="auto"/>
        <w:jc w:val="both"/>
        <w:rPr>
          <w:lang w:val="en-GB"/>
        </w:rPr>
      </w:pPr>
      <w:r w:rsidRPr="00AE4305">
        <w:rPr>
          <w:b/>
          <w:bCs/>
          <w:lang w:val="en-GB"/>
        </w:rPr>
        <w:t>Figure S6.</w:t>
      </w:r>
      <w:r w:rsidRPr="00AE4305">
        <w:rPr>
          <w:lang w:val="en-GB"/>
        </w:rPr>
        <w:t xml:space="preserve"> Wetting envelopes </w:t>
      </w:r>
      <w:bookmarkEnd w:id="1"/>
      <w:r w:rsidRPr="00AE4305">
        <w:rPr>
          <w:lang w:val="en-GB"/>
        </w:rPr>
        <w:t>for (a) Li probes and (a) LI probes-DNA in SFE analysis.</w:t>
      </w:r>
    </w:p>
    <w:p w14:paraId="511EB2FA" w14:textId="77777777" w:rsidR="00F83DD4" w:rsidRPr="00AE4305" w:rsidRDefault="00F83DD4" w:rsidP="00F83DD4">
      <w:pPr>
        <w:pStyle w:val="Head1"/>
        <w:jc w:val="both"/>
        <w:rPr>
          <w:lang w:val="en-GB"/>
        </w:rPr>
      </w:pPr>
      <w:r w:rsidRPr="00AE4305">
        <w:rPr>
          <w:lang w:val="en-GB"/>
        </w:rPr>
        <w:br w:type="page"/>
      </w:r>
    </w:p>
    <w:p w14:paraId="21C4FDA9" w14:textId="77777777" w:rsidR="00F83DD4" w:rsidRPr="00AE4305" w:rsidRDefault="00F83DD4" w:rsidP="00F83DD4">
      <w:pPr>
        <w:pStyle w:val="Head1"/>
        <w:jc w:val="both"/>
      </w:pPr>
      <w:r w:rsidRPr="00AE4305">
        <w:lastRenderedPageBreak/>
        <w:t xml:space="preserve">3. Electrode preparation for EIS analysis </w:t>
      </w:r>
    </w:p>
    <w:p w14:paraId="1D43F1E5" w14:textId="77777777" w:rsidR="00F83DD4" w:rsidRPr="00AE4305" w:rsidRDefault="00F83DD4" w:rsidP="00F83DD4">
      <w:pPr>
        <w:spacing w:line="360" w:lineRule="auto"/>
        <w:ind w:left="720"/>
        <w:jc w:val="both"/>
        <w:rPr>
          <w:b/>
          <w:lang w:val="en-US"/>
        </w:rPr>
      </w:pPr>
    </w:p>
    <w:p w14:paraId="52A3AC31" w14:textId="77777777" w:rsidR="00F83DD4" w:rsidRPr="00AE4305" w:rsidRDefault="00F83DD4" w:rsidP="00F83DD4">
      <w:pPr>
        <w:spacing w:line="360" w:lineRule="auto"/>
        <w:jc w:val="both"/>
        <w:rPr>
          <w:lang w:val="en-GB"/>
        </w:rPr>
      </w:pPr>
      <w:r w:rsidRPr="00AE4305">
        <w:rPr>
          <w:lang w:val="en-GB"/>
        </w:rPr>
        <w:t xml:space="preserve">A CHI101 gold electrode (CH Instruments) was functionalized as schemed in </w:t>
      </w:r>
      <w:r w:rsidRPr="00AE4305">
        <w:rPr>
          <w:b/>
          <w:bCs/>
          <w:lang w:val="en-GB"/>
        </w:rPr>
        <w:t>Figure S7</w:t>
      </w:r>
      <w:r w:rsidRPr="00AE4305">
        <w:rPr>
          <w:lang w:val="en-GB"/>
        </w:rPr>
        <w:t xml:space="preserve">. First, it has been polished with 0.3 and 0.05 </w:t>
      </w:r>
      <w:proofErr w:type="spellStart"/>
      <w:r w:rsidRPr="00AE4305">
        <w:rPr>
          <w:lang w:val="en-GB"/>
        </w:rPr>
        <w:t>μm</w:t>
      </w:r>
      <w:proofErr w:type="spellEnd"/>
      <w:r w:rsidRPr="00AE4305">
        <w:rPr>
          <w:lang w:val="en-GB"/>
        </w:rPr>
        <w:t xml:space="preserve"> alumina slurry (mechanical cleaning procedure), in order to obtain a mirror surface, and then washed by sonication in a 50:50 </w:t>
      </w:r>
      <w:proofErr w:type="spellStart"/>
      <w:r w:rsidRPr="00AE4305">
        <w:rPr>
          <w:lang w:val="en-GB"/>
        </w:rPr>
        <w:t>ethanol:deionized</w:t>
      </w:r>
      <w:proofErr w:type="spellEnd"/>
      <w:r w:rsidRPr="00AE4305">
        <w:rPr>
          <w:lang w:val="en-GB"/>
        </w:rPr>
        <w:t xml:space="preserve"> water solution for 5 min. Subsequently, an electrochemical cleaning procedure has been applied, upon performing 10 cycles of cyclic voltammetry in a solution of 0.5 M H</w:t>
      </w:r>
      <w:r w:rsidRPr="00AE4305">
        <w:rPr>
          <w:vertAlign w:val="subscript"/>
          <w:lang w:val="en-GB"/>
        </w:rPr>
        <w:t>2</w:t>
      </w:r>
      <w:r w:rsidRPr="00AE4305">
        <w:rPr>
          <w:lang w:val="en-GB"/>
        </w:rPr>
        <w:t>SO</w:t>
      </w:r>
      <w:r w:rsidRPr="00AE4305">
        <w:rPr>
          <w:vertAlign w:val="subscript"/>
          <w:lang w:val="en-GB"/>
        </w:rPr>
        <w:t>4</w:t>
      </w:r>
      <w:r w:rsidRPr="00AE4305">
        <w:rPr>
          <w:lang w:val="en-GB"/>
        </w:rPr>
        <w:t xml:space="preserve">, using a voltage range of −1V to +1 V and a scan rate of 0.1 V/s. After the CV, electrode surface was dried using a light flux of Ar. Then, the electrode was incubated with a 10 µM solution of thiol-modified probes, suspended in PBS 10 mM at pH=7.4, at 25°C for 4 h with 40 rpm of stirring. The once functionalized with probes SAM, the electrode surface was washed with PBS at pH 7.4 and incubated overnight with 10 </w:t>
      </w:r>
      <w:proofErr w:type="spellStart"/>
      <w:r w:rsidRPr="00AE4305">
        <w:rPr>
          <w:lang w:val="en-GB"/>
        </w:rPr>
        <w:t>μΜ</w:t>
      </w:r>
      <w:proofErr w:type="spellEnd"/>
      <w:r w:rsidRPr="00AE4305">
        <w:rPr>
          <w:lang w:val="en-GB"/>
        </w:rPr>
        <w:t xml:space="preserve"> of C</w:t>
      </w:r>
      <w:r w:rsidRPr="00AE4305">
        <w:rPr>
          <w:vertAlign w:val="subscript"/>
          <w:lang w:val="en-GB"/>
        </w:rPr>
        <w:t>6</w:t>
      </w:r>
      <w:r w:rsidRPr="00AE4305">
        <w:rPr>
          <w:lang w:val="en-GB"/>
        </w:rPr>
        <w:t>H</w:t>
      </w:r>
      <w:r w:rsidRPr="00AE4305">
        <w:rPr>
          <w:vertAlign w:val="subscript"/>
          <w:lang w:val="en-GB"/>
        </w:rPr>
        <w:t>14</w:t>
      </w:r>
      <w:r w:rsidRPr="00AE4305">
        <w:rPr>
          <w:lang w:val="en-GB"/>
        </w:rPr>
        <w:t xml:space="preserve">OS, dissolved in 0.01 M PBS, used to block the uncover sites of the surface and stabilize the </w:t>
      </w:r>
      <w:bookmarkStart w:id="2" w:name="_Hlk171942220"/>
      <w:r w:rsidRPr="00AE4305">
        <w:rPr>
          <w:lang w:val="en-GB"/>
        </w:rPr>
        <w:t xml:space="preserve">assembled layer of probes. Subsequently, a washing step with PBS buffer was used to remove the unbound probes. For the hybridization, the probe-gold biointerface assembled on the electrode surface was dipped in </w:t>
      </w:r>
      <w:proofErr w:type="spellStart"/>
      <w:r w:rsidRPr="00AE4305">
        <w:rPr>
          <w:lang w:val="en-GB"/>
        </w:rPr>
        <w:t>kDNA</w:t>
      </w:r>
      <w:proofErr w:type="spellEnd"/>
      <w:r w:rsidRPr="00AE4305">
        <w:rPr>
          <w:lang w:val="en-GB"/>
        </w:rPr>
        <w:t xml:space="preserve"> solution of 10</w:t>
      </w:r>
      <w:r w:rsidRPr="00AE4305">
        <w:rPr>
          <w:vertAlign w:val="superscript"/>
          <w:lang w:val="en-GB"/>
        </w:rPr>
        <w:t>7</w:t>
      </w:r>
      <w:r w:rsidRPr="00AE4305">
        <w:rPr>
          <w:lang w:val="en-GB"/>
        </w:rPr>
        <w:t xml:space="preserve"> copies/μL in PBS at pH 5.5 and incubated at 50 °C for 3.5 h. Lastly</w:t>
      </w:r>
      <w:bookmarkEnd w:id="2"/>
      <w:r w:rsidRPr="00AE4305">
        <w:rPr>
          <w:lang w:val="en-GB"/>
        </w:rPr>
        <w:t xml:space="preserve">, a washing step with PBS buffer removed the unbound </w:t>
      </w:r>
      <w:proofErr w:type="spellStart"/>
      <w:r w:rsidRPr="00AE4305">
        <w:rPr>
          <w:lang w:val="en-GB"/>
        </w:rPr>
        <w:t>kDNA</w:t>
      </w:r>
      <w:proofErr w:type="spellEnd"/>
      <w:r w:rsidRPr="00AE4305">
        <w:rPr>
          <w:lang w:val="en-GB"/>
        </w:rPr>
        <w:t>. For the cross-reactivity test, the probes-modified electrode has been incubated with 10</w:t>
      </w:r>
      <w:r w:rsidRPr="00AE4305">
        <w:rPr>
          <w:vertAlign w:val="superscript"/>
          <w:lang w:val="en-GB"/>
        </w:rPr>
        <w:t xml:space="preserve">4 </w:t>
      </w:r>
      <w:r w:rsidRPr="00AE4305">
        <w:rPr>
          <w:lang w:val="en-GB"/>
        </w:rPr>
        <w:t>copies/μL dsDNA genome of Hepatitis-B Virus (HBV) used as unspecific (US) target.</w:t>
      </w:r>
    </w:p>
    <w:p w14:paraId="6C11B102" w14:textId="77777777" w:rsidR="00F83DD4" w:rsidRPr="00AE4305" w:rsidRDefault="00F83DD4" w:rsidP="00F83DD4">
      <w:pPr>
        <w:spacing w:line="360" w:lineRule="auto"/>
        <w:jc w:val="both"/>
        <w:rPr>
          <w:b/>
          <w:lang w:val="it-IT"/>
        </w:rPr>
      </w:pPr>
      <w:r w:rsidRPr="00AE4305">
        <w:rPr>
          <w:b/>
          <w:noProof/>
          <w:lang w:val="en-IN" w:eastAsia="en-IN"/>
        </w:rPr>
        <w:drawing>
          <wp:inline distT="0" distB="0" distL="0" distR="0" wp14:anchorId="27955432" wp14:editId="26CBC886">
            <wp:extent cx="5744729" cy="2392680"/>
            <wp:effectExtent l="0" t="0" r="0" b="0"/>
            <wp:docPr id="809805863"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72812" cy="2404376"/>
                    </a:xfrm>
                    <a:prstGeom prst="rect">
                      <a:avLst/>
                    </a:prstGeom>
                    <a:noFill/>
                  </pic:spPr>
                </pic:pic>
              </a:graphicData>
            </a:graphic>
          </wp:inline>
        </w:drawing>
      </w:r>
    </w:p>
    <w:p w14:paraId="7DC0986D" w14:textId="77777777" w:rsidR="00F83DD4" w:rsidRPr="00AE4305" w:rsidRDefault="00F83DD4" w:rsidP="00F83DD4">
      <w:pPr>
        <w:spacing w:line="360" w:lineRule="auto"/>
        <w:jc w:val="both"/>
        <w:rPr>
          <w:bCs/>
          <w:lang w:val="en-GB"/>
        </w:rPr>
      </w:pPr>
      <w:r w:rsidRPr="00AE4305">
        <w:rPr>
          <w:b/>
          <w:lang w:val="en-GB"/>
        </w:rPr>
        <w:t xml:space="preserve">Figure S7. </w:t>
      </w:r>
      <w:r w:rsidRPr="00AE4305">
        <w:rPr>
          <w:bCs/>
          <w:lang w:val="en-GB"/>
        </w:rPr>
        <w:t xml:space="preserve">CH101 gold electrode functionalization with capture probes and </w:t>
      </w:r>
      <w:proofErr w:type="spellStart"/>
      <w:r w:rsidRPr="00AE4305">
        <w:rPr>
          <w:bCs/>
          <w:lang w:val="en-GB"/>
        </w:rPr>
        <w:t>kDNA</w:t>
      </w:r>
      <w:proofErr w:type="spellEnd"/>
      <w:r w:rsidRPr="00AE4305">
        <w:rPr>
          <w:bCs/>
          <w:lang w:val="en-GB"/>
        </w:rPr>
        <w:t>.</w:t>
      </w:r>
    </w:p>
    <w:p w14:paraId="60A493CB" w14:textId="77777777" w:rsidR="00F83DD4" w:rsidRPr="00AE4305" w:rsidRDefault="00F83DD4" w:rsidP="00F83DD4">
      <w:pPr>
        <w:spacing w:line="360" w:lineRule="auto"/>
        <w:jc w:val="both"/>
        <w:rPr>
          <w:bCs/>
          <w:lang w:val="en-GB"/>
        </w:rPr>
      </w:pPr>
    </w:p>
    <w:p w14:paraId="24C6B8E0" w14:textId="77777777" w:rsidR="00F83DD4" w:rsidRPr="00AE4305" w:rsidRDefault="00F83DD4" w:rsidP="00F83DD4">
      <w:pPr>
        <w:spacing w:line="360" w:lineRule="auto"/>
        <w:jc w:val="both"/>
        <w:rPr>
          <w:bCs/>
          <w:lang w:val="en-GB"/>
        </w:rPr>
      </w:pPr>
    </w:p>
    <w:p w14:paraId="76AF32F4" w14:textId="77777777" w:rsidR="00F83DD4" w:rsidRPr="00AE4305" w:rsidRDefault="00F83DD4" w:rsidP="00F83DD4">
      <w:pPr>
        <w:spacing w:line="360" w:lineRule="auto"/>
        <w:jc w:val="both"/>
        <w:rPr>
          <w:bCs/>
          <w:lang w:val="en-GB"/>
        </w:rPr>
      </w:pPr>
    </w:p>
    <w:p w14:paraId="3A42A2B7" w14:textId="77777777" w:rsidR="00F83DD4" w:rsidRPr="00AE4305" w:rsidRDefault="00F83DD4" w:rsidP="00F83DD4">
      <w:pPr>
        <w:spacing w:line="360" w:lineRule="auto"/>
        <w:jc w:val="both"/>
        <w:rPr>
          <w:bCs/>
          <w:lang w:val="en-GB"/>
        </w:rPr>
      </w:pPr>
    </w:p>
    <w:p w14:paraId="29692BDC" w14:textId="77777777" w:rsidR="00F83DD4" w:rsidRPr="00AE4305" w:rsidRDefault="00F83DD4" w:rsidP="00F83DD4">
      <w:pPr>
        <w:spacing w:line="360" w:lineRule="auto"/>
        <w:jc w:val="both"/>
        <w:rPr>
          <w:bCs/>
          <w:lang w:val="en-GB"/>
        </w:rPr>
      </w:pPr>
    </w:p>
    <w:p w14:paraId="42C4678B" w14:textId="77777777" w:rsidR="00F83DD4" w:rsidRPr="00AE4305" w:rsidRDefault="00F83DD4" w:rsidP="00F83DD4">
      <w:pPr>
        <w:spacing w:line="360" w:lineRule="auto"/>
        <w:jc w:val="both"/>
        <w:rPr>
          <w:b/>
          <w:lang w:val="en-GB"/>
        </w:rPr>
      </w:pPr>
      <w:r w:rsidRPr="00AE4305">
        <w:rPr>
          <w:b/>
          <w:lang w:val="en-GB"/>
        </w:rPr>
        <w:lastRenderedPageBreak/>
        <w:t>4. EIS additional analyses</w:t>
      </w:r>
    </w:p>
    <w:p w14:paraId="03C52A6C" w14:textId="77777777" w:rsidR="00F83DD4" w:rsidRPr="00AE4305" w:rsidRDefault="00F83DD4" w:rsidP="00F83DD4">
      <w:pPr>
        <w:spacing w:line="360" w:lineRule="auto"/>
        <w:ind w:left="360"/>
        <w:jc w:val="both"/>
        <w:rPr>
          <w:b/>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0"/>
        <w:gridCol w:w="4522"/>
      </w:tblGrid>
      <w:tr w:rsidR="00F83DD4" w:rsidRPr="00AE4305" w14:paraId="3EAB5883" w14:textId="77777777" w:rsidTr="00AE33F3">
        <w:tc>
          <w:tcPr>
            <w:tcW w:w="4814" w:type="dxa"/>
          </w:tcPr>
          <w:p w14:paraId="3DF92C6E" w14:textId="77777777" w:rsidR="00F83DD4" w:rsidRPr="00AE4305" w:rsidRDefault="00F83DD4" w:rsidP="00AE33F3">
            <w:pPr>
              <w:spacing w:line="360" w:lineRule="auto"/>
              <w:jc w:val="both"/>
              <w:rPr>
                <w:bCs/>
                <w:lang w:val="en-GB"/>
              </w:rPr>
            </w:pPr>
            <w:r w:rsidRPr="00AE4305">
              <w:rPr>
                <w:bCs/>
                <w:noProof/>
                <w:lang w:val="en-IN" w:eastAsia="en-IN"/>
              </w:rPr>
              <w:drawing>
                <wp:inline distT="0" distB="0" distL="0" distR="0" wp14:anchorId="72D885A8" wp14:editId="1D05D626">
                  <wp:extent cx="2853374" cy="2123440"/>
                  <wp:effectExtent l="0" t="0" r="4445" b="0"/>
                  <wp:docPr id="1526691362"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815" t="9394" r="9775" b="5642"/>
                          <a:stretch/>
                        </pic:blipFill>
                        <pic:spPr bwMode="auto">
                          <a:xfrm>
                            <a:off x="0" y="0"/>
                            <a:ext cx="2867260" cy="21337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14" w:type="dxa"/>
          </w:tcPr>
          <w:p w14:paraId="1B2A3E79" w14:textId="77777777" w:rsidR="00F83DD4" w:rsidRPr="00AE4305" w:rsidRDefault="00F83DD4" w:rsidP="00AE33F3">
            <w:pPr>
              <w:spacing w:line="360" w:lineRule="auto"/>
              <w:jc w:val="both"/>
              <w:rPr>
                <w:bCs/>
                <w:lang w:val="en-GB"/>
              </w:rPr>
            </w:pPr>
            <w:r w:rsidRPr="00AE4305">
              <w:rPr>
                <w:bCs/>
                <w:noProof/>
                <w:lang w:val="en-IN" w:eastAsia="en-IN"/>
              </w:rPr>
              <w:drawing>
                <wp:inline distT="0" distB="0" distL="0" distR="0" wp14:anchorId="635ADAF9" wp14:editId="0DEECB9C">
                  <wp:extent cx="2833984" cy="2123440"/>
                  <wp:effectExtent l="0" t="0" r="5080" b="0"/>
                  <wp:docPr id="10290846" name="Immagin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971" t="8782" r="9773" b="5822"/>
                          <a:stretch/>
                        </pic:blipFill>
                        <pic:spPr bwMode="auto">
                          <a:xfrm>
                            <a:off x="0" y="0"/>
                            <a:ext cx="2839385" cy="212748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83DD4" w:rsidRPr="00AE4305" w14:paraId="7ED184DB" w14:textId="77777777" w:rsidTr="00AE33F3">
        <w:tc>
          <w:tcPr>
            <w:tcW w:w="4814" w:type="dxa"/>
          </w:tcPr>
          <w:p w14:paraId="4E6F680A" w14:textId="77777777" w:rsidR="00F83DD4" w:rsidRPr="00AE4305" w:rsidRDefault="00F83DD4" w:rsidP="00AE33F3">
            <w:pPr>
              <w:spacing w:line="360" w:lineRule="auto"/>
              <w:jc w:val="center"/>
              <w:rPr>
                <w:b/>
                <w:sz w:val="28"/>
                <w:szCs w:val="28"/>
                <w:lang w:val="en-GB"/>
              </w:rPr>
            </w:pPr>
            <w:r w:rsidRPr="00AE4305">
              <w:rPr>
                <w:b/>
                <w:sz w:val="28"/>
                <w:szCs w:val="28"/>
                <w:lang w:val="en-GB"/>
              </w:rPr>
              <w:t>a</w:t>
            </w:r>
          </w:p>
        </w:tc>
        <w:tc>
          <w:tcPr>
            <w:tcW w:w="4814" w:type="dxa"/>
          </w:tcPr>
          <w:p w14:paraId="22F7284B" w14:textId="77777777" w:rsidR="00F83DD4" w:rsidRPr="00AE4305" w:rsidRDefault="00F83DD4" w:rsidP="00AE33F3">
            <w:pPr>
              <w:spacing w:line="360" w:lineRule="auto"/>
              <w:jc w:val="center"/>
              <w:rPr>
                <w:b/>
                <w:sz w:val="28"/>
                <w:szCs w:val="28"/>
                <w:lang w:val="en-GB"/>
              </w:rPr>
            </w:pPr>
            <w:r w:rsidRPr="00AE4305">
              <w:rPr>
                <w:b/>
                <w:sz w:val="28"/>
                <w:szCs w:val="28"/>
                <w:lang w:val="en-GB"/>
              </w:rPr>
              <w:t>b</w:t>
            </w:r>
          </w:p>
        </w:tc>
      </w:tr>
    </w:tbl>
    <w:p w14:paraId="46E2CDEE" w14:textId="77777777" w:rsidR="00F83DD4" w:rsidRPr="00AE4305" w:rsidRDefault="00F83DD4" w:rsidP="00F83DD4">
      <w:pPr>
        <w:spacing w:line="360" w:lineRule="auto"/>
        <w:jc w:val="both"/>
        <w:rPr>
          <w:bCs/>
          <w:lang w:val="en-GB"/>
        </w:rPr>
      </w:pPr>
      <w:r w:rsidRPr="00AE4305">
        <w:rPr>
          <w:b/>
          <w:lang w:val="en-GB"/>
        </w:rPr>
        <w:t>Figure S8.</w:t>
      </w:r>
      <w:r w:rsidRPr="00AE4305">
        <w:rPr>
          <w:bCs/>
          <w:lang w:val="en-GB"/>
        </w:rPr>
        <w:t xml:space="preserve"> EIS additional analysis on DNA-functionalized gold electrodes: </w:t>
      </w:r>
      <w:r w:rsidRPr="00AE4305">
        <w:rPr>
          <w:b/>
          <w:lang w:val="en-GB"/>
        </w:rPr>
        <w:t>a</w:t>
      </w:r>
      <w:r w:rsidRPr="00AE4305">
        <w:rPr>
          <w:bCs/>
          <w:lang w:val="en-GB"/>
        </w:rPr>
        <w:t>) Nyquist plot obtained on functionalized electrode with LI probes and thiol passivator (blue line), upon hybridization with 10</w:t>
      </w:r>
      <w:r w:rsidRPr="00AE4305">
        <w:rPr>
          <w:bCs/>
          <w:vertAlign w:val="superscript"/>
          <w:lang w:val="en-GB"/>
        </w:rPr>
        <w:t xml:space="preserve">7 </w:t>
      </w:r>
      <w:r w:rsidRPr="00AE4305">
        <w:rPr>
          <w:bCs/>
          <w:lang w:val="en-GB"/>
        </w:rPr>
        <w:t xml:space="preserve">copies/µL of LI </w:t>
      </w:r>
      <w:proofErr w:type="spellStart"/>
      <w:r w:rsidRPr="00AE4305">
        <w:rPr>
          <w:bCs/>
          <w:lang w:val="en-GB"/>
        </w:rPr>
        <w:t>kDNA</w:t>
      </w:r>
      <w:proofErr w:type="spellEnd"/>
      <w:r w:rsidRPr="00AE4305">
        <w:rPr>
          <w:bCs/>
          <w:lang w:val="en-GB"/>
        </w:rPr>
        <w:t xml:space="preserve"> (green line) and after probes-thiol exposure to unspecific genome (orange line);</w:t>
      </w:r>
      <w:r w:rsidRPr="00AE4305">
        <w:rPr>
          <w:b/>
          <w:lang w:val="en-GB"/>
        </w:rPr>
        <w:t xml:space="preserve"> b</w:t>
      </w:r>
      <w:r w:rsidRPr="00AE4305">
        <w:rPr>
          <w:bCs/>
          <w:lang w:val="en-GB"/>
        </w:rPr>
        <w:t>) Nyquist plot obtained on bare (black line) and functionalized electrode with 10</w:t>
      </w:r>
      <w:r w:rsidRPr="00AE4305">
        <w:rPr>
          <w:bCs/>
          <w:vertAlign w:val="superscript"/>
          <w:lang w:val="en-GB"/>
        </w:rPr>
        <w:t xml:space="preserve">7 </w:t>
      </w:r>
      <w:r w:rsidRPr="00AE4305">
        <w:rPr>
          <w:bCs/>
          <w:lang w:val="en-GB"/>
        </w:rPr>
        <w:t xml:space="preserve">copies/µL of </w:t>
      </w:r>
      <w:proofErr w:type="spellStart"/>
      <w:r w:rsidRPr="00AE4305">
        <w:rPr>
          <w:bCs/>
          <w:lang w:val="en-GB"/>
        </w:rPr>
        <w:t>kDNA</w:t>
      </w:r>
      <w:proofErr w:type="spellEnd"/>
      <w:r w:rsidRPr="00AE4305">
        <w:rPr>
          <w:bCs/>
          <w:lang w:val="en-GB"/>
        </w:rPr>
        <w:t xml:space="preserve"> spotted without LI probes (magenta line) and hybridized with LI probes array (green line). All EIS measurements have been performed in the 0.1 Hz – 100 kHz frequency range, thus it has been chosen to maintain fixed the current interval (1 mA). Open circuit potential (</w:t>
      </w:r>
      <w:proofErr w:type="spellStart"/>
      <w:r w:rsidRPr="00AE4305">
        <w:rPr>
          <w:bCs/>
          <w:lang w:val="en-GB"/>
        </w:rPr>
        <w:t>Eocp</w:t>
      </w:r>
      <w:proofErr w:type="spellEnd"/>
      <w:r w:rsidRPr="00AE4305">
        <w:rPr>
          <w:bCs/>
          <w:lang w:val="en-GB"/>
        </w:rPr>
        <w:t>) fixed at 0.230 V for all the measurement time. Inserts: equivalent circuit for data fitting.</w:t>
      </w:r>
    </w:p>
    <w:p w14:paraId="0602ED6B" w14:textId="77777777" w:rsidR="00F83DD4" w:rsidRPr="00AE4305" w:rsidRDefault="00F83DD4" w:rsidP="00F83DD4">
      <w:pPr>
        <w:spacing w:line="360" w:lineRule="auto"/>
        <w:jc w:val="both"/>
        <w:rPr>
          <w:bCs/>
          <w:lang w:val="en-GB"/>
        </w:rPr>
      </w:pPr>
    </w:p>
    <w:p w14:paraId="395AE010" w14:textId="77777777" w:rsidR="00F83DD4" w:rsidRPr="00AE4305" w:rsidRDefault="00F83DD4" w:rsidP="00F83DD4">
      <w:pPr>
        <w:spacing w:line="360" w:lineRule="auto"/>
        <w:jc w:val="both"/>
        <w:rPr>
          <w:lang w:val="en-GB"/>
        </w:rPr>
      </w:pPr>
      <w:r w:rsidRPr="00AE4305">
        <w:rPr>
          <w:lang w:val="en-GB"/>
        </w:rPr>
        <w:t xml:space="preserve">Results of additional analysis showed that the sensing activity of probes is selective towards the identification of not amplified genetic target. The Nyquist plot in </w:t>
      </w:r>
      <w:r w:rsidRPr="00AE4305">
        <w:rPr>
          <w:b/>
          <w:bCs/>
          <w:lang w:val="en-GB"/>
        </w:rPr>
        <w:t>Figure S8a</w:t>
      </w:r>
      <w:r w:rsidRPr="00AE4305">
        <w:rPr>
          <w:lang w:val="en-GB"/>
        </w:rPr>
        <w:t xml:space="preserve">, indeed, reported an overlapping of probes + thiol curve (blue line) with that of probes + thiol + US (orange line), suggesting that the HBV genome did not modify the EIS signal since not hybridized to the probes and easily removed from the electrode surface; on the contrary, the signal of hybridized </w:t>
      </w:r>
      <w:proofErr w:type="spellStart"/>
      <w:r w:rsidRPr="00AE4305">
        <w:rPr>
          <w:lang w:val="en-GB"/>
        </w:rPr>
        <w:t>kDNA</w:t>
      </w:r>
      <w:proofErr w:type="spellEnd"/>
      <w:r w:rsidRPr="00AE4305">
        <w:rPr>
          <w:lang w:val="en-GB"/>
        </w:rPr>
        <w:t xml:space="preserve"> curve (green line) markedly increased as expected from the target molecules interaction with the sensing surface. It was also proved the dependence of surface target capture from the probes array. In </w:t>
      </w:r>
      <w:r w:rsidRPr="00AE4305">
        <w:rPr>
          <w:b/>
          <w:bCs/>
          <w:lang w:val="en-GB"/>
        </w:rPr>
        <w:t>Figure S8b</w:t>
      </w:r>
      <w:r w:rsidRPr="00AE4305">
        <w:rPr>
          <w:lang w:val="en-GB"/>
        </w:rPr>
        <w:t xml:space="preserve"> the curve of </w:t>
      </w:r>
      <w:proofErr w:type="spellStart"/>
      <w:r w:rsidRPr="00AE4305">
        <w:rPr>
          <w:lang w:val="en-GB"/>
        </w:rPr>
        <w:t>kDNA</w:t>
      </w:r>
      <w:proofErr w:type="spellEnd"/>
      <w:r w:rsidRPr="00AE4305">
        <w:rPr>
          <w:lang w:val="en-GB"/>
        </w:rPr>
        <w:t xml:space="preserve">-treated electrode (magenta line) almost reproduced the bare electrode curve (black line) suggesting that the </w:t>
      </w:r>
      <w:proofErr w:type="spellStart"/>
      <w:r w:rsidRPr="00AE4305">
        <w:rPr>
          <w:lang w:val="en-GB"/>
        </w:rPr>
        <w:t>kDNA</w:t>
      </w:r>
      <w:proofErr w:type="spellEnd"/>
      <w:r w:rsidRPr="00AE4305">
        <w:rPr>
          <w:lang w:val="en-GB"/>
        </w:rPr>
        <w:t xml:space="preserve"> without probes, respect to the probes + thiol + </w:t>
      </w:r>
      <w:proofErr w:type="spellStart"/>
      <w:r w:rsidRPr="00AE4305">
        <w:rPr>
          <w:lang w:val="en-GB"/>
        </w:rPr>
        <w:t>kDNA</w:t>
      </w:r>
      <w:proofErr w:type="spellEnd"/>
      <w:r w:rsidRPr="00AE4305">
        <w:rPr>
          <w:lang w:val="en-GB"/>
        </w:rPr>
        <w:t xml:space="preserve"> surface, was only physiosorbed on the surface and easily removed by washing.</w:t>
      </w:r>
    </w:p>
    <w:p w14:paraId="6E529682" w14:textId="77777777" w:rsidR="00F83DD4" w:rsidRPr="00AE4305" w:rsidRDefault="00F83DD4" w:rsidP="00F83DD4">
      <w:pPr>
        <w:spacing w:line="360" w:lineRule="auto"/>
        <w:jc w:val="both"/>
        <w:rPr>
          <w:lang w:val="en-GB"/>
        </w:rPr>
      </w:pPr>
    </w:p>
    <w:p w14:paraId="7164EB1D" w14:textId="77777777" w:rsidR="00F83DD4" w:rsidRPr="00AE4305" w:rsidRDefault="00F83DD4" w:rsidP="00F83DD4">
      <w:pPr>
        <w:spacing w:line="360" w:lineRule="auto"/>
        <w:jc w:val="both"/>
        <w:rPr>
          <w:lang w:val="en-US"/>
        </w:rPr>
      </w:pPr>
      <w:r w:rsidRPr="00AE4305">
        <w:rPr>
          <w:lang w:val="en-US"/>
        </w:rPr>
        <w:lastRenderedPageBreak/>
        <w:t>References</w:t>
      </w:r>
    </w:p>
    <w:p w14:paraId="479CBB55" w14:textId="77777777" w:rsidR="00F83DD4" w:rsidRPr="00AE4305" w:rsidRDefault="00F83DD4" w:rsidP="00F83DD4">
      <w:pPr>
        <w:pStyle w:val="Bibliography"/>
      </w:pPr>
      <w:r w:rsidRPr="00AE4305">
        <w:t>[1]</w:t>
      </w:r>
      <w:r w:rsidRPr="00AE4305">
        <w:tab/>
        <w:t xml:space="preserve">H. Gu, C. Wang, S. Gong, Y. Mei, H. Li, W. Ma, </w:t>
      </w:r>
      <w:r w:rsidRPr="00AE4305">
        <w:rPr>
          <w:i/>
          <w:iCs/>
        </w:rPr>
        <w:t>Surface and Coatings Technology</w:t>
      </w:r>
      <w:r w:rsidRPr="00AE4305">
        <w:t xml:space="preserve"> </w:t>
      </w:r>
      <w:r w:rsidRPr="00AE4305">
        <w:rPr>
          <w:b/>
          <w:bCs/>
        </w:rPr>
        <w:t>2016</w:t>
      </w:r>
      <w:r w:rsidRPr="00AE4305">
        <w:t xml:space="preserve">, </w:t>
      </w:r>
      <w:r w:rsidRPr="00AE4305">
        <w:rPr>
          <w:i/>
          <w:iCs/>
        </w:rPr>
        <w:t>292</w:t>
      </w:r>
      <w:r w:rsidRPr="00AE4305">
        <w:t>, 72.</w:t>
      </w:r>
    </w:p>
    <w:p w14:paraId="62CB9933" w14:textId="77777777" w:rsidR="00F83DD4" w:rsidRPr="00AE4305" w:rsidRDefault="00F83DD4" w:rsidP="00F83DD4">
      <w:pPr>
        <w:pStyle w:val="Bibliography"/>
      </w:pPr>
      <w:r w:rsidRPr="00AE4305">
        <w:t>[2]</w:t>
      </w:r>
      <w:r w:rsidRPr="00AE4305">
        <w:tab/>
        <w:t xml:space="preserve">C. J. van Oss, in </w:t>
      </w:r>
      <w:r w:rsidRPr="00AE4305">
        <w:rPr>
          <w:i/>
          <w:iCs/>
        </w:rPr>
        <w:t>Interface Science and Technology</w:t>
      </w:r>
      <w:r w:rsidRPr="00AE4305">
        <w:t xml:space="preserve"> (Ed: C. J. van Oss), Elsevier, </w:t>
      </w:r>
      <w:r w:rsidRPr="00AE4305">
        <w:rPr>
          <w:b/>
          <w:bCs/>
        </w:rPr>
        <w:t>2008</w:t>
      </w:r>
      <w:r w:rsidRPr="00AE4305">
        <w:t>, pp. 13–30.</w:t>
      </w:r>
    </w:p>
    <w:p w14:paraId="37C113E4" w14:textId="77777777" w:rsidR="00F83DD4" w:rsidRPr="00AE4305" w:rsidRDefault="00F83DD4" w:rsidP="00F83DD4">
      <w:pPr>
        <w:pStyle w:val="Bibliography"/>
      </w:pPr>
      <w:r w:rsidRPr="00AE4305">
        <w:t>[3]</w:t>
      </w:r>
      <w:r w:rsidRPr="00AE4305">
        <w:tab/>
        <w:t xml:space="preserve">H.-Y. Tsai, C.-N. Hsu, C.-R. Li, Y.-H. Lin, W.-T. Hsiao, K.-C. Huang, J. A. Yeh, </w:t>
      </w:r>
      <w:r w:rsidRPr="00AE4305">
        <w:rPr>
          <w:i/>
          <w:iCs/>
        </w:rPr>
        <w:t>Micromachines (Basel)</w:t>
      </w:r>
      <w:r w:rsidRPr="00AE4305">
        <w:t xml:space="preserve"> </w:t>
      </w:r>
      <w:r w:rsidRPr="00AE4305">
        <w:rPr>
          <w:b/>
          <w:bCs/>
        </w:rPr>
        <w:t>2021</w:t>
      </w:r>
      <w:r w:rsidRPr="00AE4305">
        <w:t xml:space="preserve">, </w:t>
      </w:r>
      <w:r w:rsidRPr="00AE4305">
        <w:rPr>
          <w:i/>
          <w:iCs/>
        </w:rPr>
        <w:t>12</w:t>
      </w:r>
      <w:r w:rsidRPr="00AE4305">
        <w:t>, 44.</w:t>
      </w:r>
    </w:p>
    <w:p w14:paraId="0524EDEB" w14:textId="77777777" w:rsidR="00F83DD4" w:rsidRPr="00AE4305" w:rsidRDefault="00F83DD4" w:rsidP="00F83DD4">
      <w:pPr>
        <w:pStyle w:val="Bibliography"/>
      </w:pPr>
      <w:r w:rsidRPr="00AE4305">
        <w:t>[4]</w:t>
      </w:r>
      <w:r w:rsidRPr="00AE4305">
        <w:tab/>
        <w:t xml:space="preserve">M. F. Ismail, M. A. Islam, B. Khorshidi, M. Sadrzadeh, </w:t>
      </w:r>
      <w:r w:rsidRPr="00AE4305">
        <w:rPr>
          <w:i/>
          <w:iCs/>
        </w:rPr>
        <w:t>Materials Chemistry and Physics</w:t>
      </w:r>
      <w:r w:rsidRPr="00AE4305">
        <w:t xml:space="preserve"> </w:t>
      </w:r>
      <w:r w:rsidRPr="00AE4305">
        <w:rPr>
          <w:b/>
          <w:bCs/>
        </w:rPr>
        <w:t>2021</w:t>
      </w:r>
      <w:r w:rsidRPr="00AE4305">
        <w:t xml:space="preserve">, </w:t>
      </w:r>
      <w:r w:rsidRPr="00AE4305">
        <w:rPr>
          <w:i/>
          <w:iCs/>
        </w:rPr>
        <w:t>258</w:t>
      </w:r>
      <w:r w:rsidRPr="00AE4305">
        <w:t>, 123933.</w:t>
      </w:r>
    </w:p>
    <w:p w14:paraId="74C80CE9" w14:textId="77777777" w:rsidR="00F83DD4" w:rsidRPr="00AE4305" w:rsidRDefault="00F83DD4" w:rsidP="00F83DD4">
      <w:pPr>
        <w:pStyle w:val="Bibliography"/>
      </w:pPr>
      <w:r w:rsidRPr="00AE4305">
        <w:t>[5]</w:t>
      </w:r>
      <w:r w:rsidRPr="00AE4305">
        <w:tab/>
        <w:t xml:space="preserve">D. K. Owens, R. C. Wendt, </w:t>
      </w:r>
      <w:r w:rsidRPr="00AE4305">
        <w:rPr>
          <w:i/>
          <w:iCs/>
        </w:rPr>
        <w:t>Journal of Applied Polymer Science</w:t>
      </w:r>
      <w:r w:rsidRPr="00AE4305">
        <w:t xml:space="preserve"> </w:t>
      </w:r>
      <w:r w:rsidRPr="00AE4305">
        <w:rPr>
          <w:b/>
          <w:bCs/>
        </w:rPr>
        <w:t>1969</w:t>
      </w:r>
      <w:r w:rsidRPr="00AE4305">
        <w:t xml:space="preserve">, </w:t>
      </w:r>
      <w:r w:rsidRPr="00AE4305">
        <w:rPr>
          <w:i/>
          <w:iCs/>
        </w:rPr>
        <w:t>13</w:t>
      </w:r>
      <w:r w:rsidRPr="00AE4305">
        <w:t>, 1741.</w:t>
      </w:r>
    </w:p>
    <w:p w14:paraId="39A43DDB" w14:textId="77777777" w:rsidR="00F83DD4" w:rsidRPr="00AE4305" w:rsidRDefault="00F83DD4" w:rsidP="00F83DD4">
      <w:pPr>
        <w:pStyle w:val="Bibliography"/>
      </w:pPr>
      <w:r w:rsidRPr="00AE4305">
        <w:t>[6]</w:t>
      </w:r>
      <w:r w:rsidRPr="00AE4305">
        <w:tab/>
        <w:t xml:space="preserve">F. M. Fowkes, </w:t>
      </w:r>
      <w:r w:rsidRPr="00AE4305">
        <w:rPr>
          <w:i/>
          <w:iCs/>
        </w:rPr>
        <w:t>Ind. Eng. Chem.</w:t>
      </w:r>
      <w:r w:rsidRPr="00AE4305">
        <w:t xml:space="preserve"> </w:t>
      </w:r>
      <w:r w:rsidRPr="00AE4305">
        <w:rPr>
          <w:b/>
          <w:bCs/>
        </w:rPr>
        <w:t>1964</w:t>
      </w:r>
      <w:r w:rsidRPr="00AE4305">
        <w:t xml:space="preserve">, </w:t>
      </w:r>
      <w:r w:rsidRPr="00AE4305">
        <w:rPr>
          <w:i/>
          <w:iCs/>
        </w:rPr>
        <w:t>56</w:t>
      </w:r>
      <w:r w:rsidRPr="00AE4305">
        <w:t>, 40.</w:t>
      </w:r>
    </w:p>
    <w:p w14:paraId="6CE5D418" w14:textId="77777777" w:rsidR="00F83DD4" w:rsidRPr="003C6CF7" w:rsidRDefault="00F83DD4" w:rsidP="00F83DD4">
      <w:pPr>
        <w:pStyle w:val="Bibliography"/>
      </w:pPr>
      <w:r w:rsidRPr="00AE4305">
        <w:t>[7]</w:t>
      </w:r>
      <w:r w:rsidRPr="00AE4305">
        <w:tab/>
        <w:t xml:space="preserve">M. Jin, F. Thomsen, T. Skrivanek, T. Willers, in </w:t>
      </w:r>
      <w:r w:rsidRPr="00AE4305">
        <w:rPr>
          <w:i/>
          <w:iCs/>
        </w:rPr>
        <w:t>Advances in Contact Angle, Wettability and Adhesion</w:t>
      </w:r>
      <w:r w:rsidRPr="00AE4305">
        <w:t xml:space="preserve">, John Wiley &amp; Sons, Ltd, </w:t>
      </w:r>
      <w:r w:rsidRPr="00AE4305">
        <w:rPr>
          <w:b/>
          <w:bCs/>
        </w:rPr>
        <w:t>2015</w:t>
      </w:r>
      <w:r w:rsidRPr="00AE4305">
        <w:t>, pp. 419–438.</w:t>
      </w:r>
    </w:p>
    <w:p w14:paraId="48069F3E" w14:textId="77777777" w:rsidR="00F83DD4" w:rsidRDefault="00F83DD4" w:rsidP="00F83DD4"/>
    <w:p w14:paraId="7B112EEC" w14:textId="39EDEF1E" w:rsidR="00F50B3E" w:rsidRPr="00F50B3E" w:rsidRDefault="00F50B3E" w:rsidP="00F50B3E">
      <w:pPr>
        <w:spacing w:line="360" w:lineRule="auto"/>
        <w:jc w:val="both"/>
      </w:pPr>
    </w:p>
    <w:p w14:paraId="0ADB4AAF" w14:textId="77777777" w:rsidR="00F50B3E" w:rsidRPr="00F50B3E" w:rsidRDefault="00F50B3E" w:rsidP="00B90DF9">
      <w:pPr>
        <w:spacing w:line="360" w:lineRule="auto"/>
        <w:jc w:val="both"/>
        <w:rPr>
          <w:lang w:val="en-GB"/>
        </w:rPr>
      </w:pPr>
    </w:p>
    <w:sectPr w:rsidR="00F50B3E" w:rsidRPr="00F50B3E" w:rsidSect="00404548">
      <w:headerReference w:type="default" r:id="rId22"/>
      <w:footerReference w:type="default" r:id="rId23"/>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D344AC" w14:textId="77777777" w:rsidR="00113369" w:rsidRDefault="00113369">
      <w:r>
        <w:separator/>
      </w:r>
    </w:p>
  </w:endnote>
  <w:endnote w:type="continuationSeparator" w:id="0">
    <w:p w14:paraId="3DF8232A" w14:textId="77777777" w:rsidR="00113369" w:rsidRDefault="00113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no Pro">
    <w:altName w:val="Cambria"/>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B96A1" w14:textId="77777777" w:rsidR="007B7A09" w:rsidRDefault="007B7A09">
    <w:pPr>
      <w:pStyle w:val="Footer"/>
      <w:jc w:val="center"/>
    </w:pPr>
    <w:r>
      <w:fldChar w:fldCharType="begin"/>
    </w:r>
    <w:r>
      <w:instrText>PAGE   \* MERGEFORMAT</w:instrText>
    </w:r>
    <w:r>
      <w:fldChar w:fldCharType="separate"/>
    </w:r>
    <w:r w:rsidR="00AB025E">
      <w:rPr>
        <w:noProof/>
      </w:rPr>
      <w:t>1</w:t>
    </w:r>
    <w:r>
      <w:fldChar w:fldCharType="end"/>
    </w:r>
  </w:p>
  <w:p w14:paraId="76AE581B" w14:textId="77777777" w:rsidR="00562E2B" w:rsidRDefault="00562E2B" w:rsidP="0088145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714D00" w14:textId="77777777" w:rsidR="00113369" w:rsidRDefault="00113369">
      <w:r>
        <w:separator/>
      </w:r>
    </w:p>
  </w:footnote>
  <w:footnote w:type="continuationSeparator" w:id="0">
    <w:p w14:paraId="1B0BADCA" w14:textId="77777777" w:rsidR="00113369" w:rsidRDefault="001133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7A9236" w14:textId="77777777" w:rsidR="00562E2B" w:rsidRPr="009B44CC" w:rsidRDefault="00562E2B" w:rsidP="009B44CC">
    <w:pPr>
      <w:pStyle w:val="Header"/>
      <w:tabs>
        <w:tab w:val="left" w:pos="5003"/>
      </w:tabs>
      <w:jc w:val="right"/>
      <w:rPr>
        <w:lang w:val="en-US"/>
      </w:rPr>
    </w:pPr>
    <w:r>
      <w:tab/>
    </w:r>
    <w:r w:rsidR="00C56CD4" w:rsidRPr="00302E7A">
      <w:rPr>
        <w:noProof/>
        <w:lang w:val="en-IN" w:eastAsia="en-IN"/>
      </w:rPr>
      <w:drawing>
        <wp:inline distT="0" distB="0" distL="0" distR="0" wp14:anchorId="08A47E0E" wp14:editId="2984969C">
          <wp:extent cx="1488440" cy="414655"/>
          <wp:effectExtent l="0" t="0" r="0" b="0"/>
          <wp:docPr id="2" name="Picture 2"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CB2AD4"/>
    <w:multiLevelType w:val="hybridMultilevel"/>
    <w:tmpl w:val="C4E4D490"/>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EF5707"/>
    <w:multiLevelType w:val="hybridMultilevel"/>
    <w:tmpl w:val="95FEA5E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7"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0"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1"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10"/>
  </w:num>
  <w:num w:numId="2">
    <w:abstractNumId w:val="8"/>
  </w:num>
  <w:num w:numId="3">
    <w:abstractNumId w:val="11"/>
  </w:num>
  <w:num w:numId="4">
    <w:abstractNumId w:val="9"/>
  </w:num>
  <w:num w:numId="5">
    <w:abstractNumId w:val="7"/>
  </w:num>
  <w:num w:numId="6">
    <w:abstractNumId w:val="6"/>
  </w:num>
  <w:num w:numId="7">
    <w:abstractNumId w:val="5"/>
  </w:num>
  <w:num w:numId="8">
    <w:abstractNumId w:val="3"/>
  </w:num>
  <w:num w:numId="9">
    <w:abstractNumId w:val="1"/>
  </w:num>
  <w:num w:numId="10">
    <w:abstractNumId w:val="4"/>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removePersonalInformation/>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6A0"/>
    <w:rsid w:val="000003BB"/>
    <w:rsid w:val="0000374D"/>
    <w:rsid w:val="00004A23"/>
    <w:rsid w:val="00006A0A"/>
    <w:rsid w:val="0000703E"/>
    <w:rsid w:val="000112FC"/>
    <w:rsid w:val="000115B4"/>
    <w:rsid w:val="000118B0"/>
    <w:rsid w:val="00011F40"/>
    <w:rsid w:val="0001454A"/>
    <w:rsid w:val="0001683C"/>
    <w:rsid w:val="000172E7"/>
    <w:rsid w:val="00020910"/>
    <w:rsid w:val="000214A8"/>
    <w:rsid w:val="00023F64"/>
    <w:rsid w:val="00027FB5"/>
    <w:rsid w:val="000314D2"/>
    <w:rsid w:val="0003318F"/>
    <w:rsid w:val="0004094E"/>
    <w:rsid w:val="00040B7B"/>
    <w:rsid w:val="00041C1B"/>
    <w:rsid w:val="000437F7"/>
    <w:rsid w:val="00050985"/>
    <w:rsid w:val="0005501E"/>
    <w:rsid w:val="00055883"/>
    <w:rsid w:val="0006044D"/>
    <w:rsid w:val="00060C28"/>
    <w:rsid w:val="00060D37"/>
    <w:rsid w:val="00062324"/>
    <w:rsid w:val="00063C0E"/>
    <w:rsid w:val="00072EA7"/>
    <w:rsid w:val="00076EAD"/>
    <w:rsid w:val="0008287E"/>
    <w:rsid w:val="00082C44"/>
    <w:rsid w:val="00083031"/>
    <w:rsid w:val="0008740B"/>
    <w:rsid w:val="000904D3"/>
    <w:rsid w:val="0009309C"/>
    <w:rsid w:val="00093F1B"/>
    <w:rsid w:val="000A1F4B"/>
    <w:rsid w:val="000A21A9"/>
    <w:rsid w:val="000A3E93"/>
    <w:rsid w:val="000A472C"/>
    <w:rsid w:val="000A5773"/>
    <w:rsid w:val="000A682F"/>
    <w:rsid w:val="000B05A0"/>
    <w:rsid w:val="000B33EE"/>
    <w:rsid w:val="000B4293"/>
    <w:rsid w:val="000B644E"/>
    <w:rsid w:val="000C259E"/>
    <w:rsid w:val="000C3E0C"/>
    <w:rsid w:val="000C6252"/>
    <w:rsid w:val="000C6F8A"/>
    <w:rsid w:val="000D2D4B"/>
    <w:rsid w:val="000D45F4"/>
    <w:rsid w:val="000D5AB4"/>
    <w:rsid w:val="000D66DB"/>
    <w:rsid w:val="000D7EBA"/>
    <w:rsid w:val="000E788B"/>
    <w:rsid w:val="000E7A5B"/>
    <w:rsid w:val="000E7BBA"/>
    <w:rsid w:val="000F512F"/>
    <w:rsid w:val="001013F4"/>
    <w:rsid w:val="001054D4"/>
    <w:rsid w:val="0010686C"/>
    <w:rsid w:val="00107C5F"/>
    <w:rsid w:val="00107CCC"/>
    <w:rsid w:val="00110011"/>
    <w:rsid w:val="001105BD"/>
    <w:rsid w:val="00113369"/>
    <w:rsid w:val="00116C82"/>
    <w:rsid w:val="00120BE6"/>
    <w:rsid w:val="00120E85"/>
    <w:rsid w:val="00123ADA"/>
    <w:rsid w:val="00125573"/>
    <w:rsid w:val="0012642A"/>
    <w:rsid w:val="00126D17"/>
    <w:rsid w:val="001305BF"/>
    <w:rsid w:val="00131D58"/>
    <w:rsid w:val="001370B1"/>
    <w:rsid w:val="001377CA"/>
    <w:rsid w:val="00140B94"/>
    <w:rsid w:val="001450FB"/>
    <w:rsid w:val="0014658A"/>
    <w:rsid w:val="00147DB8"/>
    <w:rsid w:val="00151683"/>
    <w:rsid w:val="0015392F"/>
    <w:rsid w:val="0015563E"/>
    <w:rsid w:val="00155F66"/>
    <w:rsid w:val="001621C4"/>
    <w:rsid w:val="001630C5"/>
    <w:rsid w:val="0016390D"/>
    <w:rsid w:val="00164057"/>
    <w:rsid w:val="00165B37"/>
    <w:rsid w:val="00170369"/>
    <w:rsid w:val="00173757"/>
    <w:rsid w:val="00174176"/>
    <w:rsid w:val="00175AC1"/>
    <w:rsid w:val="00181D92"/>
    <w:rsid w:val="001823B6"/>
    <w:rsid w:val="001848EB"/>
    <w:rsid w:val="00187DB9"/>
    <w:rsid w:val="0019077D"/>
    <w:rsid w:val="0019194D"/>
    <w:rsid w:val="0019723B"/>
    <w:rsid w:val="001A4240"/>
    <w:rsid w:val="001A6821"/>
    <w:rsid w:val="001A734D"/>
    <w:rsid w:val="001B4224"/>
    <w:rsid w:val="001B7472"/>
    <w:rsid w:val="001C10AC"/>
    <w:rsid w:val="001C55FB"/>
    <w:rsid w:val="001D12BC"/>
    <w:rsid w:val="001D561D"/>
    <w:rsid w:val="001E18CC"/>
    <w:rsid w:val="001E3D2D"/>
    <w:rsid w:val="001E4605"/>
    <w:rsid w:val="001E5F4E"/>
    <w:rsid w:val="001F2689"/>
    <w:rsid w:val="001F2AB7"/>
    <w:rsid w:val="001F3C9B"/>
    <w:rsid w:val="001F3E77"/>
    <w:rsid w:val="001F4BD1"/>
    <w:rsid w:val="001F5110"/>
    <w:rsid w:val="001F5702"/>
    <w:rsid w:val="001F65A2"/>
    <w:rsid w:val="002002FC"/>
    <w:rsid w:val="00201F71"/>
    <w:rsid w:val="00203934"/>
    <w:rsid w:val="0020446B"/>
    <w:rsid w:val="00204BA7"/>
    <w:rsid w:val="00205936"/>
    <w:rsid w:val="002072AB"/>
    <w:rsid w:val="00210140"/>
    <w:rsid w:val="00211942"/>
    <w:rsid w:val="00213331"/>
    <w:rsid w:val="00214D95"/>
    <w:rsid w:val="00215531"/>
    <w:rsid w:val="002162B2"/>
    <w:rsid w:val="00216F54"/>
    <w:rsid w:val="00220933"/>
    <w:rsid w:val="00220C72"/>
    <w:rsid w:val="0022310C"/>
    <w:rsid w:val="00224B19"/>
    <w:rsid w:val="0022540C"/>
    <w:rsid w:val="00226AA4"/>
    <w:rsid w:val="00233C8A"/>
    <w:rsid w:val="00236036"/>
    <w:rsid w:val="00240D90"/>
    <w:rsid w:val="00253CB1"/>
    <w:rsid w:val="002543F9"/>
    <w:rsid w:val="00257ADD"/>
    <w:rsid w:val="00263723"/>
    <w:rsid w:val="00263CF8"/>
    <w:rsid w:val="00265635"/>
    <w:rsid w:val="00266389"/>
    <w:rsid w:val="002675F7"/>
    <w:rsid w:val="002725A5"/>
    <w:rsid w:val="0027314F"/>
    <w:rsid w:val="00277C0B"/>
    <w:rsid w:val="0028289F"/>
    <w:rsid w:val="00284157"/>
    <w:rsid w:val="00285631"/>
    <w:rsid w:val="00290D94"/>
    <w:rsid w:val="0029203C"/>
    <w:rsid w:val="00294873"/>
    <w:rsid w:val="002A4A81"/>
    <w:rsid w:val="002A73A2"/>
    <w:rsid w:val="002A7CE8"/>
    <w:rsid w:val="002B0671"/>
    <w:rsid w:val="002B262F"/>
    <w:rsid w:val="002B3553"/>
    <w:rsid w:val="002B5E06"/>
    <w:rsid w:val="002C0B7B"/>
    <w:rsid w:val="002C0CFF"/>
    <w:rsid w:val="002D09B9"/>
    <w:rsid w:val="002D16A0"/>
    <w:rsid w:val="002D2930"/>
    <w:rsid w:val="002D2DFF"/>
    <w:rsid w:val="002D3D6D"/>
    <w:rsid w:val="002D5BF8"/>
    <w:rsid w:val="002D7ECC"/>
    <w:rsid w:val="002E1B8F"/>
    <w:rsid w:val="002E2DEF"/>
    <w:rsid w:val="002E4E3E"/>
    <w:rsid w:val="002E5D4D"/>
    <w:rsid w:val="002E76B2"/>
    <w:rsid w:val="002E79A2"/>
    <w:rsid w:val="002F4F4B"/>
    <w:rsid w:val="002F55FD"/>
    <w:rsid w:val="002F594C"/>
    <w:rsid w:val="00301984"/>
    <w:rsid w:val="00301B0B"/>
    <w:rsid w:val="00301E84"/>
    <w:rsid w:val="00302E7A"/>
    <w:rsid w:val="00303D1B"/>
    <w:rsid w:val="003046B7"/>
    <w:rsid w:val="00317A57"/>
    <w:rsid w:val="00320A99"/>
    <w:rsid w:val="0032144B"/>
    <w:rsid w:val="00321E38"/>
    <w:rsid w:val="00322D5B"/>
    <w:rsid w:val="00325AC2"/>
    <w:rsid w:val="00326A1C"/>
    <w:rsid w:val="00327FDC"/>
    <w:rsid w:val="003360E3"/>
    <w:rsid w:val="003371D5"/>
    <w:rsid w:val="003376CD"/>
    <w:rsid w:val="003452C3"/>
    <w:rsid w:val="003501A7"/>
    <w:rsid w:val="0035048A"/>
    <w:rsid w:val="00357F33"/>
    <w:rsid w:val="0036263B"/>
    <w:rsid w:val="00363B62"/>
    <w:rsid w:val="003645B0"/>
    <w:rsid w:val="00364B2C"/>
    <w:rsid w:val="003664F1"/>
    <w:rsid w:val="00367E3F"/>
    <w:rsid w:val="00377EA5"/>
    <w:rsid w:val="00377F77"/>
    <w:rsid w:val="00383073"/>
    <w:rsid w:val="0038438F"/>
    <w:rsid w:val="00387C67"/>
    <w:rsid w:val="00387D98"/>
    <w:rsid w:val="00390B0F"/>
    <w:rsid w:val="00390B38"/>
    <w:rsid w:val="00390B6B"/>
    <w:rsid w:val="00391CFE"/>
    <w:rsid w:val="0039353B"/>
    <w:rsid w:val="00394821"/>
    <w:rsid w:val="00394F9E"/>
    <w:rsid w:val="00395426"/>
    <w:rsid w:val="00395B91"/>
    <w:rsid w:val="00396615"/>
    <w:rsid w:val="0039700D"/>
    <w:rsid w:val="00397089"/>
    <w:rsid w:val="003978A8"/>
    <w:rsid w:val="003A0F30"/>
    <w:rsid w:val="003A4C44"/>
    <w:rsid w:val="003A5AD0"/>
    <w:rsid w:val="003A6CE3"/>
    <w:rsid w:val="003A7899"/>
    <w:rsid w:val="003B15EE"/>
    <w:rsid w:val="003B517D"/>
    <w:rsid w:val="003B60EC"/>
    <w:rsid w:val="003C00ED"/>
    <w:rsid w:val="003C1698"/>
    <w:rsid w:val="003C1C0A"/>
    <w:rsid w:val="003C35DF"/>
    <w:rsid w:val="003C4A68"/>
    <w:rsid w:val="003C554F"/>
    <w:rsid w:val="003C61DD"/>
    <w:rsid w:val="003D1304"/>
    <w:rsid w:val="003D63E7"/>
    <w:rsid w:val="003E05F1"/>
    <w:rsid w:val="003E113B"/>
    <w:rsid w:val="003E5092"/>
    <w:rsid w:val="003E67AD"/>
    <w:rsid w:val="003E715D"/>
    <w:rsid w:val="003F103E"/>
    <w:rsid w:val="003F2E48"/>
    <w:rsid w:val="003F440C"/>
    <w:rsid w:val="003F525A"/>
    <w:rsid w:val="003F7BE6"/>
    <w:rsid w:val="004006A9"/>
    <w:rsid w:val="00404548"/>
    <w:rsid w:val="004052AE"/>
    <w:rsid w:val="004118A5"/>
    <w:rsid w:val="00413672"/>
    <w:rsid w:val="00414041"/>
    <w:rsid w:val="00414465"/>
    <w:rsid w:val="00414729"/>
    <w:rsid w:val="00414C80"/>
    <w:rsid w:val="00414CF0"/>
    <w:rsid w:val="00414F4B"/>
    <w:rsid w:val="00415EF9"/>
    <w:rsid w:val="00416629"/>
    <w:rsid w:val="00417DA1"/>
    <w:rsid w:val="00423478"/>
    <w:rsid w:val="00425B76"/>
    <w:rsid w:val="004260A2"/>
    <w:rsid w:val="00426FC6"/>
    <w:rsid w:val="004273BC"/>
    <w:rsid w:val="00427C5F"/>
    <w:rsid w:val="00441EAC"/>
    <w:rsid w:val="0044276A"/>
    <w:rsid w:val="004443FE"/>
    <w:rsid w:val="004507E5"/>
    <w:rsid w:val="004519AD"/>
    <w:rsid w:val="0045459A"/>
    <w:rsid w:val="004545DB"/>
    <w:rsid w:val="00456875"/>
    <w:rsid w:val="0045786A"/>
    <w:rsid w:val="00460F76"/>
    <w:rsid w:val="00462F12"/>
    <w:rsid w:val="00463050"/>
    <w:rsid w:val="0046340F"/>
    <w:rsid w:val="00466168"/>
    <w:rsid w:val="0046778B"/>
    <w:rsid w:val="004714D4"/>
    <w:rsid w:val="00472B62"/>
    <w:rsid w:val="00475712"/>
    <w:rsid w:val="00480CCE"/>
    <w:rsid w:val="00482FAA"/>
    <w:rsid w:val="00486EF6"/>
    <w:rsid w:val="00487211"/>
    <w:rsid w:val="0049075F"/>
    <w:rsid w:val="00492DA8"/>
    <w:rsid w:val="004A0888"/>
    <w:rsid w:val="004A43B6"/>
    <w:rsid w:val="004A70EE"/>
    <w:rsid w:val="004A774E"/>
    <w:rsid w:val="004A7D3E"/>
    <w:rsid w:val="004A7FF9"/>
    <w:rsid w:val="004B379D"/>
    <w:rsid w:val="004B5F0C"/>
    <w:rsid w:val="004B6031"/>
    <w:rsid w:val="004C046E"/>
    <w:rsid w:val="004C1038"/>
    <w:rsid w:val="004C1609"/>
    <w:rsid w:val="004C216B"/>
    <w:rsid w:val="004C5DD3"/>
    <w:rsid w:val="004D30F9"/>
    <w:rsid w:val="004D4A32"/>
    <w:rsid w:val="004D64AB"/>
    <w:rsid w:val="004E7CE8"/>
    <w:rsid w:val="004F271D"/>
    <w:rsid w:val="004F5114"/>
    <w:rsid w:val="004F756C"/>
    <w:rsid w:val="005001FA"/>
    <w:rsid w:val="005019AF"/>
    <w:rsid w:val="0050488D"/>
    <w:rsid w:val="00504D12"/>
    <w:rsid w:val="0050527A"/>
    <w:rsid w:val="0050535A"/>
    <w:rsid w:val="005106F5"/>
    <w:rsid w:val="00511192"/>
    <w:rsid w:val="005118AD"/>
    <w:rsid w:val="00512353"/>
    <w:rsid w:val="005220C2"/>
    <w:rsid w:val="00522E88"/>
    <w:rsid w:val="00523369"/>
    <w:rsid w:val="0052398F"/>
    <w:rsid w:val="00532960"/>
    <w:rsid w:val="00545A73"/>
    <w:rsid w:val="00546DEB"/>
    <w:rsid w:val="00546F0F"/>
    <w:rsid w:val="005477E7"/>
    <w:rsid w:val="00550159"/>
    <w:rsid w:val="00551897"/>
    <w:rsid w:val="00551FFD"/>
    <w:rsid w:val="00552A0F"/>
    <w:rsid w:val="005551ED"/>
    <w:rsid w:val="00556419"/>
    <w:rsid w:val="005572B4"/>
    <w:rsid w:val="005572DD"/>
    <w:rsid w:val="00560564"/>
    <w:rsid w:val="00561316"/>
    <w:rsid w:val="00562E2B"/>
    <w:rsid w:val="00564668"/>
    <w:rsid w:val="00570353"/>
    <w:rsid w:val="005715F5"/>
    <w:rsid w:val="0057171E"/>
    <w:rsid w:val="00571EEC"/>
    <w:rsid w:val="00572666"/>
    <w:rsid w:val="0057267E"/>
    <w:rsid w:val="005726BD"/>
    <w:rsid w:val="00574A5A"/>
    <w:rsid w:val="005753B8"/>
    <w:rsid w:val="00583ED5"/>
    <w:rsid w:val="00587437"/>
    <w:rsid w:val="00592678"/>
    <w:rsid w:val="00594644"/>
    <w:rsid w:val="0059526F"/>
    <w:rsid w:val="00596F36"/>
    <w:rsid w:val="005A1741"/>
    <w:rsid w:val="005A235F"/>
    <w:rsid w:val="005A751F"/>
    <w:rsid w:val="005A7719"/>
    <w:rsid w:val="005A77C2"/>
    <w:rsid w:val="005B291B"/>
    <w:rsid w:val="005B76C5"/>
    <w:rsid w:val="005B7AF0"/>
    <w:rsid w:val="005B7B8A"/>
    <w:rsid w:val="005C09C6"/>
    <w:rsid w:val="005C458D"/>
    <w:rsid w:val="005C491E"/>
    <w:rsid w:val="005C5E0A"/>
    <w:rsid w:val="005C6C0C"/>
    <w:rsid w:val="005D2276"/>
    <w:rsid w:val="005D25FD"/>
    <w:rsid w:val="005D2808"/>
    <w:rsid w:val="005E0858"/>
    <w:rsid w:val="005E2794"/>
    <w:rsid w:val="005E3CBF"/>
    <w:rsid w:val="005E3E4D"/>
    <w:rsid w:val="005E6F9D"/>
    <w:rsid w:val="005E7B5A"/>
    <w:rsid w:val="005F01FC"/>
    <w:rsid w:val="005F0C89"/>
    <w:rsid w:val="005F3701"/>
    <w:rsid w:val="005F41DF"/>
    <w:rsid w:val="005F4521"/>
    <w:rsid w:val="005F5478"/>
    <w:rsid w:val="006006FC"/>
    <w:rsid w:val="006045BA"/>
    <w:rsid w:val="0060583A"/>
    <w:rsid w:val="00611649"/>
    <w:rsid w:val="00611A0E"/>
    <w:rsid w:val="00614154"/>
    <w:rsid w:val="00614BD3"/>
    <w:rsid w:val="00623A77"/>
    <w:rsid w:val="006256F5"/>
    <w:rsid w:val="0063097B"/>
    <w:rsid w:val="006364B8"/>
    <w:rsid w:val="00636A64"/>
    <w:rsid w:val="00636B93"/>
    <w:rsid w:val="00640550"/>
    <w:rsid w:val="0064326A"/>
    <w:rsid w:val="00644D5D"/>
    <w:rsid w:val="00645E22"/>
    <w:rsid w:val="0064695B"/>
    <w:rsid w:val="00646DC7"/>
    <w:rsid w:val="006511FB"/>
    <w:rsid w:val="00651A9D"/>
    <w:rsid w:val="00654C93"/>
    <w:rsid w:val="00656092"/>
    <w:rsid w:val="0065741C"/>
    <w:rsid w:val="00660B85"/>
    <w:rsid w:val="006622E0"/>
    <w:rsid w:val="00662DCE"/>
    <w:rsid w:val="00664F6D"/>
    <w:rsid w:val="006650B8"/>
    <w:rsid w:val="00666329"/>
    <w:rsid w:val="006672EE"/>
    <w:rsid w:val="0067011F"/>
    <w:rsid w:val="0067015E"/>
    <w:rsid w:val="00680453"/>
    <w:rsid w:val="00682526"/>
    <w:rsid w:val="00683555"/>
    <w:rsid w:val="006863AE"/>
    <w:rsid w:val="00686F1D"/>
    <w:rsid w:val="00692F7A"/>
    <w:rsid w:val="00695E06"/>
    <w:rsid w:val="00696315"/>
    <w:rsid w:val="006A0D51"/>
    <w:rsid w:val="006A1C05"/>
    <w:rsid w:val="006A225B"/>
    <w:rsid w:val="006A30D2"/>
    <w:rsid w:val="006A5A6A"/>
    <w:rsid w:val="006A5FE3"/>
    <w:rsid w:val="006B23B2"/>
    <w:rsid w:val="006B4845"/>
    <w:rsid w:val="006B635C"/>
    <w:rsid w:val="006C1708"/>
    <w:rsid w:val="006C1C29"/>
    <w:rsid w:val="006C3782"/>
    <w:rsid w:val="006C3CDE"/>
    <w:rsid w:val="006C4745"/>
    <w:rsid w:val="006D0EE8"/>
    <w:rsid w:val="006D3162"/>
    <w:rsid w:val="006D37E7"/>
    <w:rsid w:val="006D5146"/>
    <w:rsid w:val="006D59D6"/>
    <w:rsid w:val="006D5C04"/>
    <w:rsid w:val="006D7508"/>
    <w:rsid w:val="006E0F2F"/>
    <w:rsid w:val="006E19D7"/>
    <w:rsid w:val="006E71B9"/>
    <w:rsid w:val="006F39B2"/>
    <w:rsid w:val="006F5384"/>
    <w:rsid w:val="006F6604"/>
    <w:rsid w:val="006F6896"/>
    <w:rsid w:val="006F71D8"/>
    <w:rsid w:val="006F7D1A"/>
    <w:rsid w:val="00702F6F"/>
    <w:rsid w:val="0070346C"/>
    <w:rsid w:val="007051A0"/>
    <w:rsid w:val="00706496"/>
    <w:rsid w:val="00711A12"/>
    <w:rsid w:val="00711F11"/>
    <w:rsid w:val="007154C4"/>
    <w:rsid w:val="00715DB9"/>
    <w:rsid w:val="007174BE"/>
    <w:rsid w:val="007218A0"/>
    <w:rsid w:val="007238AF"/>
    <w:rsid w:val="00726908"/>
    <w:rsid w:val="007270C7"/>
    <w:rsid w:val="00730F3A"/>
    <w:rsid w:val="00735F34"/>
    <w:rsid w:val="00736944"/>
    <w:rsid w:val="00741200"/>
    <w:rsid w:val="00741333"/>
    <w:rsid w:val="00742FF2"/>
    <w:rsid w:val="00744D6A"/>
    <w:rsid w:val="007456E1"/>
    <w:rsid w:val="00746138"/>
    <w:rsid w:val="0074620A"/>
    <w:rsid w:val="00751D50"/>
    <w:rsid w:val="007527D5"/>
    <w:rsid w:val="00752F3C"/>
    <w:rsid w:val="007561FC"/>
    <w:rsid w:val="00761D34"/>
    <w:rsid w:val="00762D2D"/>
    <w:rsid w:val="00764622"/>
    <w:rsid w:val="00764CAD"/>
    <w:rsid w:val="00767A02"/>
    <w:rsid w:val="00770FA1"/>
    <w:rsid w:val="0077205B"/>
    <w:rsid w:val="00773884"/>
    <w:rsid w:val="00774813"/>
    <w:rsid w:val="0078052A"/>
    <w:rsid w:val="007812FB"/>
    <w:rsid w:val="00784032"/>
    <w:rsid w:val="00786E79"/>
    <w:rsid w:val="00787925"/>
    <w:rsid w:val="00790E31"/>
    <w:rsid w:val="00791578"/>
    <w:rsid w:val="00793B87"/>
    <w:rsid w:val="00794E16"/>
    <w:rsid w:val="0079566E"/>
    <w:rsid w:val="00796509"/>
    <w:rsid w:val="0079691E"/>
    <w:rsid w:val="00797723"/>
    <w:rsid w:val="007B1EEE"/>
    <w:rsid w:val="007B249B"/>
    <w:rsid w:val="007B6D4D"/>
    <w:rsid w:val="007B6FAF"/>
    <w:rsid w:val="007B7A09"/>
    <w:rsid w:val="007C0F7A"/>
    <w:rsid w:val="007C3F4D"/>
    <w:rsid w:val="007D24A9"/>
    <w:rsid w:val="007D27FA"/>
    <w:rsid w:val="007D30B5"/>
    <w:rsid w:val="007D6218"/>
    <w:rsid w:val="007D6699"/>
    <w:rsid w:val="007D7E30"/>
    <w:rsid w:val="007E0A75"/>
    <w:rsid w:val="007E6419"/>
    <w:rsid w:val="007F6815"/>
    <w:rsid w:val="007F6BA8"/>
    <w:rsid w:val="0080681B"/>
    <w:rsid w:val="0080738C"/>
    <w:rsid w:val="0081076D"/>
    <w:rsid w:val="00810B77"/>
    <w:rsid w:val="00817436"/>
    <w:rsid w:val="00822217"/>
    <w:rsid w:val="0082542D"/>
    <w:rsid w:val="00827834"/>
    <w:rsid w:val="00832835"/>
    <w:rsid w:val="00835110"/>
    <w:rsid w:val="008351FC"/>
    <w:rsid w:val="00841F50"/>
    <w:rsid w:val="00843A0E"/>
    <w:rsid w:val="00845DFE"/>
    <w:rsid w:val="00846E17"/>
    <w:rsid w:val="0085200A"/>
    <w:rsid w:val="00854283"/>
    <w:rsid w:val="008573E3"/>
    <w:rsid w:val="00861E81"/>
    <w:rsid w:val="008645FF"/>
    <w:rsid w:val="00866D42"/>
    <w:rsid w:val="0087030E"/>
    <w:rsid w:val="00870352"/>
    <w:rsid w:val="00870AAC"/>
    <w:rsid w:val="008734F7"/>
    <w:rsid w:val="00874E9F"/>
    <w:rsid w:val="00877842"/>
    <w:rsid w:val="008806F8"/>
    <w:rsid w:val="008808E2"/>
    <w:rsid w:val="00881456"/>
    <w:rsid w:val="00881956"/>
    <w:rsid w:val="00881ACB"/>
    <w:rsid w:val="00885FC9"/>
    <w:rsid w:val="00891328"/>
    <w:rsid w:val="00891A47"/>
    <w:rsid w:val="00892809"/>
    <w:rsid w:val="0089370F"/>
    <w:rsid w:val="008939AF"/>
    <w:rsid w:val="00893FED"/>
    <w:rsid w:val="0089449A"/>
    <w:rsid w:val="00895E48"/>
    <w:rsid w:val="00896687"/>
    <w:rsid w:val="008971F4"/>
    <w:rsid w:val="008A0E7D"/>
    <w:rsid w:val="008A212F"/>
    <w:rsid w:val="008A3023"/>
    <w:rsid w:val="008A403F"/>
    <w:rsid w:val="008A6815"/>
    <w:rsid w:val="008A6BB7"/>
    <w:rsid w:val="008B1031"/>
    <w:rsid w:val="008B2303"/>
    <w:rsid w:val="008B34A0"/>
    <w:rsid w:val="008B5740"/>
    <w:rsid w:val="008C0B84"/>
    <w:rsid w:val="008C41DA"/>
    <w:rsid w:val="008C553A"/>
    <w:rsid w:val="008C588E"/>
    <w:rsid w:val="008C6D5F"/>
    <w:rsid w:val="008C7226"/>
    <w:rsid w:val="008D58E8"/>
    <w:rsid w:val="008D7B80"/>
    <w:rsid w:val="008E243B"/>
    <w:rsid w:val="008E4184"/>
    <w:rsid w:val="008E549F"/>
    <w:rsid w:val="008E6301"/>
    <w:rsid w:val="008F10BC"/>
    <w:rsid w:val="008F2052"/>
    <w:rsid w:val="008F26ED"/>
    <w:rsid w:val="008F2A38"/>
    <w:rsid w:val="008F3012"/>
    <w:rsid w:val="008F592B"/>
    <w:rsid w:val="008F7440"/>
    <w:rsid w:val="00901D14"/>
    <w:rsid w:val="00903775"/>
    <w:rsid w:val="009109F7"/>
    <w:rsid w:val="00912137"/>
    <w:rsid w:val="00915BED"/>
    <w:rsid w:val="00916B64"/>
    <w:rsid w:val="0092145D"/>
    <w:rsid w:val="009245DE"/>
    <w:rsid w:val="009263C6"/>
    <w:rsid w:val="00930762"/>
    <w:rsid w:val="00930C0C"/>
    <w:rsid w:val="00932773"/>
    <w:rsid w:val="00936B81"/>
    <w:rsid w:val="009433FF"/>
    <w:rsid w:val="00944701"/>
    <w:rsid w:val="00950ED1"/>
    <w:rsid w:val="00952A7A"/>
    <w:rsid w:val="00953A02"/>
    <w:rsid w:val="0095444E"/>
    <w:rsid w:val="00955C67"/>
    <w:rsid w:val="00957B65"/>
    <w:rsid w:val="00960AFF"/>
    <w:rsid w:val="00963F62"/>
    <w:rsid w:val="00965EFC"/>
    <w:rsid w:val="0097161B"/>
    <w:rsid w:val="009762D2"/>
    <w:rsid w:val="009762F1"/>
    <w:rsid w:val="0097692D"/>
    <w:rsid w:val="009776D2"/>
    <w:rsid w:val="00977EA8"/>
    <w:rsid w:val="0098140D"/>
    <w:rsid w:val="00981CED"/>
    <w:rsid w:val="00987225"/>
    <w:rsid w:val="00990870"/>
    <w:rsid w:val="00990DCF"/>
    <w:rsid w:val="009912B8"/>
    <w:rsid w:val="009920F5"/>
    <w:rsid w:val="00992B56"/>
    <w:rsid w:val="00992CDA"/>
    <w:rsid w:val="00993342"/>
    <w:rsid w:val="00996CE4"/>
    <w:rsid w:val="009A0FB3"/>
    <w:rsid w:val="009A3F36"/>
    <w:rsid w:val="009A48D8"/>
    <w:rsid w:val="009A6C59"/>
    <w:rsid w:val="009A7878"/>
    <w:rsid w:val="009B0888"/>
    <w:rsid w:val="009B33DF"/>
    <w:rsid w:val="009B4270"/>
    <w:rsid w:val="009B44CC"/>
    <w:rsid w:val="009B5651"/>
    <w:rsid w:val="009B62E4"/>
    <w:rsid w:val="009B706A"/>
    <w:rsid w:val="009C4319"/>
    <w:rsid w:val="009D109E"/>
    <w:rsid w:val="009D1CD9"/>
    <w:rsid w:val="009D1F28"/>
    <w:rsid w:val="009D28E5"/>
    <w:rsid w:val="009D4830"/>
    <w:rsid w:val="009D520D"/>
    <w:rsid w:val="009D797A"/>
    <w:rsid w:val="009E026A"/>
    <w:rsid w:val="009E3B56"/>
    <w:rsid w:val="009E49B5"/>
    <w:rsid w:val="009E551E"/>
    <w:rsid w:val="009E7066"/>
    <w:rsid w:val="009F1EF8"/>
    <w:rsid w:val="009F4604"/>
    <w:rsid w:val="009F4B78"/>
    <w:rsid w:val="009F606B"/>
    <w:rsid w:val="009F6E66"/>
    <w:rsid w:val="009F7888"/>
    <w:rsid w:val="00A02AC3"/>
    <w:rsid w:val="00A06840"/>
    <w:rsid w:val="00A06EAD"/>
    <w:rsid w:val="00A1293C"/>
    <w:rsid w:val="00A14F9B"/>
    <w:rsid w:val="00A167F1"/>
    <w:rsid w:val="00A2085F"/>
    <w:rsid w:val="00A20EC0"/>
    <w:rsid w:val="00A2150B"/>
    <w:rsid w:val="00A215D9"/>
    <w:rsid w:val="00A2292C"/>
    <w:rsid w:val="00A23FC3"/>
    <w:rsid w:val="00A25F1B"/>
    <w:rsid w:val="00A3288D"/>
    <w:rsid w:val="00A329DC"/>
    <w:rsid w:val="00A41135"/>
    <w:rsid w:val="00A41FEB"/>
    <w:rsid w:val="00A42FBA"/>
    <w:rsid w:val="00A44DA6"/>
    <w:rsid w:val="00A50921"/>
    <w:rsid w:val="00A5160D"/>
    <w:rsid w:val="00A56CA4"/>
    <w:rsid w:val="00A56D45"/>
    <w:rsid w:val="00A65F04"/>
    <w:rsid w:val="00A65F2E"/>
    <w:rsid w:val="00A7086D"/>
    <w:rsid w:val="00A71AD5"/>
    <w:rsid w:val="00A8073E"/>
    <w:rsid w:val="00A80883"/>
    <w:rsid w:val="00A81BED"/>
    <w:rsid w:val="00A82FC6"/>
    <w:rsid w:val="00A85A0D"/>
    <w:rsid w:val="00A92270"/>
    <w:rsid w:val="00AA10AE"/>
    <w:rsid w:val="00AA329F"/>
    <w:rsid w:val="00AA7B6A"/>
    <w:rsid w:val="00AB025E"/>
    <w:rsid w:val="00AB593E"/>
    <w:rsid w:val="00AB5D37"/>
    <w:rsid w:val="00AB683F"/>
    <w:rsid w:val="00AC4A2E"/>
    <w:rsid w:val="00AD1885"/>
    <w:rsid w:val="00AD50BA"/>
    <w:rsid w:val="00AE02E7"/>
    <w:rsid w:val="00AE0F75"/>
    <w:rsid w:val="00AE319E"/>
    <w:rsid w:val="00AE3B2C"/>
    <w:rsid w:val="00AE3B4E"/>
    <w:rsid w:val="00AE4305"/>
    <w:rsid w:val="00AE676F"/>
    <w:rsid w:val="00AE709C"/>
    <w:rsid w:val="00AE7DD9"/>
    <w:rsid w:val="00AF2B38"/>
    <w:rsid w:val="00B004C1"/>
    <w:rsid w:val="00B0168B"/>
    <w:rsid w:val="00B03458"/>
    <w:rsid w:val="00B04B8E"/>
    <w:rsid w:val="00B1072F"/>
    <w:rsid w:val="00B15820"/>
    <w:rsid w:val="00B215D8"/>
    <w:rsid w:val="00B2218A"/>
    <w:rsid w:val="00B246ED"/>
    <w:rsid w:val="00B26DD0"/>
    <w:rsid w:val="00B338C8"/>
    <w:rsid w:val="00B341CC"/>
    <w:rsid w:val="00B35321"/>
    <w:rsid w:val="00B35505"/>
    <w:rsid w:val="00B35CB3"/>
    <w:rsid w:val="00B35E0A"/>
    <w:rsid w:val="00B40124"/>
    <w:rsid w:val="00B40B86"/>
    <w:rsid w:val="00B42E03"/>
    <w:rsid w:val="00B443E2"/>
    <w:rsid w:val="00B46222"/>
    <w:rsid w:val="00B54092"/>
    <w:rsid w:val="00B5444C"/>
    <w:rsid w:val="00B5568B"/>
    <w:rsid w:val="00B557BF"/>
    <w:rsid w:val="00B55BD6"/>
    <w:rsid w:val="00B56147"/>
    <w:rsid w:val="00B56755"/>
    <w:rsid w:val="00B5720A"/>
    <w:rsid w:val="00B604A0"/>
    <w:rsid w:val="00B60761"/>
    <w:rsid w:val="00B620A5"/>
    <w:rsid w:val="00B62BB1"/>
    <w:rsid w:val="00B63559"/>
    <w:rsid w:val="00B73979"/>
    <w:rsid w:val="00B751B0"/>
    <w:rsid w:val="00B762E0"/>
    <w:rsid w:val="00B86188"/>
    <w:rsid w:val="00B86C54"/>
    <w:rsid w:val="00B8718C"/>
    <w:rsid w:val="00B874C4"/>
    <w:rsid w:val="00B90DF9"/>
    <w:rsid w:val="00B95F10"/>
    <w:rsid w:val="00B97AA2"/>
    <w:rsid w:val="00B97B8E"/>
    <w:rsid w:val="00BA00A8"/>
    <w:rsid w:val="00BA0378"/>
    <w:rsid w:val="00BA37A4"/>
    <w:rsid w:val="00BA4FB0"/>
    <w:rsid w:val="00BA6138"/>
    <w:rsid w:val="00BB1930"/>
    <w:rsid w:val="00BB3478"/>
    <w:rsid w:val="00BC2247"/>
    <w:rsid w:val="00BC5572"/>
    <w:rsid w:val="00BD497C"/>
    <w:rsid w:val="00BD57EE"/>
    <w:rsid w:val="00BE4E8A"/>
    <w:rsid w:val="00BF2A79"/>
    <w:rsid w:val="00BF375F"/>
    <w:rsid w:val="00C02372"/>
    <w:rsid w:val="00C044C3"/>
    <w:rsid w:val="00C10453"/>
    <w:rsid w:val="00C11121"/>
    <w:rsid w:val="00C12E60"/>
    <w:rsid w:val="00C13BCA"/>
    <w:rsid w:val="00C141B9"/>
    <w:rsid w:val="00C158CF"/>
    <w:rsid w:val="00C16518"/>
    <w:rsid w:val="00C1787D"/>
    <w:rsid w:val="00C20F14"/>
    <w:rsid w:val="00C22B7C"/>
    <w:rsid w:val="00C23B8E"/>
    <w:rsid w:val="00C3184D"/>
    <w:rsid w:val="00C331FD"/>
    <w:rsid w:val="00C34DCB"/>
    <w:rsid w:val="00C36D0C"/>
    <w:rsid w:val="00C3708D"/>
    <w:rsid w:val="00C4138A"/>
    <w:rsid w:val="00C440B4"/>
    <w:rsid w:val="00C446F9"/>
    <w:rsid w:val="00C462CB"/>
    <w:rsid w:val="00C46F39"/>
    <w:rsid w:val="00C47AFE"/>
    <w:rsid w:val="00C5067F"/>
    <w:rsid w:val="00C515C3"/>
    <w:rsid w:val="00C51AA2"/>
    <w:rsid w:val="00C52E43"/>
    <w:rsid w:val="00C56CD4"/>
    <w:rsid w:val="00C609C3"/>
    <w:rsid w:val="00C60E16"/>
    <w:rsid w:val="00C65E4E"/>
    <w:rsid w:val="00C66610"/>
    <w:rsid w:val="00C66648"/>
    <w:rsid w:val="00C66FEF"/>
    <w:rsid w:val="00C70CB4"/>
    <w:rsid w:val="00C727A7"/>
    <w:rsid w:val="00C728D5"/>
    <w:rsid w:val="00C72CF7"/>
    <w:rsid w:val="00C75119"/>
    <w:rsid w:val="00C76DD6"/>
    <w:rsid w:val="00C90B62"/>
    <w:rsid w:val="00C91C08"/>
    <w:rsid w:val="00C959F3"/>
    <w:rsid w:val="00C97F0E"/>
    <w:rsid w:val="00CA06AC"/>
    <w:rsid w:val="00CA1D9E"/>
    <w:rsid w:val="00CA242A"/>
    <w:rsid w:val="00CA27BD"/>
    <w:rsid w:val="00CA2AB6"/>
    <w:rsid w:val="00CA36DE"/>
    <w:rsid w:val="00CA4BCC"/>
    <w:rsid w:val="00CA5313"/>
    <w:rsid w:val="00CB01D6"/>
    <w:rsid w:val="00CB311E"/>
    <w:rsid w:val="00CB3A1C"/>
    <w:rsid w:val="00CB71E1"/>
    <w:rsid w:val="00CB7CA9"/>
    <w:rsid w:val="00CC0ED3"/>
    <w:rsid w:val="00CC1894"/>
    <w:rsid w:val="00CC2EE2"/>
    <w:rsid w:val="00CC3D03"/>
    <w:rsid w:val="00CC45DB"/>
    <w:rsid w:val="00CC5651"/>
    <w:rsid w:val="00CC73FF"/>
    <w:rsid w:val="00CD141E"/>
    <w:rsid w:val="00CD45DA"/>
    <w:rsid w:val="00CE2EA4"/>
    <w:rsid w:val="00CE5714"/>
    <w:rsid w:val="00CE6138"/>
    <w:rsid w:val="00CE6F59"/>
    <w:rsid w:val="00CE7AAB"/>
    <w:rsid w:val="00CF2673"/>
    <w:rsid w:val="00CF2DA1"/>
    <w:rsid w:val="00CF43B1"/>
    <w:rsid w:val="00D0614B"/>
    <w:rsid w:val="00D06AD1"/>
    <w:rsid w:val="00D17549"/>
    <w:rsid w:val="00D24D97"/>
    <w:rsid w:val="00D275F5"/>
    <w:rsid w:val="00D376F1"/>
    <w:rsid w:val="00D43CA8"/>
    <w:rsid w:val="00D4523D"/>
    <w:rsid w:val="00D4593F"/>
    <w:rsid w:val="00D45BD4"/>
    <w:rsid w:val="00D4775B"/>
    <w:rsid w:val="00D47AB8"/>
    <w:rsid w:val="00D55D94"/>
    <w:rsid w:val="00D56566"/>
    <w:rsid w:val="00D647A4"/>
    <w:rsid w:val="00D6487A"/>
    <w:rsid w:val="00D648BB"/>
    <w:rsid w:val="00D64E04"/>
    <w:rsid w:val="00D65A5E"/>
    <w:rsid w:val="00D669D1"/>
    <w:rsid w:val="00D7049A"/>
    <w:rsid w:val="00D704F6"/>
    <w:rsid w:val="00D722B1"/>
    <w:rsid w:val="00D74A82"/>
    <w:rsid w:val="00D753F6"/>
    <w:rsid w:val="00D7737D"/>
    <w:rsid w:val="00D80897"/>
    <w:rsid w:val="00D81375"/>
    <w:rsid w:val="00D8540E"/>
    <w:rsid w:val="00D85C4D"/>
    <w:rsid w:val="00D8730B"/>
    <w:rsid w:val="00D9072A"/>
    <w:rsid w:val="00D91BCE"/>
    <w:rsid w:val="00D94852"/>
    <w:rsid w:val="00DA039C"/>
    <w:rsid w:val="00DA10B4"/>
    <w:rsid w:val="00DA6EBE"/>
    <w:rsid w:val="00DB27CC"/>
    <w:rsid w:val="00DB2A54"/>
    <w:rsid w:val="00DB4EF9"/>
    <w:rsid w:val="00DC29FE"/>
    <w:rsid w:val="00DC430C"/>
    <w:rsid w:val="00DC60FB"/>
    <w:rsid w:val="00DC7319"/>
    <w:rsid w:val="00DC742E"/>
    <w:rsid w:val="00DD38DC"/>
    <w:rsid w:val="00DD63FF"/>
    <w:rsid w:val="00DF1BBF"/>
    <w:rsid w:val="00DF3145"/>
    <w:rsid w:val="00DF4B0E"/>
    <w:rsid w:val="00E01B89"/>
    <w:rsid w:val="00E01E4B"/>
    <w:rsid w:val="00E062B0"/>
    <w:rsid w:val="00E0711E"/>
    <w:rsid w:val="00E0770C"/>
    <w:rsid w:val="00E14DD3"/>
    <w:rsid w:val="00E14DFA"/>
    <w:rsid w:val="00E17EA5"/>
    <w:rsid w:val="00E229DB"/>
    <w:rsid w:val="00E2571A"/>
    <w:rsid w:val="00E26EDC"/>
    <w:rsid w:val="00E2713C"/>
    <w:rsid w:val="00E30B42"/>
    <w:rsid w:val="00E342D7"/>
    <w:rsid w:val="00E34D1F"/>
    <w:rsid w:val="00E35C26"/>
    <w:rsid w:val="00E410EA"/>
    <w:rsid w:val="00E41D5C"/>
    <w:rsid w:val="00E424C4"/>
    <w:rsid w:val="00E437F7"/>
    <w:rsid w:val="00E529F9"/>
    <w:rsid w:val="00E55017"/>
    <w:rsid w:val="00E55416"/>
    <w:rsid w:val="00E557D1"/>
    <w:rsid w:val="00E56282"/>
    <w:rsid w:val="00E616BF"/>
    <w:rsid w:val="00E658AA"/>
    <w:rsid w:val="00E6656A"/>
    <w:rsid w:val="00E66849"/>
    <w:rsid w:val="00E70D30"/>
    <w:rsid w:val="00E716BA"/>
    <w:rsid w:val="00E75977"/>
    <w:rsid w:val="00E76431"/>
    <w:rsid w:val="00E7686D"/>
    <w:rsid w:val="00E813BA"/>
    <w:rsid w:val="00E8590C"/>
    <w:rsid w:val="00E85F76"/>
    <w:rsid w:val="00E93590"/>
    <w:rsid w:val="00E94506"/>
    <w:rsid w:val="00E95A7B"/>
    <w:rsid w:val="00E969E9"/>
    <w:rsid w:val="00EA01A0"/>
    <w:rsid w:val="00EA155A"/>
    <w:rsid w:val="00EA24D4"/>
    <w:rsid w:val="00EA2851"/>
    <w:rsid w:val="00EA3515"/>
    <w:rsid w:val="00EA55FE"/>
    <w:rsid w:val="00EB0B4F"/>
    <w:rsid w:val="00EB1B59"/>
    <w:rsid w:val="00EB4384"/>
    <w:rsid w:val="00EB6065"/>
    <w:rsid w:val="00EC0826"/>
    <w:rsid w:val="00EC4E99"/>
    <w:rsid w:val="00EC7E23"/>
    <w:rsid w:val="00ED1687"/>
    <w:rsid w:val="00ED3A21"/>
    <w:rsid w:val="00ED54F9"/>
    <w:rsid w:val="00ED6982"/>
    <w:rsid w:val="00EE0218"/>
    <w:rsid w:val="00EE0E54"/>
    <w:rsid w:val="00EE1033"/>
    <w:rsid w:val="00EE114E"/>
    <w:rsid w:val="00EE76BB"/>
    <w:rsid w:val="00EF24BB"/>
    <w:rsid w:val="00EF2B90"/>
    <w:rsid w:val="00EF32F6"/>
    <w:rsid w:val="00EF4114"/>
    <w:rsid w:val="00EF448F"/>
    <w:rsid w:val="00EF4634"/>
    <w:rsid w:val="00EF472E"/>
    <w:rsid w:val="00EF4A5A"/>
    <w:rsid w:val="00EF4EC4"/>
    <w:rsid w:val="00EF66A9"/>
    <w:rsid w:val="00EF74D8"/>
    <w:rsid w:val="00F01898"/>
    <w:rsid w:val="00F05EE0"/>
    <w:rsid w:val="00F0686C"/>
    <w:rsid w:val="00F06985"/>
    <w:rsid w:val="00F07DE8"/>
    <w:rsid w:val="00F1314B"/>
    <w:rsid w:val="00F156B3"/>
    <w:rsid w:val="00F15FD8"/>
    <w:rsid w:val="00F21A1A"/>
    <w:rsid w:val="00F22813"/>
    <w:rsid w:val="00F22FC8"/>
    <w:rsid w:val="00F27F36"/>
    <w:rsid w:val="00F31696"/>
    <w:rsid w:val="00F32B8C"/>
    <w:rsid w:val="00F33383"/>
    <w:rsid w:val="00F33D5B"/>
    <w:rsid w:val="00F4030B"/>
    <w:rsid w:val="00F42CD5"/>
    <w:rsid w:val="00F42F65"/>
    <w:rsid w:val="00F444F5"/>
    <w:rsid w:val="00F4602E"/>
    <w:rsid w:val="00F46BCF"/>
    <w:rsid w:val="00F50B3E"/>
    <w:rsid w:val="00F515AF"/>
    <w:rsid w:val="00F53E05"/>
    <w:rsid w:val="00F5550A"/>
    <w:rsid w:val="00F55A56"/>
    <w:rsid w:val="00F56088"/>
    <w:rsid w:val="00F6031D"/>
    <w:rsid w:val="00F61303"/>
    <w:rsid w:val="00F65606"/>
    <w:rsid w:val="00F66614"/>
    <w:rsid w:val="00F67764"/>
    <w:rsid w:val="00F71232"/>
    <w:rsid w:val="00F74722"/>
    <w:rsid w:val="00F74B13"/>
    <w:rsid w:val="00F75F45"/>
    <w:rsid w:val="00F772F3"/>
    <w:rsid w:val="00F82957"/>
    <w:rsid w:val="00F83BD2"/>
    <w:rsid w:val="00F83DD4"/>
    <w:rsid w:val="00F857CA"/>
    <w:rsid w:val="00F92C2B"/>
    <w:rsid w:val="00F94241"/>
    <w:rsid w:val="00F945CD"/>
    <w:rsid w:val="00F95ECF"/>
    <w:rsid w:val="00F9792C"/>
    <w:rsid w:val="00F97AAA"/>
    <w:rsid w:val="00FA4AD8"/>
    <w:rsid w:val="00FB3597"/>
    <w:rsid w:val="00FB53CA"/>
    <w:rsid w:val="00FC3750"/>
    <w:rsid w:val="00FC487C"/>
    <w:rsid w:val="00FC51A5"/>
    <w:rsid w:val="00FD0B36"/>
    <w:rsid w:val="00FD168A"/>
    <w:rsid w:val="00FD3643"/>
    <w:rsid w:val="00FD553C"/>
    <w:rsid w:val="00FD6F5E"/>
    <w:rsid w:val="00FE087D"/>
    <w:rsid w:val="00FE133D"/>
    <w:rsid w:val="00FE2090"/>
    <w:rsid w:val="00FE359D"/>
    <w:rsid w:val="00FE47EA"/>
    <w:rsid w:val="00FE4D5F"/>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6A46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4A23"/>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D91BCE"/>
    <w:pPr>
      <w:spacing w:line="360" w:lineRule="auto"/>
      <w:jc w:val="both"/>
    </w:pPr>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unhideWhenUsed/>
    <w:rsid w:val="00664F6D"/>
    <w:rPr>
      <w:sz w:val="20"/>
      <w:szCs w:val="20"/>
      <w:lang w:val="x-none"/>
    </w:rPr>
  </w:style>
  <w:style w:type="character" w:customStyle="1" w:styleId="CommentTextChar">
    <w:name w:val="Comment Text Char"/>
    <w:link w:val="CommentText"/>
    <w:uiPriority w:val="99"/>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7B7A09"/>
    <w:rPr>
      <w:sz w:val="24"/>
      <w:szCs w:val="24"/>
      <w:lang w:eastAsia="ja-JP"/>
    </w:rPr>
  </w:style>
  <w:style w:type="paragraph" w:customStyle="1" w:styleId="BBAuthorName">
    <w:name w:val="BB_Author_Name"/>
    <w:basedOn w:val="Normal"/>
    <w:next w:val="Normal"/>
    <w:rsid w:val="0077205B"/>
    <w:pPr>
      <w:spacing w:after="240" w:line="480" w:lineRule="auto"/>
      <w:jc w:val="center"/>
    </w:pPr>
    <w:rPr>
      <w:rFonts w:ascii="Times" w:eastAsia="Times New Roman" w:hAnsi="Times"/>
      <w:i/>
      <w:szCs w:val="20"/>
      <w:lang w:val="en-US" w:eastAsia="en-US"/>
    </w:rPr>
  </w:style>
  <w:style w:type="paragraph" w:customStyle="1" w:styleId="BCAuthorAddress">
    <w:name w:val="BC_Author_Address"/>
    <w:basedOn w:val="Normal"/>
    <w:next w:val="Normal"/>
    <w:rsid w:val="00F772F3"/>
    <w:pPr>
      <w:spacing w:after="240" w:line="480" w:lineRule="auto"/>
      <w:jc w:val="center"/>
    </w:pPr>
    <w:rPr>
      <w:rFonts w:ascii="Times" w:eastAsia="Times New Roman" w:hAnsi="Times"/>
      <w:szCs w:val="20"/>
      <w:lang w:val="en-US" w:eastAsia="en-US"/>
    </w:rPr>
  </w:style>
  <w:style w:type="paragraph" w:styleId="Bibliography">
    <w:name w:val="Bibliography"/>
    <w:basedOn w:val="Normal"/>
    <w:next w:val="Normal"/>
    <w:uiPriority w:val="37"/>
    <w:unhideWhenUsed/>
    <w:rsid w:val="00B90DF9"/>
    <w:pPr>
      <w:tabs>
        <w:tab w:val="left" w:pos="504"/>
      </w:tabs>
      <w:ind w:left="504" w:hanging="504"/>
    </w:pPr>
  </w:style>
  <w:style w:type="table" w:styleId="TableGrid">
    <w:name w:val="Table Grid"/>
    <w:basedOn w:val="TableNormal"/>
    <w:uiPriority w:val="39"/>
    <w:rsid w:val="00B90D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B90DF9"/>
    <w:rPr>
      <w:color w:val="800080"/>
      <w:u w:val="single"/>
    </w:rPr>
  </w:style>
  <w:style w:type="paragraph" w:styleId="BodyText">
    <w:name w:val="Body Text"/>
    <w:basedOn w:val="Normal"/>
    <w:link w:val="BodyTextChar"/>
    <w:rsid w:val="00B90DF9"/>
    <w:pPr>
      <w:spacing w:after="200"/>
      <w:jc w:val="center"/>
    </w:pPr>
    <w:rPr>
      <w:rFonts w:ascii="Times" w:eastAsia="Times New Roman" w:hAnsi="Times"/>
      <w:b/>
      <w:sz w:val="40"/>
      <w:szCs w:val="20"/>
      <w:lang w:val="en-US" w:eastAsia="en-US"/>
    </w:rPr>
  </w:style>
  <w:style w:type="character" w:customStyle="1" w:styleId="BodyTextChar">
    <w:name w:val="Body Text Char"/>
    <w:basedOn w:val="DefaultParagraphFont"/>
    <w:link w:val="BodyText"/>
    <w:rsid w:val="00B90DF9"/>
    <w:rPr>
      <w:rFonts w:ascii="Times" w:eastAsia="Times New Roman" w:hAnsi="Times"/>
      <w:b/>
      <w:sz w:val="40"/>
      <w:lang w:val="en-US" w:eastAsia="en-US"/>
    </w:rPr>
  </w:style>
  <w:style w:type="paragraph" w:customStyle="1" w:styleId="TFReferencesSection">
    <w:name w:val="TF_References_Section"/>
    <w:basedOn w:val="Normal"/>
    <w:rsid w:val="00B90DF9"/>
    <w:pPr>
      <w:spacing w:after="200" w:line="480" w:lineRule="auto"/>
      <w:ind w:firstLine="187"/>
      <w:jc w:val="both"/>
    </w:pPr>
    <w:rPr>
      <w:rFonts w:ascii="Times" w:eastAsia="Times New Roman" w:hAnsi="Times"/>
      <w:szCs w:val="20"/>
      <w:lang w:val="en-US" w:eastAsia="en-US"/>
    </w:rPr>
  </w:style>
  <w:style w:type="paragraph" w:customStyle="1" w:styleId="TAMainText">
    <w:name w:val="TA_Main_Text"/>
    <w:basedOn w:val="Normal"/>
    <w:rsid w:val="00B90DF9"/>
    <w:pPr>
      <w:spacing w:line="480" w:lineRule="auto"/>
      <w:ind w:firstLine="202"/>
      <w:jc w:val="both"/>
    </w:pPr>
    <w:rPr>
      <w:rFonts w:ascii="Times" w:eastAsia="Times New Roman" w:hAnsi="Times"/>
      <w:szCs w:val="20"/>
      <w:lang w:val="en-US" w:eastAsia="en-US"/>
    </w:rPr>
  </w:style>
  <w:style w:type="paragraph" w:customStyle="1" w:styleId="BATitle">
    <w:name w:val="BA_Title"/>
    <w:basedOn w:val="Normal"/>
    <w:next w:val="BBAuthorName"/>
    <w:rsid w:val="00B90DF9"/>
    <w:pPr>
      <w:spacing w:before="720" w:after="360" w:line="480" w:lineRule="auto"/>
      <w:jc w:val="center"/>
    </w:pPr>
    <w:rPr>
      <w:rFonts w:eastAsia="Times New Roman"/>
      <w:sz w:val="44"/>
      <w:szCs w:val="20"/>
      <w:lang w:val="en-US" w:eastAsia="en-US"/>
    </w:rPr>
  </w:style>
  <w:style w:type="paragraph" w:customStyle="1" w:styleId="BIEmailAddress">
    <w:name w:val="BI_Email_Address"/>
    <w:basedOn w:val="Normal"/>
    <w:next w:val="AIReceivedDate"/>
    <w:rsid w:val="00B90DF9"/>
    <w:pPr>
      <w:spacing w:after="200" w:line="480" w:lineRule="auto"/>
      <w:jc w:val="both"/>
    </w:pPr>
    <w:rPr>
      <w:rFonts w:ascii="Times" w:eastAsia="Times New Roman" w:hAnsi="Times"/>
      <w:szCs w:val="20"/>
      <w:lang w:val="en-US" w:eastAsia="en-US"/>
    </w:rPr>
  </w:style>
  <w:style w:type="paragraph" w:customStyle="1" w:styleId="AIReceivedDate">
    <w:name w:val="AI_Received_Date"/>
    <w:basedOn w:val="Normal"/>
    <w:next w:val="BDAbstract"/>
    <w:rsid w:val="00B90DF9"/>
    <w:pPr>
      <w:spacing w:after="240" w:line="480" w:lineRule="auto"/>
      <w:jc w:val="both"/>
    </w:pPr>
    <w:rPr>
      <w:rFonts w:ascii="Times" w:eastAsia="Times New Roman" w:hAnsi="Times"/>
      <w:b/>
      <w:szCs w:val="20"/>
      <w:lang w:val="en-US" w:eastAsia="en-US"/>
    </w:rPr>
  </w:style>
  <w:style w:type="paragraph" w:customStyle="1" w:styleId="BDAbstract">
    <w:name w:val="BD_Abstract"/>
    <w:basedOn w:val="Normal"/>
    <w:next w:val="TAMainText"/>
    <w:rsid w:val="00B90DF9"/>
    <w:pPr>
      <w:spacing w:before="360" w:after="360" w:line="480" w:lineRule="auto"/>
      <w:jc w:val="both"/>
    </w:pPr>
    <w:rPr>
      <w:rFonts w:ascii="Times" w:eastAsia="Times New Roman" w:hAnsi="Times"/>
      <w:szCs w:val="20"/>
      <w:lang w:val="en-US" w:eastAsia="en-US"/>
    </w:rPr>
  </w:style>
  <w:style w:type="paragraph" w:customStyle="1" w:styleId="TDAcknowledgments">
    <w:name w:val="TD_Acknowledgments"/>
    <w:basedOn w:val="Normal"/>
    <w:next w:val="Normal"/>
    <w:rsid w:val="00B90DF9"/>
    <w:pPr>
      <w:spacing w:before="200" w:after="200" w:line="480" w:lineRule="auto"/>
      <w:ind w:firstLine="202"/>
      <w:jc w:val="both"/>
    </w:pPr>
    <w:rPr>
      <w:rFonts w:ascii="Times" w:eastAsia="Times New Roman" w:hAnsi="Times"/>
      <w:szCs w:val="20"/>
      <w:lang w:val="en-US" w:eastAsia="en-US"/>
    </w:rPr>
  </w:style>
  <w:style w:type="paragraph" w:customStyle="1" w:styleId="TESupportingInformation">
    <w:name w:val="TE_Supporting_Information"/>
    <w:basedOn w:val="Normal"/>
    <w:next w:val="Normal"/>
    <w:rsid w:val="00B90DF9"/>
    <w:pPr>
      <w:spacing w:after="200" w:line="480" w:lineRule="auto"/>
      <w:ind w:firstLine="187"/>
      <w:jc w:val="both"/>
    </w:pPr>
    <w:rPr>
      <w:rFonts w:ascii="Times" w:eastAsia="Times New Roman" w:hAnsi="Times"/>
      <w:szCs w:val="20"/>
      <w:lang w:val="en-US" w:eastAsia="en-US"/>
    </w:rPr>
  </w:style>
  <w:style w:type="paragraph" w:customStyle="1" w:styleId="VCSchemeTitle">
    <w:name w:val="VC_Scheme_Title"/>
    <w:basedOn w:val="Normal"/>
    <w:next w:val="Normal"/>
    <w:rsid w:val="00B90DF9"/>
    <w:pPr>
      <w:spacing w:after="200" w:line="480" w:lineRule="auto"/>
      <w:jc w:val="both"/>
    </w:pPr>
    <w:rPr>
      <w:rFonts w:ascii="Times" w:eastAsia="Times New Roman" w:hAnsi="Times"/>
      <w:szCs w:val="20"/>
      <w:lang w:val="en-US" w:eastAsia="en-US"/>
    </w:rPr>
  </w:style>
  <w:style w:type="paragraph" w:customStyle="1" w:styleId="VDTableTitle">
    <w:name w:val="VD_Table_Title"/>
    <w:basedOn w:val="Normal"/>
    <w:next w:val="Normal"/>
    <w:rsid w:val="00B90DF9"/>
    <w:pPr>
      <w:spacing w:after="200" w:line="480" w:lineRule="auto"/>
      <w:jc w:val="both"/>
    </w:pPr>
    <w:rPr>
      <w:rFonts w:ascii="Times" w:eastAsia="Times New Roman" w:hAnsi="Times"/>
      <w:szCs w:val="20"/>
      <w:lang w:val="en-US" w:eastAsia="en-US"/>
    </w:rPr>
  </w:style>
  <w:style w:type="paragraph" w:customStyle="1" w:styleId="VAFigureCaption">
    <w:name w:val="VA_Figure_Caption"/>
    <w:basedOn w:val="Normal"/>
    <w:next w:val="Normal"/>
    <w:rsid w:val="00B90DF9"/>
    <w:pPr>
      <w:spacing w:after="200" w:line="480" w:lineRule="auto"/>
      <w:jc w:val="both"/>
    </w:pPr>
    <w:rPr>
      <w:rFonts w:ascii="Times" w:eastAsia="Times New Roman" w:hAnsi="Times"/>
      <w:szCs w:val="20"/>
      <w:lang w:val="en-US" w:eastAsia="en-US"/>
    </w:rPr>
  </w:style>
  <w:style w:type="paragraph" w:customStyle="1" w:styleId="VBChartTitle">
    <w:name w:val="VB_Chart_Title"/>
    <w:basedOn w:val="Normal"/>
    <w:next w:val="Normal"/>
    <w:rsid w:val="00B90DF9"/>
    <w:pPr>
      <w:spacing w:after="200" w:line="480" w:lineRule="auto"/>
      <w:jc w:val="both"/>
    </w:pPr>
    <w:rPr>
      <w:rFonts w:ascii="Times" w:eastAsia="Times New Roman" w:hAnsi="Times"/>
      <w:szCs w:val="20"/>
      <w:lang w:val="en-US" w:eastAsia="en-US"/>
    </w:rPr>
  </w:style>
  <w:style w:type="paragraph" w:customStyle="1" w:styleId="FETableFootnote">
    <w:name w:val="FE_Table_Footnote"/>
    <w:basedOn w:val="Normal"/>
    <w:next w:val="Normal"/>
    <w:rsid w:val="00B90DF9"/>
    <w:pPr>
      <w:spacing w:after="200"/>
      <w:ind w:firstLine="187"/>
      <w:jc w:val="both"/>
    </w:pPr>
    <w:rPr>
      <w:rFonts w:ascii="Times" w:eastAsia="Times New Roman" w:hAnsi="Times"/>
      <w:szCs w:val="20"/>
      <w:lang w:val="en-US" w:eastAsia="en-US"/>
    </w:rPr>
  </w:style>
  <w:style w:type="paragraph" w:customStyle="1" w:styleId="FCChartFootnote">
    <w:name w:val="FC_Chart_Footnote"/>
    <w:basedOn w:val="Normal"/>
    <w:next w:val="Normal"/>
    <w:rsid w:val="00B90DF9"/>
    <w:pPr>
      <w:spacing w:after="200"/>
      <w:ind w:firstLine="187"/>
      <w:jc w:val="both"/>
    </w:pPr>
    <w:rPr>
      <w:rFonts w:ascii="Times" w:eastAsia="Times New Roman" w:hAnsi="Times"/>
      <w:szCs w:val="20"/>
      <w:lang w:val="en-US" w:eastAsia="en-US"/>
    </w:rPr>
  </w:style>
  <w:style w:type="paragraph" w:customStyle="1" w:styleId="FDSchemeFootnote">
    <w:name w:val="FD_Scheme_Footnote"/>
    <w:basedOn w:val="Normal"/>
    <w:next w:val="Normal"/>
    <w:rsid w:val="00B90DF9"/>
    <w:pPr>
      <w:spacing w:after="200"/>
      <w:ind w:firstLine="187"/>
      <w:jc w:val="both"/>
    </w:pPr>
    <w:rPr>
      <w:rFonts w:ascii="Times" w:eastAsia="Times New Roman" w:hAnsi="Times"/>
      <w:szCs w:val="20"/>
      <w:lang w:val="en-US" w:eastAsia="en-US"/>
    </w:rPr>
  </w:style>
  <w:style w:type="paragraph" w:customStyle="1" w:styleId="TCTableBody">
    <w:name w:val="TC_Table_Body"/>
    <w:basedOn w:val="Normal"/>
    <w:rsid w:val="00B90DF9"/>
    <w:pPr>
      <w:spacing w:after="200"/>
      <w:jc w:val="both"/>
    </w:pPr>
    <w:rPr>
      <w:rFonts w:ascii="Times" w:eastAsia="Times New Roman" w:hAnsi="Times"/>
      <w:szCs w:val="20"/>
      <w:lang w:val="en-US" w:eastAsia="en-US"/>
    </w:rPr>
  </w:style>
  <w:style w:type="paragraph" w:customStyle="1" w:styleId="AFTitleRunningHead">
    <w:name w:val="AF_Title_Running_Head"/>
    <w:basedOn w:val="Normal"/>
    <w:next w:val="TAMainText"/>
    <w:rsid w:val="00B90DF9"/>
    <w:pPr>
      <w:spacing w:after="200" w:line="480" w:lineRule="auto"/>
      <w:jc w:val="both"/>
    </w:pPr>
    <w:rPr>
      <w:rFonts w:ascii="Times" w:eastAsia="Times New Roman" w:hAnsi="Times"/>
      <w:szCs w:val="20"/>
      <w:lang w:val="en-US" w:eastAsia="en-US"/>
    </w:rPr>
  </w:style>
  <w:style w:type="paragraph" w:customStyle="1" w:styleId="BEAuthorBiography">
    <w:name w:val="BE_Author_Biography"/>
    <w:basedOn w:val="Normal"/>
    <w:rsid w:val="00B90DF9"/>
    <w:pPr>
      <w:spacing w:after="200" w:line="480" w:lineRule="auto"/>
      <w:jc w:val="both"/>
    </w:pPr>
    <w:rPr>
      <w:rFonts w:ascii="Times" w:eastAsia="Times New Roman" w:hAnsi="Times"/>
      <w:szCs w:val="20"/>
      <w:lang w:val="en-US" w:eastAsia="en-US"/>
    </w:rPr>
  </w:style>
  <w:style w:type="paragraph" w:customStyle="1" w:styleId="FACorrespondingAuthorFootnote">
    <w:name w:val="FA_Corresponding_Author_Footnote"/>
    <w:basedOn w:val="Normal"/>
    <w:next w:val="TAMainText"/>
    <w:rsid w:val="00B90DF9"/>
    <w:pPr>
      <w:spacing w:after="200" w:line="480" w:lineRule="auto"/>
      <w:jc w:val="both"/>
    </w:pPr>
    <w:rPr>
      <w:rFonts w:ascii="Times" w:eastAsia="Times New Roman" w:hAnsi="Times"/>
      <w:szCs w:val="20"/>
      <w:lang w:val="en-US" w:eastAsia="en-US"/>
    </w:rPr>
  </w:style>
  <w:style w:type="paragraph" w:customStyle="1" w:styleId="SNSynopsisTOC">
    <w:name w:val="SN_Synopsis_TOC"/>
    <w:basedOn w:val="Normal"/>
    <w:rsid w:val="00B90DF9"/>
    <w:pPr>
      <w:spacing w:after="200" w:line="480" w:lineRule="auto"/>
      <w:jc w:val="both"/>
    </w:pPr>
    <w:rPr>
      <w:rFonts w:ascii="Times" w:eastAsia="Times New Roman" w:hAnsi="Times"/>
      <w:szCs w:val="20"/>
      <w:lang w:val="en-US" w:eastAsia="en-US"/>
    </w:rPr>
  </w:style>
  <w:style w:type="character" w:styleId="Hyperlink">
    <w:name w:val="Hyperlink"/>
    <w:rsid w:val="00B90DF9"/>
    <w:rPr>
      <w:color w:val="0000FF"/>
      <w:u w:val="single"/>
    </w:rPr>
  </w:style>
  <w:style w:type="paragraph" w:customStyle="1" w:styleId="BGKeywords">
    <w:name w:val="BG_Keywords"/>
    <w:basedOn w:val="Normal"/>
    <w:rsid w:val="00B90DF9"/>
    <w:pPr>
      <w:spacing w:after="200" w:line="480" w:lineRule="auto"/>
      <w:jc w:val="both"/>
    </w:pPr>
    <w:rPr>
      <w:rFonts w:ascii="Times" w:eastAsia="Times New Roman" w:hAnsi="Times"/>
      <w:szCs w:val="20"/>
      <w:lang w:val="en-US" w:eastAsia="en-US"/>
    </w:rPr>
  </w:style>
  <w:style w:type="paragraph" w:customStyle="1" w:styleId="BHBriefs">
    <w:name w:val="BH_Briefs"/>
    <w:basedOn w:val="Normal"/>
    <w:rsid w:val="00B90DF9"/>
    <w:pPr>
      <w:spacing w:after="200" w:line="480" w:lineRule="auto"/>
      <w:jc w:val="both"/>
    </w:pPr>
    <w:rPr>
      <w:rFonts w:ascii="Times" w:eastAsia="Times New Roman" w:hAnsi="Times"/>
      <w:szCs w:val="20"/>
      <w:lang w:val="en-US" w:eastAsia="en-US"/>
    </w:rPr>
  </w:style>
  <w:style w:type="character" w:styleId="PageNumber">
    <w:name w:val="page number"/>
    <w:basedOn w:val="DefaultParagraphFont"/>
    <w:rsid w:val="00B90DF9"/>
  </w:style>
  <w:style w:type="paragraph" w:customStyle="1" w:styleId="StyleFACorrespondingAuthorFootnote7pt">
    <w:name w:val="Style FA_Corresponding_Author_Footnote + 7 pt"/>
    <w:basedOn w:val="Normal"/>
    <w:next w:val="BGKeywords"/>
    <w:link w:val="StyleFACorrespondingAuthorFootnote7ptChar"/>
    <w:autoRedefine/>
    <w:rsid w:val="00B90DF9"/>
    <w:pPr>
      <w:spacing w:after="240" w:line="480" w:lineRule="auto"/>
      <w:jc w:val="both"/>
    </w:pPr>
    <w:rPr>
      <w:rFonts w:ascii="Arno Pro" w:eastAsia="Times New Roman" w:hAnsi="Arno Pro"/>
      <w:kern w:val="20"/>
      <w:sz w:val="18"/>
      <w:szCs w:val="20"/>
      <w:lang w:val="en-US" w:eastAsia="en-US"/>
    </w:rPr>
  </w:style>
  <w:style w:type="character" w:customStyle="1" w:styleId="StyleFACorrespondingAuthorFootnote7ptChar">
    <w:name w:val="Style FA_Corresponding_Author_Footnote + 7 pt Char"/>
    <w:link w:val="StyleFACorrespondingAuthorFootnote7pt"/>
    <w:rsid w:val="00B90DF9"/>
    <w:rPr>
      <w:rFonts w:ascii="Arno Pro" w:eastAsia="Times New Roman" w:hAnsi="Arno Pro"/>
      <w:kern w:val="20"/>
      <w:sz w:val="18"/>
      <w:lang w:val="en-US" w:eastAsia="en-US"/>
    </w:rPr>
  </w:style>
  <w:style w:type="paragraph" w:customStyle="1" w:styleId="FAAuthorInfoSubtitle">
    <w:name w:val="FA_Author_Info_Subtitle"/>
    <w:basedOn w:val="Normal"/>
    <w:link w:val="FAAuthorInfoSubtitleChar"/>
    <w:autoRedefine/>
    <w:rsid w:val="00B90DF9"/>
    <w:pPr>
      <w:spacing w:before="120" w:after="60" w:line="480" w:lineRule="auto"/>
    </w:pPr>
    <w:rPr>
      <w:rFonts w:ascii="Times" w:eastAsia="Times New Roman" w:hAnsi="Times"/>
      <w:b/>
      <w:szCs w:val="20"/>
      <w:lang w:val="en-US" w:eastAsia="en-US"/>
    </w:rPr>
  </w:style>
  <w:style w:type="character" w:customStyle="1" w:styleId="FAAuthorInfoSubtitleChar">
    <w:name w:val="FA_Author_Info_Subtitle Char"/>
    <w:link w:val="FAAuthorInfoSubtitle"/>
    <w:rsid w:val="00B90DF9"/>
    <w:rPr>
      <w:rFonts w:ascii="Times" w:eastAsia="Times New Roman" w:hAnsi="Times"/>
      <w:b/>
      <w:sz w:val="24"/>
      <w:lang w:val="en-US" w:eastAsia="en-US"/>
    </w:rPr>
  </w:style>
  <w:style w:type="paragraph" w:customStyle="1" w:styleId="Default">
    <w:name w:val="Default"/>
    <w:rsid w:val="00B90DF9"/>
    <w:pPr>
      <w:autoSpaceDE w:val="0"/>
      <w:autoSpaceDN w:val="0"/>
      <w:adjustRightInd w:val="0"/>
    </w:pPr>
    <w:rPr>
      <w:rFonts w:ascii="Symbol" w:eastAsia="Times New Roman" w:hAnsi="Symbol" w:cs="Symbol"/>
      <w:color w:val="000000"/>
      <w:sz w:val="24"/>
      <w:szCs w:val="24"/>
      <w:lang w:val="en-US" w:eastAsia="en-US"/>
    </w:rPr>
  </w:style>
  <w:style w:type="paragraph" w:styleId="Revision">
    <w:name w:val="Revision"/>
    <w:hidden/>
    <w:uiPriority w:val="99"/>
    <w:semiHidden/>
    <w:rsid w:val="00B90DF9"/>
    <w:rPr>
      <w:rFonts w:asciiTheme="minorHAnsi" w:eastAsiaTheme="minorHAnsi" w:hAnsiTheme="minorHAnsi" w:cstheme="minorBidi"/>
      <w:kern w:val="2"/>
      <w:sz w:val="22"/>
      <w:szCs w:val="22"/>
      <w:lang w:val="it-IT" w:eastAsia="en-US"/>
      <w14:ligatures w14:val="standardContextual"/>
    </w:rPr>
  </w:style>
  <w:style w:type="paragraph" w:styleId="ListParagraph">
    <w:name w:val="List Paragraph"/>
    <w:basedOn w:val="Normal"/>
    <w:uiPriority w:val="34"/>
    <w:qFormat/>
    <w:rsid w:val="00B90DF9"/>
    <w:pPr>
      <w:spacing w:after="200"/>
      <w:ind w:left="720"/>
      <w:contextualSpacing/>
      <w:jc w:val="both"/>
    </w:pPr>
    <w:rPr>
      <w:rFonts w:ascii="Times" w:eastAsia="Times New Roman" w:hAnsi="Times"/>
      <w:szCs w:val="20"/>
      <w:lang w:val="en-US" w:eastAsia="en-US"/>
    </w:rPr>
  </w:style>
  <w:style w:type="character" w:customStyle="1" w:styleId="UnresolvedMention">
    <w:name w:val="Unresolved Mention"/>
    <w:basedOn w:val="DefaultParagraphFont"/>
    <w:uiPriority w:val="99"/>
    <w:semiHidden/>
    <w:unhideWhenUsed/>
    <w:rsid w:val="00B90DF9"/>
    <w:rPr>
      <w:color w:val="605E5C"/>
      <w:shd w:val="clear" w:color="auto" w:fill="E1DFDD"/>
    </w:rPr>
  </w:style>
  <w:style w:type="paragraph" w:styleId="HTMLPreformatted">
    <w:name w:val="HTML Preformatted"/>
    <w:basedOn w:val="Normal"/>
    <w:link w:val="HTMLPreformattedChar"/>
    <w:semiHidden/>
    <w:unhideWhenUsed/>
    <w:rsid w:val="00B90DF9"/>
    <w:pPr>
      <w:jc w:val="both"/>
    </w:pPr>
    <w:rPr>
      <w:rFonts w:ascii="Consolas" w:eastAsia="Times New Roman" w:hAnsi="Consolas"/>
      <w:sz w:val="20"/>
      <w:szCs w:val="20"/>
      <w:lang w:val="en-US" w:eastAsia="en-US"/>
    </w:rPr>
  </w:style>
  <w:style w:type="character" w:customStyle="1" w:styleId="HTMLPreformattedChar">
    <w:name w:val="HTML Preformatted Char"/>
    <w:basedOn w:val="DefaultParagraphFont"/>
    <w:link w:val="HTMLPreformatted"/>
    <w:semiHidden/>
    <w:rsid w:val="00B90DF9"/>
    <w:rPr>
      <w:rFonts w:ascii="Consolas" w:eastAsia="Times New Roman" w:hAnsi="Consola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3.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4.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F79B6E89-4C9C-440E-8111-928F306932E5}">
  <ds:schemaRefs>
    <ds:schemaRef ds:uri="http://schemas.openxmlformats.org/officeDocument/2006/bibliography"/>
  </ds:schemaRefs>
</ds:datastoreItem>
</file>

<file path=docMetadata/LabelInfo.xml><?xml version="1.0" encoding="utf-8"?>
<clbl:labelList xmlns:clbl="http://schemas.microsoft.com/office/2020/mipLabelMetadata">
  <clbl:label id="{84679d45-8346-4e23-8c84-a7304edba77f}" enabled="0" method="" siteId="{84679d45-8346-4e23-8c84-a7304edba77f}"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8</Pages>
  <Words>1401</Words>
  <Characters>7950</Characters>
  <Application>Microsoft Office Word</Application>
  <DocSecurity>0</DocSecurity>
  <Lines>128</Lines>
  <Paragraphs>42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2024-10-19T07:33:00Z</dcterms:created>
  <dcterms:modified xsi:type="dcterms:W3CDTF">2024-10-23T04:41:00Z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y fmtid="{D5CDD505-2E9C-101B-9397-08002B2CF9AE}" pid="3" name="ZOTERO_PREF_1">
    <vt:lpwstr>&lt;data data-version="3" zotero-version="6.0.36"&gt;&lt;session id="iIknvQQ1"/&gt;&lt;style id="http://www.zotero.org/styles/advanced-healthcare-materials" hasBibliography="1" bibliographyStyleHasBeenSet="1"/&gt;&lt;prefs&gt;&lt;pref name="fieldType" value="Field"/&gt;&lt;/prefs&gt;&lt;/data&gt;</vt:lpwstr>
  </property>
</Properties>
</file>