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64243" w14:textId="3E95B66B" w:rsidR="00772B0C" w:rsidRPr="00FA5AA8" w:rsidRDefault="00772B0C" w:rsidP="002C6CD8">
      <w:pPr>
        <w:spacing w:after="0" w:line="360" w:lineRule="auto"/>
        <w:jc w:val="center"/>
        <w:rPr>
          <w:rFonts w:ascii="Arial" w:eastAsiaTheme="majorEastAsia" w:hAnsi="Arial" w:cs="Arial"/>
          <w:b/>
          <w:bCs/>
          <w:sz w:val="26"/>
          <w:szCs w:val="26"/>
          <w:lang w:val="en-US"/>
        </w:rPr>
      </w:pPr>
      <w:r w:rsidRPr="00FA5AA8">
        <w:rPr>
          <w:rFonts w:ascii="Arial" w:eastAsiaTheme="majorEastAsia" w:hAnsi="Arial" w:cs="Arial"/>
          <w:b/>
          <w:bCs/>
          <w:sz w:val="26"/>
          <w:szCs w:val="26"/>
          <w:lang w:val="en-US"/>
        </w:rPr>
        <w:t>Cortico-cortical paired associative stimulation highlights asymmetrical communication between rostral premotor cortices and primary motor cortex</w:t>
      </w:r>
    </w:p>
    <w:p w14:paraId="5F72BB72" w14:textId="77777777" w:rsidR="00772B0C" w:rsidRPr="00FA5AA8" w:rsidRDefault="00772B0C" w:rsidP="00772B0C">
      <w:pPr>
        <w:spacing w:after="0" w:line="360" w:lineRule="auto"/>
        <w:rPr>
          <w:rFonts w:ascii="Arial" w:eastAsiaTheme="majorEastAsia" w:hAnsi="Arial" w:cs="Arial"/>
          <w:bCs/>
          <w:sz w:val="24"/>
          <w:szCs w:val="24"/>
          <w:lang w:val="en-US"/>
        </w:rPr>
      </w:pPr>
    </w:p>
    <w:p w14:paraId="1A23C85B" w14:textId="5F83D441" w:rsidR="00772B0C" w:rsidRPr="00FA5AA8" w:rsidRDefault="00772B0C" w:rsidP="00772B0C">
      <w:pPr>
        <w:spacing w:after="0" w:line="360" w:lineRule="auto"/>
        <w:rPr>
          <w:rFonts w:ascii="Arial" w:eastAsiaTheme="majorEastAsia" w:hAnsi="Arial" w:cs="Arial"/>
          <w:bCs/>
          <w:sz w:val="24"/>
          <w:szCs w:val="24"/>
          <w:lang w:val="it-IT"/>
        </w:rPr>
      </w:pPr>
      <w:r w:rsidRPr="00FA5AA8">
        <w:rPr>
          <w:rFonts w:ascii="Arial" w:eastAsiaTheme="majorEastAsia" w:hAnsi="Arial" w:cs="Arial"/>
          <w:bCs/>
          <w:sz w:val="24"/>
          <w:szCs w:val="24"/>
          <w:lang w:val="it-IT"/>
        </w:rPr>
        <w:t>Naomi Bevacqua</w:t>
      </w:r>
      <w:r w:rsidRPr="00FA5AA8">
        <w:rPr>
          <w:rFonts w:ascii="Arial" w:eastAsiaTheme="majorEastAsia" w:hAnsi="Arial" w:cs="Arial"/>
          <w:bCs/>
          <w:sz w:val="24"/>
          <w:szCs w:val="24"/>
          <w:vertAlign w:val="superscript"/>
          <w:lang w:val="it-IT"/>
        </w:rPr>
        <w:t>1,2</w:t>
      </w:r>
      <w:r w:rsidRPr="00FA5AA8">
        <w:rPr>
          <w:rFonts w:ascii="Arial" w:eastAsiaTheme="majorEastAsia" w:hAnsi="Arial" w:cs="Arial"/>
          <w:bCs/>
          <w:sz w:val="24"/>
          <w:szCs w:val="24"/>
          <w:lang w:val="it-IT"/>
        </w:rPr>
        <w:t>, Sonia Turrini</w:t>
      </w:r>
      <w:r w:rsidRPr="00FA5AA8">
        <w:rPr>
          <w:rFonts w:ascii="Arial" w:eastAsiaTheme="majorEastAsia" w:hAnsi="Arial" w:cs="Arial"/>
          <w:bCs/>
          <w:sz w:val="24"/>
          <w:szCs w:val="24"/>
          <w:vertAlign w:val="superscript"/>
          <w:lang w:val="it-IT"/>
        </w:rPr>
        <w:t>1</w:t>
      </w:r>
      <w:r w:rsidRPr="00FA5AA8">
        <w:rPr>
          <w:rFonts w:ascii="Arial" w:eastAsiaTheme="majorEastAsia" w:hAnsi="Arial" w:cs="Arial"/>
          <w:bCs/>
          <w:sz w:val="24"/>
          <w:szCs w:val="24"/>
          <w:lang w:val="it-IT"/>
        </w:rPr>
        <w:t>, Francesca Fiori</w:t>
      </w:r>
      <w:r w:rsidRPr="00FA5AA8">
        <w:rPr>
          <w:rFonts w:ascii="Arial" w:eastAsiaTheme="majorEastAsia" w:hAnsi="Arial" w:cs="Arial"/>
          <w:bCs/>
          <w:sz w:val="24"/>
          <w:szCs w:val="24"/>
          <w:vertAlign w:val="superscript"/>
          <w:lang w:val="it-IT"/>
        </w:rPr>
        <w:t>1,3</w:t>
      </w:r>
      <w:r w:rsidRPr="00FA5AA8">
        <w:rPr>
          <w:rFonts w:ascii="Arial" w:eastAsiaTheme="majorEastAsia" w:hAnsi="Arial" w:cs="Arial"/>
          <w:bCs/>
          <w:sz w:val="24"/>
          <w:szCs w:val="24"/>
          <w:lang w:val="it-IT"/>
        </w:rPr>
        <w:t>, Chiara Saracini</w:t>
      </w:r>
      <w:r w:rsidRPr="00FA5AA8">
        <w:rPr>
          <w:rFonts w:ascii="Arial" w:eastAsiaTheme="majorEastAsia" w:hAnsi="Arial" w:cs="Arial"/>
          <w:bCs/>
          <w:sz w:val="24"/>
          <w:szCs w:val="24"/>
          <w:vertAlign w:val="superscript"/>
          <w:lang w:val="it-IT"/>
        </w:rPr>
        <w:t>4</w:t>
      </w:r>
      <w:r w:rsidRPr="00FA5AA8">
        <w:rPr>
          <w:rFonts w:ascii="Arial" w:eastAsiaTheme="majorEastAsia" w:hAnsi="Arial" w:cs="Arial"/>
          <w:bCs/>
          <w:sz w:val="24"/>
          <w:szCs w:val="24"/>
          <w:lang w:val="it-IT"/>
        </w:rPr>
        <w:t>, Boris Lucero</w:t>
      </w:r>
      <w:r w:rsidRPr="00FA5AA8">
        <w:rPr>
          <w:rFonts w:ascii="Arial" w:eastAsiaTheme="majorEastAsia" w:hAnsi="Arial" w:cs="Arial"/>
          <w:bCs/>
          <w:sz w:val="24"/>
          <w:szCs w:val="24"/>
          <w:vertAlign w:val="superscript"/>
          <w:lang w:val="it-IT"/>
        </w:rPr>
        <w:t>4</w:t>
      </w:r>
      <w:r w:rsidRPr="00FA5AA8">
        <w:rPr>
          <w:rFonts w:ascii="Arial" w:eastAsiaTheme="majorEastAsia" w:hAnsi="Arial" w:cs="Arial"/>
          <w:bCs/>
          <w:sz w:val="24"/>
          <w:szCs w:val="24"/>
          <w:lang w:val="it-IT"/>
        </w:rPr>
        <w:t>, Matteo Candidi</w:t>
      </w:r>
      <w:r w:rsidRPr="00FA5AA8">
        <w:rPr>
          <w:rFonts w:ascii="Arial" w:eastAsiaTheme="majorEastAsia" w:hAnsi="Arial" w:cs="Arial"/>
          <w:bCs/>
          <w:sz w:val="24"/>
          <w:szCs w:val="24"/>
          <w:vertAlign w:val="superscript"/>
          <w:lang w:val="it-IT"/>
        </w:rPr>
        <w:t>2</w:t>
      </w:r>
      <w:r w:rsidRPr="00FA5AA8">
        <w:rPr>
          <w:rFonts w:ascii="Arial" w:eastAsiaTheme="majorEastAsia" w:hAnsi="Arial" w:cs="Arial"/>
          <w:bCs/>
          <w:sz w:val="24"/>
          <w:szCs w:val="24"/>
          <w:lang w:val="it-IT"/>
        </w:rPr>
        <w:t>, Alessio Avenanti</w:t>
      </w:r>
      <w:r w:rsidRPr="00FA5AA8">
        <w:rPr>
          <w:rFonts w:ascii="Arial" w:eastAsiaTheme="majorEastAsia" w:hAnsi="Arial" w:cs="Arial"/>
          <w:bCs/>
          <w:sz w:val="24"/>
          <w:szCs w:val="24"/>
          <w:vertAlign w:val="superscript"/>
          <w:lang w:val="it-IT"/>
        </w:rPr>
        <w:t>1,4</w:t>
      </w:r>
      <w:r w:rsidRPr="00FA5AA8">
        <w:rPr>
          <w:rFonts w:ascii="Arial" w:eastAsiaTheme="majorEastAsia" w:hAnsi="Arial" w:cs="Arial"/>
          <w:bCs/>
          <w:sz w:val="24"/>
          <w:szCs w:val="24"/>
          <w:lang w:val="it-IT"/>
        </w:rPr>
        <w:t xml:space="preserve"> </w:t>
      </w:r>
    </w:p>
    <w:p w14:paraId="172631C8" w14:textId="77777777" w:rsidR="00772B0C" w:rsidRPr="00FA5AA8" w:rsidRDefault="00772B0C" w:rsidP="00772B0C">
      <w:pPr>
        <w:spacing w:after="0" w:line="360" w:lineRule="auto"/>
        <w:rPr>
          <w:rFonts w:ascii="Arial" w:eastAsiaTheme="majorEastAsia" w:hAnsi="Arial" w:cs="Arial"/>
          <w:sz w:val="24"/>
          <w:szCs w:val="24"/>
          <w:lang w:val="it-IT"/>
        </w:rPr>
      </w:pPr>
    </w:p>
    <w:p w14:paraId="2F507F94" w14:textId="78E56328" w:rsidR="00772B0C" w:rsidRPr="00FA5AA8" w:rsidRDefault="00772B0C" w:rsidP="00772B0C">
      <w:pPr>
        <w:spacing w:after="0" w:line="360" w:lineRule="auto"/>
        <w:rPr>
          <w:rFonts w:ascii="Arial" w:eastAsiaTheme="majorEastAsia" w:hAnsi="Arial" w:cs="Arial"/>
          <w:sz w:val="20"/>
          <w:szCs w:val="20"/>
          <w:lang w:val="it-IT"/>
        </w:rPr>
      </w:pPr>
      <w:r w:rsidRPr="00FA5AA8">
        <w:rPr>
          <w:rFonts w:ascii="Arial" w:eastAsiaTheme="majorEastAsia" w:hAnsi="Arial" w:cs="Arial"/>
          <w:sz w:val="20"/>
          <w:szCs w:val="20"/>
          <w:vertAlign w:val="superscript"/>
          <w:lang w:val="it-IT"/>
        </w:rPr>
        <w:t xml:space="preserve">1 </w:t>
      </w:r>
      <w:r w:rsidRPr="00FA5AA8">
        <w:rPr>
          <w:rFonts w:ascii="Arial" w:eastAsiaTheme="majorEastAsia" w:hAnsi="Arial" w:cs="Arial"/>
          <w:sz w:val="20"/>
          <w:szCs w:val="20"/>
          <w:lang w:val="it-IT"/>
        </w:rPr>
        <w:t xml:space="preserve">Centro studi e ricerche in Neuroscienze Cognitive, Dipartimento di Psicologia “Renzo Canestrari”, Campus di Cesena, Alma Mater Studiorum Università di Bologna, 47521 Cesena, </w:t>
      </w:r>
      <w:proofErr w:type="spellStart"/>
      <w:r w:rsidRPr="00FA5AA8">
        <w:rPr>
          <w:rFonts w:ascii="Arial" w:eastAsiaTheme="majorEastAsia" w:hAnsi="Arial" w:cs="Arial"/>
          <w:sz w:val="20"/>
          <w:szCs w:val="20"/>
          <w:lang w:val="it-IT"/>
        </w:rPr>
        <w:t>Italy</w:t>
      </w:r>
      <w:proofErr w:type="spellEnd"/>
      <w:r w:rsidRPr="00FA5AA8">
        <w:rPr>
          <w:rFonts w:ascii="Arial" w:eastAsiaTheme="majorEastAsia" w:hAnsi="Arial" w:cs="Arial"/>
          <w:sz w:val="20"/>
          <w:szCs w:val="20"/>
          <w:lang w:val="it-IT"/>
        </w:rPr>
        <w:t>;</w:t>
      </w:r>
    </w:p>
    <w:p w14:paraId="3E3B13E7" w14:textId="77777777" w:rsidR="00772B0C" w:rsidRPr="00FA5AA8" w:rsidRDefault="00772B0C" w:rsidP="00772B0C">
      <w:pPr>
        <w:spacing w:after="0" w:line="360" w:lineRule="auto"/>
        <w:rPr>
          <w:rFonts w:ascii="Arial" w:eastAsiaTheme="majorEastAsia" w:hAnsi="Arial" w:cs="Arial"/>
          <w:sz w:val="20"/>
          <w:szCs w:val="20"/>
          <w:lang w:val="it-IT"/>
        </w:rPr>
      </w:pPr>
      <w:r w:rsidRPr="00FA5AA8">
        <w:rPr>
          <w:rFonts w:ascii="Arial" w:eastAsiaTheme="majorEastAsia" w:hAnsi="Arial" w:cs="Arial"/>
          <w:sz w:val="20"/>
          <w:szCs w:val="20"/>
          <w:vertAlign w:val="superscript"/>
          <w:lang w:val="it-IT"/>
        </w:rPr>
        <w:t xml:space="preserve">2 </w:t>
      </w:r>
      <w:r w:rsidRPr="00FA5AA8">
        <w:rPr>
          <w:rFonts w:ascii="Arial" w:eastAsiaTheme="majorEastAsia" w:hAnsi="Arial" w:cs="Arial"/>
          <w:sz w:val="20"/>
          <w:szCs w:val="20"/>
          <w:lang w:val="it-IT"/>
        </w:rPr>
        <w:t xml:space="preserve">Dipartimento di Psicologia, Sapienza Università di Roma, 00185 Rome, </w:t>
      </w:r>
      <w:proofErr w:type="spellStart"/>
      <w:r w:rsidRPr="00FA5AA8">
        <w:rPr>
          <w:rFonts w:ascii="Arial" w:eastAsiaTheme="majorEastAsia" w:hAnsi="Arial" w:cs="Arial"/>
          <w:sz w:val="20"/>
          <w:szCs w:val="20"/>
          <w:lang w:val="it-IT"/>
        </w:rPr>
        <w:t>Italy</w:t>
      </w:r>
      <w:proofErr w:type="spellEnd"/>
      <w:r w:rsidRPr="00FA5AA8">
        <w:rPr>
          <w:rFonts w:ascii="Arial" w:eastAsiaTheme="majorEastAsia" w:hAnsi="Arial" w:cs="Arial"/>
          <w:sz w:val="20"/>
          <w:szCs w:val="20"/>
          <w:lang w:val="it-IT"/>
        </w:rPr>
        <w:t>;</w:t>
      </w:r>
    </w:p>
    <w:p w14:paraId="7B77552A" w14:textId="77777777" w:rsidR="00772B0C" w:rsidRPr="00FA5AA8" w:rsidRDefault="00772B0C" w:rsidP="00772B0C">
      <w:pPr>
        <w:spacing w:after="0" w:line="360" w:lineRule="auto"/>
        <w:rPr>
          <w:rFonts w:ascii="Arial" w:eastAsiaTheme="majorEastAsia" w:hAnsi="Arial" w:cs="Arial"/>
          <w:sz w:val="20"/>
          <w:szCs w:val="20"/>
          <w:lang w:val="en-US"/>
        </w:rPr>
      </w:pPr>
      <w:r w:rsidRPr="00FA5AA8">
        <w:rPr>
          <w:rFonts w:ascii="Arial" w:eastAsiaTheme="majorEastAsia" w:hAnsi="Arial" w:cs="Arial"/>
          <w:sz w:val="20"/>
          <w:szCs w:val="20"/>
          <w:vertAlign w:val="superscript"/>
          <w:lang w:val="en-US"/>
        </w:rPr>
        <w:t xml:space="preserve">3 </w:t>
      </w:r>
      <w:r w:rsidRPr="00FA5AA8">
        <w:rPr>
          <w:rFonts w:ascii="Arial" w:eastAsiaTheme="majorEastAsia" w:hAnsi="Arial" w:cs="Arial"/>
          <w:sz w:val="20"/>
          <w:szCs w:val="20"/>
          <w:lang w:val="en-US"/>
        </w:rPr>
        <w:t xml:space="preserve">Neurophysiology and </w:t>
      </w:r>
      <w:proofErr w:type="spellStart"/>
      <w:r w:rsidRPr="00FA5AA8">
        <w:rPr>
          <w:rFonts w:ascii="Arial" w:eastAsiaTheme="majorEastAsia" w:hAnsi="Arial" w:cs="Arial"/>
          <w:sz w:val="20"/>
          <w:szCs w:val="20"/>
          <w:lang w:val="en-US"/>
        </w:rPr>
        <w:t>Neuroengineering</w:t>
      </w:r>
      <w:proofErr w:type="spellEnd"/>
      <w:r w:rsidRPr="00FA5AA8">
        <w:rPr>
          <w:rFonts w:ascii="Arial" w:eastAsiaTheme="majorEastAsia" w:hAnsi="Arial" w:cs="Arial"/>
          <w:sz w:val="20"/>
          <w:szCs w:val="20"/>
          <w:lang w:val="en-US"/>
        </w:rPr>
        <w:t xml:space="preserve"> of Human-Technology Interaction Unit (NeXT Lab), </w:t>
      </w:r>
      <w:proofErr w:type="spellStart"/>
      <w:r w:rsidRPr="00FA5AA8">
        <w:rPr>
          <w:rFonts w:ascii="Arial" w:eastAsiaTheme="majorEastAsia" w:hAnsi="Arial" w:cs="Arial"/>
          <w:sz w:val="20"/>
          <w:szCs w:val="20"/>
          <w:lang w:val="en-US"/>
        </w:rPr>
        <w:t>Università</w:t>
      </w:r>
      <w:proofErr w:type="spellEnd"/>
      <w:r w:rsidRPr="00FA5AA8">
        <w:rPr>
          <w:rFonts w:ascii="Arial" w:eastAsiaTheme="majorEastAsia" w:hAnsi="Arial" w:cs="Arial"/>
          <w:sz w:val="20"/>
          <w:szCs w:val="20"/>
          <w:lang w:val="en-US"/>
        </w:rPr>
        <w:t xml:space="preserve"> Campus Bio-Medico di Roma, 00128 Rome, Italy;</w:t>
      </w:r>
    </w:p>
    <w:p w14:paraId="2C0B1AB4" w14:textId="3C61AF56" w:rsidR="00772B0C" w:rsidRPr="00FA5AA8" w:rsidRDefault="00772B0C" w:rsidP="00772B0C">
      <w:pPr>
        <w:spacing w:after="0" w:line="360" w:lineRule="auto"/>
        <w:rPr>
          <w:rFonts w:ascii="Arial" w:eastAsiaTheme="majorEastAsia" w:hAnsi="Arial" w:cs="Arial"/>
          <w:sz w:val="20"/>
          <w:szCs w:val="20"/>
          <w:lang w:val="es-CL"/>
        </w:rPr>
      </w:pPr>
      <w:r w:rsidRPr="00FA5AA8">
        <w:rPr>
          <w:rFonts w:ascii="Arial" w:eastAsiaTheme="majorEastAsia" w:hAnsi="Arial" w:cs="Arial"/>
          <w:sz w:val="20"/>
          <w:szCs w:val="20"/>
          <w:vertAlign w:val="superscript"/>
          <w:lang w:val="es-CL"/>
        </w:rPr>
        <w:t xml:space="preserve">4 </w:t>
      </w:r>
      <w:r w:rsidRPr="00FA5AA8">
        <w:rPr>
          <w:rFonts w:ascii="Arial" w:eastAsiaTheme="majorEastAsia" w:hAnsi="Arial" w:cs="Arial"/>
          <w:sz w:val="20"/>
          <w:szCs w:val="20"/>
          <w:lang w:val="es-CL"/>
        </w:rPr>
        <w:t>Centro de Investigación en Neuropsicología y Neurosciencias Cognitivas</w:t>
      </w:r>
      <w:r w:rsidR="00FA5AA8">
        <w:rPr>
          <w:rFonts w:ascii="Arial" w:eastAsiaTheme="majorEastAsia" w:hAnsi="Arial" w:cs="Arial"/>
          <w:sz w:val="20"/>
          <w:szCs w:val="20"/>
          <w:lang w:val="es-CL"/>
        </w:rPr>
        <w:t xml:space="preserve"> (CINPSI Neurocog)</w:t>
      </w:r>
      <w:r w:rsidRPr="00FA5AA8">
        <w:rPr>
          <w:rFonts w:ascii="Arial" w:eastAsiaTheme="majorEastAsia" w:hAnsi="Arial" w:cs="Arial"/>
          <w:sz w:val="20"/>
          <w:szCs w:val="20"/>
          <w:lang w:val="es-CL"/>
        </w:rPr>
        <w:t>, Universidad Católica Del Maule, 3460000 Talca, Chile.</w:t>
      </w:r>
    </w:p>
    <w:p w14:paraId="57FF8817" w14:textId="77777777" w:rsidR="002C6CD8" w:rsidRPr="00FA5AA8" w:rsidRDefault="002C6CD8" w:rsidP="35F05C04">
      <w:pPr>
        <w:spacing w:line="360" w:lineRule="auto"/>
        <w:rPr>
          <w:rFonts w:ascii="Arial" w:hAnsi="Arial" w:cs="Arial"/>
          <w:b/>
          <w:bCs/>
          <w:lang w:val="es-CL"/>
        </w:rPr>
      </w:pPr>
    </w:p>
    <w:p w14:paraId="343C4105" w14:textId="7C6F3911" w:rsidR="00273889" w:rsidRPr="00FA5AA8" w:rsidRDefault="00CD188A" w:rsidP="35F05C04">
      <w:pPr>
        <w:spacing w:line="360" w:lineRule="auto"/>
        <w:rPr>
          <w:rFonts w:ascii="Arial" w:hAnsi="Arial" w:cs="Arial"/>
          <w:b/>
          <w:bCs/>
          <w:lang w:val="en-US"/>
        </w:rPr>
      </w:pPr>
      <w:r w:rsidRPr="00FA5AA8">
        <w:rPr>
          <w:rFonts w:ascii="Arial" w:hAnsi="Arial" w:cs="Arial"/>
          <w:b/>
          <w:bCs/>
          <w:lang w:val="en-US"/>
        </w:rPr>
        <w:t xml:space="preserve">Supplementary </w:t>
      </w:r>
      <w:r w:rsidR="00665C0B" w:rsidRPr="00FA5AA8">
        <w:rPr>
          <w:rFonts w:ascii="Arial" w:hAnsi="Arial" w:cs="Arial"/>
          <w:b/>
          <w:bCs/>
          <w:lang w:val="en-US"/>
        </w:rPr>
        <w:t>Methods</w:t>
      </w:r>
    </w:p>
    <w:p w14:paraId="79B30DE7" w14:textId="0870F2A3" w:rsidR="00665C0B" w:rsidRPr="00FA5AA8" w:rsidRDefault="00665C0B" w:rsidP="35F05C04">
      <w:pPr>
        <w:spacing w:line="360" w:lineRule="auto"/>
        <w:rPr>
          <w:rFonts w:ascii="Arial" w:hAnsi="Arial" w:cs="Arial"/>
          <w:i/>
          <w:iCs/>
          <w:lang w:val="en-US"/>
        </w:rPr>
      </w:pPr>
      <w:r w:rsidRPr="00FA5AA8">
        <w:rPr>
          <w:rFonts w:ascii="Arial" w:hAnsi="Arial" w:cs="Arial"/>
          <w:i/>
          <w:iCs/>
          <w:lang w:val="en-US"/>
        </w:rPr>
        <w:t>Participants</w:t>
      </w:r>
      <w:r w:rsidR="005528A6" w:rsidRPr="00FA5AA8">
        <w:rPr>
          <w:rFonts w:ascii="Arial" w:hAnsi="Arial" w:cs="Arial"/>
          <w:i/>
          <w:iCs/>
          <w:lang w:val="en-US"/>
        </w:rPr>
        <w:t xml:space="preserve"> </w:t>
      </w:r>
    </w:p>
    <w:p w14:paraId="32B5B2A8" w14:textId="300CAC4A" w:rsidR="009F2E56" w:rsidRPr="00FA5AA8" w:rsidRDefault="00665C0B" w:rsidP="00FA07BD">
      <w:pPr>
        <w:spacing w:line="360" w:lineRule="auto"/>
        <w:ind w:firstLine="708"/>
        <w:rPr>
          <w:rFonts w:ascii="Arial" w:hAnsi="Arial" w:cs="Arial"/>
          <w:lang w:val="en-US"/>
        </w:rPr>
      </w:pPr>
      <w:r w:rsidRPr="00FA5AA8">
        <w:rPr>
          <w:rFonts w:ascii="Arial" w:hAnsi="Arial" w:cs="Arial"/>
          <w:lang w:val="en-US"/>
        </w:rPr>
        <w:t xml:space="preserve">We tested </w:t>
      </w:r>
      <w:r w:rsidR="00C32676" w:rsidRPr="00FA5AA8">
        <w:rPr>
          <w:rFonts w:ascii="Arial" w:hAnsi="Arial" w:cs="Arial"/>
          <w:lang w:val="en-US"/>
        </w:rPr>
        <w:t>60</w:t>
      </w:r>
      <w:r w:rsidRPr="00FA5AA8">
        <w:rPr>
          <w:rFonts w:ascii="Arial" w:hAnsi="Arial" w:cs="Arial"/>
          <w:lang w:val="en-US"/>
        </w:rPr>
        <w:t xml:space="preserve"> </w:t>
      </w:r>
      <w:r w:rsidR="00AE6D0C" w:rsidRPr="00FA5AA8">
        <w:rPr>
          <w:rFonts w:ascii="Arial" w:hAnsi="Arial" w:cs="Arial"/>
          <w:lang w:val="en-US"/>
        </w:rPr>
        <w:t>young adult volunteers</w:t>
      </w:r>
      <w:r w:rsidR="0002748C" w:rsidRPr="00FA5AA8">
        <w:rPr>
          <w:rFonts w:ascii="Arial" w:hAnsi="Arial" w:cs="Arial"/>
          <w:lang w:val="en-US"/>
        </w:rPr>
        <w:t xml:space="preserve"> (</w:t>
      </w:r>
      <w:r w:rsidR="000D0635" w:rsidRPr="00FA5AA8">
        <w:rPr>
          <w:rFonts w:ascii="Arial" w:hAnsi="Arial" w:cs="Arial"/>
          <w:lang w:val="en-US"/>
        </w:rPr>
        <w:t xml:space="preserve">mean </w:t>
      </w:r>
      <w:r w:rsidR="0002748C" w:rsidRPr="00FA5AA8">
        <w:rPr>
          <w:rFonts w:ascii="Arial" w:hAnsi="Arial" w:cs="Arial"/>
          <w:lang w:val="en-US"/>
        </w:rPr>
        <w:t>age</w:t>
      </w:r>
      <w:r w:rsidR="000D0635" w:rsidRPr="00FA5AA8">
        <w:rPr>
          <w:rFonts w:ascii="Arial" w:hAnsi="Arial" w:cs="Arial"/>
          <w:lang w:val="en-US"/>
        </w:rPr>
        <w:t>:</w:t>
      </w:r>
      <w:r w:rsidR="0002748C" w:rsidRPr="00FA5AA8">
        <w:rPr>
          <w:rFonts w:ascii="Arial" w:hAnsi="Arial" w:cs="Arial"/>
          <w:lang w:val="en-US"/>
        </w:rPr>
        <w:t xml:space="preserve"> </w:t>
      </w:r>
      <w:r w:rsidR="000D0635" w:rsidRPr="00FA5AA8">
        <w:rPr>
          <w:rFonts w:ascii="Arial" w:hAnsi="Arial" w:cs="Arial"/>
          <w:lang w:val="en-US"/>
        </w:rPr>
        <w:t>23.2</w:t>
      </w:r>
      <w:r w:rsidR="0002748C" w:rsidRPr="00FA5AA8">
        <w:rPr>
          <w:rFonts w:ascii="Arial" w:hAnsi="Arial" w:cs="Arial"/>
          <w:lang w:val="en-US"/>
        </w:rPr>
        <w:t xml:space="preserve"> y</w:t>
      </w:r>
      <w:r w:rsidR="000D0635" w:rsidRPr="00FA5AA8">
        <w:rPr>
          <w:rFonts w:ascii="Arial" w:hAnsi="Arial" w:cs="Arial"/>
          <w:lang w:val="en-US"/>
        </w:rPr>
        <w:t>, standard deviation: 2.2, range: 19-29; 19 males and 41 females</w:t>
      </w:r>
      <w:r w:rsidR="0002748C" w:rsidRPr="00FA5AA8">
        <w:rPr>
          <w:rFonts w:ascii="Arial" w:hAnsi="Arial" w:cs="Arial"/>
          <w:lang w:val="en-US"/>
        </w:rPr>
        <w:t>)</w:t>
      </w:r>
      <w:r w:rsidR="00AE6D0C" w:rsidRPr="00FA5AA8">
        <w:rPr>
          <w:rFonts w:ascii="Arial" w:hAnsi="Arial" w:cs="Arial"/>
          <w:lang w:val="en-US"/>
        </w:rPr>
        <w:t xml:space="preserve">, divided into four groups (N = 15 each) in which we </w:t>
      </w:r>
      <w:r w:rsidR="00C57556" w:rsidRPr="00FA5AA8">
        <w:rPr>
          <w:rFonts w:ascii="Arial" w:hAnsi="Arial" w:cs="Arial"/>
          <w:lang w:val="en-US"/>
        </w:rPr>
        <w:t xml:space="preserve">administered </w:t>
      </w:r>
      <w:r w:rsidR="00AE6D0C" w:rsidRPr="00FA5AA8">
        <w:rPr>
          <w:rFonts w:ascii="Arial" w:hAnsi="Arial" w:cs="Arial"/>
          <w:lang w:val="en-US"/>
        </w:rPr>
        <w:t xml:space="preserve">different </w:t>
      </w:r>
      <w:r w:rsidR="00C32676" w:rsidRPr="00FA5AA8">
        <w:rPr>
          <w:rFonts w:ascii="Arial" w:hAnsi="Arial" w:cs="Arial"/>
          <w:lang w:val="en-US"/>
        </w:rPr>
        <w:t>cortico-cortical paired associative stimulation (</w:t>
      </w:r>
      <w:r w:rsidR="00AE6D0C" w:rsidRPr="00FA5AA8">
        <w:rPr>
          <w:rFonts w:ascii="Arial" w:hAnsi="Arial" w:cs="Arial"/>
          <w:lang w:val="en-US"/>
        </w:rPr>
        <w:t>ccPAS</w:t>
      </w:r>
      <w:r w:rsidR="00C32676" w:rsidRPr="00FA5AA8">
        <w:rPr>
          <w:rFonts w:ascii="Arial" w:hAnsi="Arial" w:cs="Arial"/>
          <w:lang w:val="en-US"/>
        </w:rPr>
        <w:t>)</w:t>
      </w:r>
      <w:r w:rsidR="00AE6D0C" w:rsidRPr="00FA5AA8">
        <w:rPr>
          <w:rFonts w:ascii="Arial" w:hAnsi="Arial" w:cs="Arial"/>
          <w:lang w:val="en-US"/>
        </w:rPr>
        <w:t xml:space="preserve"> protocol</w:t>
      </w:r>
      <w:r w:rsidR="00C57556" w:rsidRPr="00FA5AA8">
        <w:rPr>
          <w:rFonts w:ascii="Arial" w:hAnsi="Arial" w:cs="Arial"/>
          <w:lang w:val="en-US"/>
        </w:rPr>
        <w:t>s</w:t>
      </w:r>
      <w:r w:rsidR="00AE6D0C" w:rsidRPr="00FA5AA8">
        <w:rPr>
          <w:rFonts w:ascii="Arial" w:hAnsi="Arial" w:cs="Arial"/>
          <w:lang w:val="en-US"/>
        </w:rPr>
        <w:t>: ccPAS</w:t>
      </w:r>
      <w:r w:rsidR="00520DDD" w:rsidRPr="00FA5AA8">
        <w:rPr>
          <w:rFonts w:ascii="Arial" w:hAnsi="Arial" w:cs="Arial"/>
          <w:vertAlign w:val="subscript"/>
          <w:lang w:val="en-US"/>
        </w:rPr>
        <w:t>PMv-M1</w:t>
      </w:r>
      <w:r w:rsidR="00FA07BD" w:rsidRPr="00FA5AA8">
        <w:rPr>
          <w:rFonts w:ascii="Arial" w:hAnsi="Arial" w:cs="Arial"/>
          <w:vertAlign w:val="subscript"/>
          <w:lang w:val="en-US"/>
        </w:rPr>
        <w:t xml:space="preserve"> </w:t>
      </w:r>
      <w:r w:rsidR="00FA07BD" w:rsidRPr="00FA5AA8">
        <w:rPr>
          <w:rFonts w:ascii="Arial" w:hAnsi="Arial" w:cs="Arial"/>
          <w:lang w:val="en-US"/>
        </w:rPr>
        <w:t>(22.20 y ± 2.11; 4 male and 11 female)</w:t>
      </w:r>
      <w:r w:rsidR="00AE6D0C" w:rsidRPr="00FA5AA8">
        <w:rPr>
          <w:rFonts w:ascii="Arial" w:hAnsi="Arial" w:cs="Arial"/>
          <w:lang w:val="en-US"/>
        </w:rPr>
        <w:t>, ccPAS</w:t>
      </w:r>
      <w:r w:rsidR="00520DDD" w:rsidRPr="00FA5AA8">
        <w:rPr>
          <w:rFonts w:ascii="Arial" w:hAnsi="Arial" w:cs="Arial"/>
          <w:vertAlign w:val="subscript"/>
          <w:lang w:val="en-US"/>
        </w:rPr>
        <w:t>M1-PMv</w:t>
      </w:r>
      <w:r w:rsidR="00FA07BD" w:rsidRPr="00FA5AA8">
        <w:rPr>
          <w:rFonts w:ascii="Arial" w:hAnsi="Arial" w:cs="Arial"/>
          <w:vertAlign w:val="subscript"/>
          <w:lang w:val="en-US"/>
        </w:rPr>
        <w:t xml:space="preserve"> </w:t>
      </w:r>
      <w:r w:rsidR="00FA07BD" w:rsidRPr="00FA5AA8">
        <w:rPr>
          <w:rFonts w:ascii="Arial" w:hAnsi="Arial" w:cs="Arial"/>
          <w:lang w:val="en-US"/>
        </w:rPr>
        <w:t>(22.27 y ± 1.53; 5 male and 10 female)</w:t>
      </w:r>
      <w:r w:rsidR="00AE6D0C" w:rsidRPr="00FA5AA8">
        <w:rPr>
          <w:rFonts w:ascii="Arial" w:hAnsi="Arial" w:cs="Arial"/>
          <w:lang w:val="en-US"/>
        </w:rPr>
        <w:t>, ccPAS</w:t>
      </w:r>
      <w:r w:rsidR="00520DDD" w:rsidRPr="00FA5AA8">
        <w:rPr>
          <w:rFonts w:ascii="Arial" w:hAnsi="Arial" w:cs="Arial"/>
          <w:vertAlign w:val="subscript"/>
          <w:lang w:val="en-US"/>
        </w:rPr>
        <w:t>SMA-M1</w:t>
      </w:r>
      <w:r w:rsidR="00AE6D0C" w:rsidRPr="00FA5AA8">
        <w:rPr>
          <w:rFonts w:ascii="Arial" w:hAnsi="Arial" w:cs="Arial"/>
          <w:lang w:val="en-US"/>
        </w:rPr>
        <w:t xml:space="preserve"> </w:t>
      </w:r>
      <w:r w:rsidR="00FA07BD" w:rsidRPr="00FA5AA8">
        <w:rPr>
          <w:rFonts w:ascii="Arial" w:hAnsi="Arial" w:cs="Arial"/>
          <w:lang w:val="en-US"/>
        </w:rPr>
        <w:t xml:space="preserve">(24.00 y ± 2.24; 5 male and 10 female) </w:t>
      </w:r>
      <w:r w:rsidR="00AE6D0C" w:rsidRPr="00FA5AA8">
        <w:rPr>
          <w:rFonts w:ascii="Arial" w:hAnsi="Arial" w:cs="Arial"/>
          <w:lang w:val="en-US"/>
        </w:rPr>
        <w:t>and ccPAS</w:t>
      </w:r>
      <w:r w:rsidR="00520DDD" w:rsidRPr="00FA5AA8">
        <w:rPr>
          <w:rFonts w:ascii="Arial" w:hAnsi="Arial" w:cs="Arial"/>
          <w:vertAlign w:val="subscript"/>
          <w:lang w:val="en-US"/>
        </w:rPr>
        <w:t>M1-SMA</w:t>
      </w:r>
      <w:r w:rsidR="00FA07BD" w:rsidRPr="00FA5AA8">
        <w:rPr>
          <w:rFonts w:ascii="Arial" w:hAnsi="Arial" w:cs="Arial"/>
          <w:vertAlign w:val="subscript"/>
          <w:lang w:val="en-US"/>
        </w:rPr>
        <w:t xml:space="preserve"> </w:t>
      </w:r>
      <w:r w:rsidR="00FA07BD" w:rsidRPr="00FA5AA8">
        <w:rPr>
          <w:rFonts w:ascii="Arial" w:hAnsi="Arial" w:cs="Arial"/>
          <w:lang w:val="en-US"/>
        </w:rPr>
        <w:t>(24.40 y ± 2.13; 5 male and 10 female)</w:t>
      </w:r>
      <w:r w:rsidR="00AE6D0C" w:rsidRPr="00FA5AA8">
        <w:rPr>
          <w:rFonts w:ascii="Arial" w:hAnsi="Arial" w:cs="Arial"/>
          <w:lang w:val="en-US"/>
        </w:rPr>
        <w:t xml:space="preserve">. </w:t>
      </w:r>
      <w:r w:rsidR="00941E50" w:rsidRPr="00FA5AA8">
        <w:rPr>
          <w:rFonts w:ascii="Arial" w:hAnsi="Arial" w:cs="Arial"/>
          <w:lang w:val="en-US"/>
        </w:rPr>
        <w:t>All participants were right-handed</w:t>
      </w:r>
      <w:r w:rsidR="00C57556" w:rsidRPr="00FA5AA8">
        <w:rPr>
          <w:rFonts w:ascii="Arial" w:hAnsi="Arial" w:cs="Arial"/>
          <w:lang w:val="en-US"/>
        </w:rPr>
        <w:t xml:space="preserve"> according to the Ed</w:t>
      </w:r>
      <w:r w:rsidR="00941E50" w:rsidRPr="00FA5AA8">
        <w:rPr>
          <w:rFonts w:ascii="Arial" w:hAnsi="Arial" w:cs="Arial"/>
          <w:lang w:val="en-US"/>
        </w:rPr>
        <w:t xml:space="preserve">inburgh Handedness Inventory </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{"citationID":"5VcWa030","properties":{"formattedCitation":"\\super 1\\nosupersub{}","plainCitation":"1","noteIndex":0},"citationItems":[{"id":4915,"uris":["http://zotero.org/users/10009444/items/VD9NHYCU"],"itemData":{"id":4915,"type":"article-journal","abstract":"The need for a simply applied quantitative assessment of handedness is discussed and some previous forms reviewed. An inventory of 20 items with a set of instructions and response- and computational-conventions is proposed and the results obtained from a young adult population numbering some 1100 individuals are reported. The separate items are examined from the point of view of sex, cultural and socio-economic factors which might appertain to them and also of their inter-relationship to each other and to the measure computed from them all. Criteria derived from these considerations are then applied to eliminate 10 of the original 20 items and the results recomputed to provide frequency-distribution and cumulative frequency functions and a revised item-analysis. The difference of incidence of handedness between the sexes is discussed.\nRésumé\nLa nécessité d'une évaluation quantitative et d'application simple de la fréquence manuelle est discutée. Les inventaires déjà proposés sont passés en revue. Un inventaire de 20 items avec une série d'instructions et de conventions de réponse—et de calcul—est présenté de même que les résultats obtenus sur une population de 1100 jeunes adultes. Les items sont examinés séparément du point de vue des facteurs de sexe, culturel et socio-économiques qui pourraient se rapporter à ces items. Ils sont aussi examinés sous l'angle de leur interrelation mutuelle et avec la mesure globale calculée sur l'ensemble. Les critères obtenus sur ces bases ont été alors appliqués pour éliminer 10 des 20 items originaux et les résultats sont à nouveau calculés pour procurer des fonctions de distribution de fréquence et de fréquence cumulative. De même, une révision de l'analyse des items a été pratiquée sur ces bases. On discute enfin la différence d'incidence de la prévalence manuelle selon les sexes.\nZusammenfassung\nEs wird die Notwendigkeit für eine einfach anwendbare quantitative Einschätzung der Händigkeit diskutiert und über einige frühere Angehungsweisen berichtet. Eine Liste von 20 Teilkomplexen sowie den jeweiligen Instruktionen und Antworten und deren Berechnung wird dargestelt und es wird auβerdem über die damit gewonnenen Untersuchungsergebnisse bei einer Populationsgruppe von 1100 jungen Menschen berichtet. Getrennte Testbewertung erfolgte unter dem Gesichtspunkt des Geschlechts, des kulturellen und sozialökonomischen Status der Probanden und den jeweiligen Beziehungen zwischen ihnen. Alles wurde mit Computer berechnet. Aus den Untersuchungen lieβ sich folgern, daβ 10 der ursprünglich 20 Teiltests und deren Ergebnisse allein geeignet sind, Häufigkeitsbeurteilung der Händigkeit, überwiegende Zahl von Einzelfunktionen und eine revidierte Item-Analyse zu liefern. Es wird der Geschlechtsunterschied der Händigkeit diskutiert.","container-title":"Neuropsychologia","DOI":"10.1016/0028-3932(71)90067-4","ISSN":"0028-3932","issue":"1","journalAbbreviation":"Neuropsychologia","language":"en","page":"97-113","source":"ScienceDirect","title":"The assessment and analysis of handedness: The Edinburgh inventory","title-short":"The assessment and analysis of handedness","volume":"9","author":[{"family":"Oldfield","given":"R. C."}],"issued":{"date-parts":[["1971",3,1]]}}}],"schema":"https://github.com/citation-style-language/schema/raw/master/csl-citation.json"}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1</w:t>
      </w:r>
      <w:r w:rsidRPr="00FA5AA8">
        <w:rPr>
          <w:rFonts w:ascii="Arial" w:hAnsi="Arial" w:cs="Arial"/>
          <w:lang w:val="en-US"/>
        </w:rPr>
        <w:fldChar w:fldCharType="end"/>
      </w:r>
      <w:r w:rsidR="00941E50" w:rsidRPr="00FA5AA8">
        <w:rPr>
          <w:rFonts w:ascii="Arial" w:hAnsi="Arial" w:cs="Arial"/>
          <w:lang w:val="en-US"/>
        </w:rPr>
        <w:t>, had normal or corrected-to-normal eyesight, were unaware of the goal of the experiment</w:t>
      </w:r>
      <w:r w:rsidR="009C1F04" w:rsidRPr="00FA5AA8">
        <w:rPr>
          <w:rFonts w:ascii="Arial" w:hAnsi="Arial" w:cs="Arial"/>
          <w:lang w:val="en-US"/>
        </w:rPr>
        <w:t>,</w:t>
      </w:r>
      <w:r w:rsidR="00941E50" w:rsidRPr="00FA5AA8">
        <w:rPr>
          <w:rFonts w:ascii="Arial" w:hAnsi="Arial" w:cs="Arial"/>
          <w:lang w:val="en-US"/>
        </w:rPr>
        <w:t xml:space="preserve"> and had no contraindications to TMS</w:t>
      </w:r>
      <w:r w:rsidR="009141E3" w:rsidRPr="00FA5AA8">
        <w:rPr>
          <w:rFonts w:ascii="Arial" w:hAnsi="Arial" w:cs="Arial"/>
          <w:lang w:val="en-US"/>
        </w:rPr>
        <w:t xml:space="preserve"> </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{"citationID":"WeDlj88I","properties":{"formattedCitation":"\\super 2\\nosupersub{}","plainCitation":"2","noteIndex":0},"citationItems":[{"id":3087,"uris":["http://zotero.org/users/10009444/items/ACTJV5SF"],"itemData":{"id":3087,"type":"article-journal","abstract":"This article is based on a consensus conference, promoted and supported by the International Federation of Clinical Neurophysiology (IFCN), which took place in Siena (Italy) in October 2018. The meeting intended to update the ten-year-old safety guidelines for the application of transcranial magnetic stimulation (TMS) in research and clinical settings (Rossi et al., 2009). Therefore, only emerging and new issues are covered in detail, leaving still valid the 2009 recommendations regarding the description of conventional or patterned TMS protocols, the screening of subjects/patients, the need of neurophysiological monitoring for new protocols, the utilization of reference thresholds of stimulation, the managing of seizures and the list of minor side effects. New issues discussed in detail from the meeting up to April 2020 are safety issues of recently developed stimulation devices and pulse configurations; duties and responsibility of device makers; novel scenarios of TMS applications such as in the neuroimaging context or imaging-guided and robot-guided TMS; TMS interleaved with transcranial electrical stimulation; safety during paired associative stimulation interventions; and risks of using TMS to induce therapeutic seizures (magnetic seizure therapy). An update on the possible induction of seizures, theoretically the most serious risk of TMS, is provided. It has become apparent that such a risk is low, even in patients taking drugs acting on the central nervous system, at least with the use of traditional stimulation parameters and focal coils for which large data sets are available. Finally, new operational guidelines are provided for safety in planning future trials based on traditional and patterned TMS protocols, as well as a summary of the minimal training requirements for operators, and a note on ethics of neuroenhancement.","container-title":"Clinical Neurophysiology","DOI":"10.1016/j.clinph.2020.10.003","ISSN":"1388-2457","issue":"1","journalAbbreviation":"Clinical Neurophysiology","language":"en","page":"269-306","source":"ScienceDirect","title":"Safety and recommendations for TMS use in healthy subjects and patient populations, with updates on training, ethical and regulatory issues: Expert Guidelines","title-short":"Safety and recommendations for TMS use in healthy subjects and patient populations, with updates on training, ethical and regulatory issues","volume":"132","author":[{"family":"Rossi","given":"Simone"},{"family":"Antal","given":"Andrea"},{"family":"Bestmann","given":"Sven"},{"family":"Bikson","given":"Marom"},{"family":"Brewer","given":"Carmen"},{"family":"Brockmöller","given":"Jürgen"},{"family":"Carpenter","given":"Linda L."},{"family":"Cincotta","given":"Massimo"},{"family":"Chen","given":"Robert"},{"family":"Daskalakis","given":"Jeff D."},{"family":"Di Lazzaro","given":"Vincenzo"},{"family":"Fox","given":"Michael D."},{"family":"George","given":"Mark S."},{"family":"Gilbert","given":"Donald"},{"family":"Kimiskidis","given":"Vasilios K."},{"family":"Koch","given":"Giacomo"},{"family":"Ilmoniemi","given":"Risto J."},{"family":"Lefaucheur","given":"Jean Pascal"},{"family":"Leocani","given":"Letizia"},{"family":"Lisanby","given":"Sarah H."},{"family":"Miniussi","given":"Carlo"},{"family":"Padberg","given":"Frank"},{"family":"Pascual-Leone","given":"Alvaro"},{"family":"Paulus","given":"Walter"},{"family":"Peterchev","given":"Angel V."},{"family":"Quartarone","given":"Angelo"},{"family":"Rotenberg","given":"Alexander"},{"family":"Rothwell","given":"John"},{"family":"Rossini","given":"Paolo M."},{"family":"Santarnecchi","given":"Emiliano"},{"family":"Shafi","given":"Mouhsin M."},{"family":"Siebner","given":"Hartwig R."},{"family":"Ugawa","given":"Yoshikatzu"},{"family":"Wassermann","given":"Eric M."},{"family":"Zangen","given":"Abraham"},{"family":"Ziemann","given":"Ulf"},{"family":"Hallett","given":"Mark"}],"issued":{"date-parts":[["2021",1,1]]}}}],"schema":"https://github.com/citation-style-language/schema/raw/master/csl-citation.json"}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2</w:t>
      </w:r>
      <w:r w:rsidRPr="00FA5AA8">
        <w:rPr>
          <w:rFonts w:ascii="Arial" w:hAnsi="Arial" w:cs="Arial"/>
          <w:lang w:val="en-US"/>
        </w:rPr>
        <w:fldChar w:fldCharType="end"/>
      </w:r>
      <w:r w:rsidR="00941E50" w:rsidRPr="00FA5AA8">
        <w:rPr>
          <w:rFonts w:ascii="Arial" w:hAnsi="Arial" w:cs="Arial"/>
          <w:lang w:val="en-US"/>
        </w:rPr>
        <w:t>. All experimental procedures were carried out in accordance with the 1964 Helsinki Declaration and its amendments</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{"citationID":"gHKMFfd6","properties":{"formattedCitation":"\\super 3\\nosupersub{}","plainCitation":"3","noteIndex":0},"citationItems":[{"id":5126,"uris":["http://zotero.org/users/10009444/items/XFWB2VWZ"],"itemData":{"id":5126,"type":"article-journal","container-title":"JAMA","DOI":"10.1001/jama.2013.281053","ISSN":"0098-7484","issue":"20","journalAbbreviation":"JAMA","page":"2191-2194","source":"Silverchair","title":"World Medical Association Declaration of Helsinki: Ethical Principles for Medical Research Involving Human Subjects","title-short":"World Medical Association Declaration of Helsinki","volume":"310","author":[{"literal":"World Medical Association"}],"issued":{"date-parts":[["2013",11,27]]}}}],"schema":"https://github.com/citation-style-language/schema/raw/master/csl-citation.json"}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3</w:t>
      </w:r>
      <w:r w:rsidRPr="00FA5AA8">
        <w:rPr>
          <w:rFonts w:ascii="Arial" w:hAnsi="Arial" w:cs="Arial"/>
          <w:lang w:val="en-US"/>
        </w:rPr>
        <w:fldChar w:fldCharType="end"/>
      </w:r>
      <w:r w:rsidR="00941E50" w:rsidRPr="00FA5AA8">
        <w:rPr>
          <w:rFonts w:ascii="Arial" w:hAnsi="Arial" w:cs="Arial"/>
          <w:lang w:val="en-US"/>
        </w:rPr>
        <w:t xml:space="preserve"> and were </w:t>
      </w:r>
      <w:r w:rsidR="0002748C" w:rsidRPr="00FA5AA8">
        <w:rPr>
          <w:rFonts w:ascii="Arial" w:hAnsi="Arial" w:cs="Arial"/>
          <w:lang w:val="en-US"/>
        </w:rPr>
        <w:t xml:space="preserve">approved </w:t>
      </w:r>
      <w:r w:rsidR="00941E50" w:rsidRPr="00FA5AA8">
        <w:rPr>
          <w:rFonts w:ascii="Arial" w:hAnsi="Arial" w:cs="Arial"/>
          <w:lang w:val="en-US"/>
        </w:rPr>
        <w:t xml:space="preserve">by the University of Bologna's Department of Psychology "Renzo Canestrari" Ethical Committee and the Bioethics Committee. There were no adverse responses or TMS-related discomfort reported by subjects or observed by experimenters. </w:t>
      </w:r>
      <w:r w:rsidR="009C1F04" w:rsidRPr="00FA5AA8">
        <w:rPr>
          <w:rFonts w:ascii="Arial" w:hAnsi="Arial" w:cs="Arial"/>
          <w:lang w:val="en-US"/>
        </w:rPr>
        <w:t>B</w:t>
      </w:r>
      <w:r w:rsidR="000E5685" w:rsidRPr="00FA5AA8">
        <w:rPr>
          <w:rFonts w:ascii="Arial" w:hAnsi="Arial" w:cs="Arial"/>
          <w:lang w:val="en-US"/>
        </w:rPr>
        <w:t xml:space="preserve">ehavioral data </w:t>
      </w:r>
      <w:r w:rsidR="00944B56" w:rsidRPr="00FA5AA8">
        <w:rPr>
          <w:rFonts w:ascii="Arial" w:hAnsi="Arial" w:cs="Arial"/>
          <w:lang w:val="en-US"/>
        </w:rPr>
        <w:t xml:space="preserve">collected in this study </w:t>
      </w:r>
      <w:r w:rsidR="009C1F04" w:rsidRPr="00FA5AA8">
        <w:rPr>
          <w:rFonts w:ascii="Arial" w:hAnsi="Arial" w:cs="Arial"/>
          <w:lang w:val="en-US"/>
        </w:rPr>
        <w:t>are</w:t>
      </w:r>
      <w:r w:rsidR="00944B56" w:rsidRPr="00FA5AA8">
        <w:rPr>
          <w:rFonts w:ascii="Arial" w:hAnsi="Arial" w:cs="Arial"/>
          <w:lang w:val="en-US"/>
        </w:rPr>
        <w:t xml:space="preserve"> part of a larger </w:t>
      </w:r>
      <w:r w:rsidR="003F7D52" w:rsidRPr="00FA5AA8">
        <w:rPr>
          <w:rFonts w:ascii="Arial" w:hAnsi="Arial" w:cs="Arial"/>
          <w:lang w:val="en-US"/>
        </w:rPr>
        <w:t>study</w:t>
      </w:r>
      <w:r w:rsidR="00944B56" w:rsidRPr="00FA5AA8">
        <w:rPr>
          <w:rFonts w:ascii="Arial" w:hAnsi="Arial" w:cs="Arial"/>
          <w:lang w:val="en-US"/>
        </w:rPr>
        <w:t xml:space="preserve"> </w:t>
      </w:r>
      <w:r w:rsidR="7DDC5379" w:rsidRPr="00FA5AA8">
        <w:rPr>
          <w:rFonts w:ascii="Arial" w:hAnsi="Arial" w:cs="Arial"/>
          <w:lang w:val="en-US"/>
        </w:rPr>
        <w:t xml:space="preserve">in which </w:t>
      </w:r>
      <w:r w:rsidR="009C1F04" w:rsidRPr="00FA5AA8">
        <w:rPr>
          <w:rFonts w:ascii="Arial" w:hAnsi="Arial" w:cs="Arial"/>
          <w:lang w:val="en-US"/>
        </w:rPr>
        <w:t>participants</w:t>
      </w:r>
      <w:r w:rsidR="5FEC2C0D" w:rsidRPr="00FA5AA8">
        <w:rPr>
          <w:rFonts w:ascii="Arial" w:hAnsi="Arial" w:cs="Arial"/>
          <w:lang w:val="en-US"/>
        </w:rPr>
        <w:t xml:space="preserve"> performed an imitation task</w:t>
      </w:r>
      <w:r w:rsidR="009C1F04" w:rsidRPr="00FA5AA8">
        <w:rPr>
          <w:rFonts w:ascii="Arial" w:hAnsi="Arial" w:cs="Arial"/>
          <w:lang w:val="en-US"/>
        </w:rPr>
        <w:t xml:space="preserve">. The </w:t>
      </w:r>
      <w:r w:rsidR="003F7D52" w:rsidRPr="00FA5AA8">
        <w:rPr>
          <w:rFonts w:ascii="Arial" w:hAnsi="Arial" w:cs="Arial"/>
          <w:lang w:val="en-US"/>
        </w:rPr>
        <w:t xml:space="preserve">results </w:t>
      </w:r>
      <w:r w:rsidR="009C1F04" w:rsidRPr="00FA5AA8">
        <w:rPr>
          <w:rFonts w:ascii="Arial" w:hAnsi="Arial" w:cs="Arial"/>
          <w:lang w:val="en-US"/>
        </w:rPr>
        <w:t xml:space="preserve">of the imitation tasks </w:t>
      </w:r>
      <w:r w:rsidR="003F7D52" w:rsidRPr="00FA5AA8">
        <w:rPr>
          <w:rFonts w:ascii="Arial" w:hAnsi="Arial" w:cs="Arial"/>
          <w:lang w:val="en-US"/>
        </w:rPr>
        <w:t>will be reported elsewhere</w:t>
      </w:r>
      <w:r w:rsidR="5FEC2C0D" w:rsidRPr="00FA5AA8">
        <w:rPr>
          <w:rFonts w:ascii="Arial" w:hAnsi="Arial" w:cs="Arial"/>
          <w:lang w:val="en-US"/>
        </w:rPr>
        <w:t>.</w:t>
      </w:r>
    </w:p>
    <w:p w14:paraId="65FD31EC" w14:textId="4C4EF869" w:rsidR="009F2E56" w:rsidRPr="00FA5AA8" w:rsidRDefault="009F2E56" w:rsidP="009F2E56">
      <w:pPr>
        <w:spacing w:line="360" w:lineRule="auto"/>
        <w:rPr>
          <w:rFonts w:ascii="Arial" w:hAnsi="Arial" w:cs="Arial"/>
          <w:i/>
          <w:iCs/>
          <w:lang w:val="en-US"/>
        </w:rPr>
      </w:pPr>
      <w:r w:rsidRPr="00FA5AA8">
        <w:rPr>
          <w:rFonts w:ascii="Arial" w:hAnsi="Arial" w:cs="Arial"/>
          <w:i/>
          <w:iCs/>
          <w:lang w:val="en-US"/>
        </w:rPr>
        <w:t>Choice reaction time (</w:t>
      </w:r>
      <w:proofErr w:type="spellStart"/>
      <w:r w:rsidRPr="00FA5AA8">
        <w:rPr>
          <w:rFonts w:ascii="Arial" w:hAnsi="Arial" w:cs="Arial"/>
          <w:i/>
          <w:iCs/>
          <w:lang w:val="en-US"/>
        </w:rPr>
        <w:t>cRT</w:t>
      </w:r>
      <w:proofErr w:type="spellEnd"/>
      <w:r w:rsidRPr="00FA5AA8">
        <w:rPr>
          <w:rFonts w:ascii="Arial" w:hAnsi="Arial" w:cs="Arial"/>
          <w:i/>
          <w:iCs/>
          <w:lang w:val="en-US"/>
        </w:rPr>
        <w:t>) task</w:t>
      </w:r>
    </w:p>
    <w:p w14:paraId="6201857A" w14:textId="544A3B68" w:rsidR="003A7002" w:rsidRPr="00FA5AA8" w:rsidRDefault="009F2E56" w:rsidP="00FA5AA8">
      <w:pPr>
        <w:spacing w:line="360" w:lineRule="auto"/>
        <w:ind w:firstLine="708"/>
        <w:rPr>
          <w:rFonts w:ascii="Arial" w:hAnsi="Arial" w:cs="Arial"/>
          <w:lang w:val="en-US"/>
        </w:rPr>
      </w:pPr>
      <w:r w:rsidRPr="00FA5AA8">
        <w:rPr>
          <w:rFonts w:ascii="Arial" w:hAnsi="Arial" w:cs="Arial"/>
          <w:lang w:val="en-US"/>
        </w:rPr>
        <w:t xml:space="preserve">Before (Pre), immediately after (T0) and 30 minutes after the end of the ccPAS protocols participants performed a </w:t>
      </w:r>
      <w:proofErr w:type="spellStart"/>
      <w:r w:rsidRPr="00FA5AA8">
        <w:rPr>
          <w:rFonts w:ascii="Arial" w:hAnsi="Arial" w:cs="Arial"/>
          <w:lang w:val="en-US"/>
        </w:rPr>
        <w:t>cRT</w:t>
      </w:r>
      <w:proofErr w:type="spellEnd"/>
      <w:r w:rsidRPr="00FA5AA8">
        <w:rPr>
          <w:rFonts w:ascii="Arial" w:hAnsi="Arial" w:cs="Arial"/>
          <w:lang w:val="en-US"/>
        </w:rPr>
        <w:t xml:space="preserve"> task. They were seated approximately at 80 cm from the screen,</w:t>
      </w:r>
      <w:r w:rsidR="00B30898" w:rsidRPr="00FA5AA8">
        <w:rPr>
          <w:rFonts w:ascii="Arial" w:hAnsi="Arial" w:cs="Arial"/>
          <w:lang w:val="en-US"/>
        </w:rPr>
        <w:t xml:space="preserve"> with the right index and middle finger </w:t>
      </w:r>
      <w:r w:rsidR="00311BD4" w:rsidRPr="00FA5AA8">
        <w:rPr>
          <w:rFonts w:ascii="Arial" w:hAnsi="Arial" w:cs="Arial"/>
          <w:lang w:val="en-US"/>
        </w:rPr>
        <w:t xml:space="preserve">pressing </w:t>
      </w:r>
      <w:r w:rsidR="00B30898" w:rsidRPr="00FA5AA8">
        <w:rPr>
          <w:rFonts w:ascii="Arial" w:hAnsi="Arial" w:cs="Arial"/>
          <w:lang w:val="en-US"/>
        </w:rPr>
        <w:t>two keys labelled as “1” and “2”, respectively. Each trial began with a</w:t>
      </w:r>
      <w:r w:rsidR="00311BD4" w:rsidRPr="00FA5AA8">
        <w:rPr>
          <w:rFonts w:ascii="Arial" w:hAnsi="Arial" w:cs="Arial"/>
          <w:lang w:val="en-US"/>
        </w:rPr>
        <w:t>n irrelevant</w:t>
      </w:r>
      <w:r w:rsidR="00B30898" w:rsidRPr="00FA5AA8">
        <w:rPr>
          <w:rFonts w:ascii="Arial" w:hAnsi="Arial" w:cs="Arial"/>
          <w:lang w:val="en-US"/>
        </w:rPr>
        <w:t xml:space="preserve"> </w:t>
      </w:r>
      <w:r w:rsidR="00311BD4" w:rsidRPr="00FA5AA8">
        <w:rPr>
          <w:rFonts w:ascii="Arial" w:hAnsi="Arial" w:cs="Arial"/>
          <w:lang w:val="en-US"/>
        </w:rPr>
        <w:t xml:space="preserve">visual </w:t>
      </w:r>
      <w:r w:rsidR="00B30898" w:rsidRPr="00FA5AA8">
        <w:rPr>
          <w:rFonts w:ascii="Arial" w:hAnsi="Arial" w:cs="Arial"/>
          <w:lang w:val="en-US"/>
        </w:rPr>
        <w:t xml:space="preserve">stimulus (a resting hand) presented for 1628 </w:t>
      </w:r>
      <w:proofErr w:type="spellStart"/>
      <w:r w:rsidR="00B30898" w:rsidRPr="00FA5AA8">
        <w:rPr>
          <w:rFonts w:ascii="Arial" w:hAnsi="Arial" w:cs="Arial"/>
          <w:lang w:val="en-US"/>
        </w:rPr>
        <w:t>ms.</w:t>
      </w:r>
      <w:proofErr w:type="spellEnd"/>
      <w:r w:rsidR="00B30898" w:rsidRPr="00FA5AA8">
        <w:rPr>
          <w:rFonts w:ascii="Arial" w:hAnsi="Arial" w:cs="Arial"/>
          <w:lang w:val="en-US"/>
        </w:rPr>
        <w:t xml:space="preserve"> After 500 ms from </w:t>
      </w:r>
      <w:r w:rsidR="00B30898" w:rsidRPr="00FA5AA8">
        <w:rPr>
          <w:rFonts w:ascii="Arial" w:hAnsi="Arial" w:cs="Arial"/>
          <w:lang w:val="en-US"/>
        </w:rPr>
        <w:lastRenderedPageBreak/>
        <w:t xml:space="preserve">the </w:t>
      </w:r>
      <w:r w:rsidR="00311BD4" w:rsidRPr="00FA5AA8">
        <w:rPr>
          <w:rFonts w:ascii="Arial" w:hAnsi="Arial" w:cs="Arial"/>
          <w:lang w:val="en-US"/>
        </w:rPr>
        <w:t xml:space="preserve">irrelevant </w:t>
      </w:r>
      <w:r w:rsidR="00B30898" w:rsidRPr="00FA5AA8">
        <w:rPr>
          <w:rFonts w:ascii="Arial" w:hAnsi="Arial" w:cs="Arial"/>
          <w:lang w:val="en-US"/>
        </w:rPr>
        <w:t xml:space="preserve">stimulus onset, </w:t>
      </w:r>
      <w:r w:rsidR="00311BD4" w:rsidRPr="00FA5AA8">
        <w:rPr>
          <w:rFonts w:ascii="Arial" w:hAnsi="Arial" w:cs="Arial"/>
          <w:lang w:val="en-US"/>
        </w:rPr>
        <w:t>the</w:t>
      </w:r>
      <w:r w:rsidR="00B30898" w:rsidRPr="00FA5AA8">
        <w:rPr>
          <w:rFonts w:ascii="Arial" w:hAnsi="Arial" w:cs="Arial"/>
          <w:lang w:val="en-US"/>
        </w:rPr>
        <w:t xml:space="preserve"> imperative stimulus (numbers “1” or “2”) appeared for 68 ms</w:t>
      </w:r>
      <w:r w:rsidR="00311BD4" w:rsidRPr="00FA5AA8">
        <w:rPr>
          <w:rFonts w:ascii="Arial" w:hAnsi="Arial" w:cs="Arial"/>
          <w:lang w:val="en-US"/>
        </w:rPr>
        <w:t xml:space="preserve"> on the center of the screen</w:t>
      </w:r>
      <w:r w:rsidR="00B30898" w:rsidRPr="00FA5AA8">
        <w:rPr>
          <w:rFonts w:ascii="Arial" w:hAnsi="Arial" w:cs="Arial"/>
          <w:lang w:val="en-US"/>
        </w:rPr>
        <w:t xml:space="preserve">. </w:t>
      </w:r>
      <w:r w:rsidR="00311BD4" w:rsidRPr="00FA5AA8">
        <w:rPr>
          <w:rFonts w:ascii="Arial" w:hAnsi="Arial" w:cs="Arial"/>
          <w:lang w:val="en-US"/>
        </w:rPr>
        <w:t>Participants were</w:t>
      </w:r>
      <w:r w:rsidR="00B30898" w:rsidRPr="00FA5AA8">
        <w:rPr>
          <w:rFonts w:ascii="Arial" w:hAnsi="Arial" w:cs="Arial"/>
          <w:lang w:val="en-US"/>
        </w:rPr>
        <w:t xml:space="preserve"> instructed to lift the index finger when presented with number “1”, and lift the middle finger when presented with number “2”.</w:t>
      </w:r>
      <w:r w:rsidR="00311BD4" w:rsidRPr="00FA5AA8">
        <w:rPr>
          <w:rFonts w:ascii="Arial" w:hAnsi="Arial" w:cs="Arial"/>
          <w:lang w:val="en-US"/>
        </w:rPr>
        <w:t xml:space="preserve"> They were instructed to lift the appropriate finger as soon as they saw the imperative stimulus</w:t>
      </w:r>
      <w:r w:rsidR="00B30898" w:rsidRPr="00FA5AA8">
        <w:rPr>
          <w:rFonts w:ascii="Arial" w:hAnsi="Arial" w:cs="Arial"/>
          <w:lang w:val="en-US"/>
        </w:rPr>
        <w:t>, and subsequently replace the finger on the same key.</w:t>
      </w:r>
      <w:r w:rsidR="00311BD4" w:rsidRPr="00FA5AA8">
        <w:rPr>
          <w:rFonts w:ascii="Arial" w:hAnsi="Arial" w:cs="Arial"/>
          <w:lang w:val="en-US"/>
        </w:rPr>
        <w:t xml:space="preserve"> </w:t>
      </w:r>
      <w:r w:rsidR="00B30898" w:rsidRPr="00FA5AA8">
        <w:rPr>
          <w:rFonts w:ascii="Arial" w:hAnsi="Arial" w:cs="Arial"/>
          <w:lang w:val="en-US"/>
        </w:rPr>
        <w:t>A</w:t>
      </w:r>
      <w:r w:rsidRPr="00FA5AA8">
        <w:rPr>
          <w:rFonts w:ascii="Arial" w:hAnsi="Arial" w:cs="Arial"/>
          <w:lang w:val="en-US"/>
        </w:rPr>
        <w:t xml:space="preserve">n inter-trial fixation cross was displayed for a random interval (2-3 s). </w:t>
      </w:r>
      <w:r w:rsidR="00311BD4" w:rsidRPr="00FA5AA8">
        <w:rPr>
          <w:rFonts w:ascii="Arial" w:hAnsi="Arial" w:cs="Arial"/>
          <w:lang w:val="en-US"/>
        </w:rPr>
        <w:t xml:space="preserve">We collected 40-trials for each </w:t>
      </w:r>
      <w:r w:rsidR="003B7E6B" w:rsidRPr="00FA5AA8">
        <w:rPr>
          <w:rFonts w:ascii="Arial" w:hAnsi="Arial" w:cs="Arial"/>
          <w:lang w:val="en-US"/>
        </w:rPr>
        <w:t>bl</w:t>
      </w:r>
      <w:r w:rsidR="00BA0B40" w:rsidRPr="00FA5AA8">
        <w:rPr>
          <w:rFonts w:ascii="Arial" w:hAnsi="Arial" w:cs="Arial"/>
          <w:lang w:val="en-US"/>
        </w:rPr>
        <w:t>ock.</w:t>
      </w:r>
      <w:r w:rsidR="003B7E6B" w:rsidRPr="00FA5AA8">
        <w:rPr>
          <w:rFonts w:ascii="Arial" w:hAnsi="Arial" w:cs="Arial"/>
          <w:lang w:val="en-US"/>
        </w:rPr>
        <w:t xml:space="preserve"> </w:t>
      </w:r>
    </w:p>
    <w:p w14:paraId="551EBB67" w14:textId="39B9C361" w:rsidR="00C253A9" w:rsidRPr="00FA5AA8" w:rsidRDefault="00C253A9" w:rsidP="35F05C04">
      <w:pPr>
        <w:spacing w:line="360" w:lineRule="auto"/>
        <w:rPr>
          <w:rFonts w:ascii="Arial" w:hAnsi="Arial" w:cs="Arial"/>
          <w:i/>
          <w:iCs/>
          <w:lang w:val="en-US"/>
        </w:rPr>
      </w:pPr>
      <w:r w:rsidRPr="00FA5AA8">
        <w:rPr>
          <w:rFonts w:ascii="Arial" w:hAnsi="Arial" w:cs="Arial"/>
          <w:i/>
          <w:iCs/>
          <w:lang w:val="en-US"/>
        </w:rPr>
        <w:t>ccPAS protocol</w:t>
      </w:r>
      <w:r w:rsidR="00457BD0" w:rsidRPr="00FA5AA8">
        <w:rPr>
          <w:rFonts w:ascii="Arial" w:hAnsi="Arial" w:cs="Arial"/>
          <w:i/>
          <w:iCs/>
          <w:lang w:val="en-US"/>
        </w:rPr>
        <w:t xml:space="preserve"> and </w:t>
      </w:r>
      <w:r w:rsidRPr="00FA5AA8">
        <w:rPr>
          <w:rFonts w:ascii="Arial" w:hAnsi="Arial" w:cs="Arial"/>
          <w:i/>
          <w:iCs/>
          <w:lang w:val="en-US"/>
        </w:rPr>
        <w:t>electrophysiological recording</w:t>
      </w:r>
    </w:p>
    <w:p w14:paraId="53D7ADD4" w14:textId="4DE046E5" w:rsidR="002E4EA5" w:rsidRPr="00FA5AA8" w:rsidRDefault="00797E3C" w:rsidP="30D8085E">
      <w:pPr>
        <w:spacing w:line="360" w:lineRule="auto"/>
        <w:ind w:firstLine="708"/>
        <w:rPr>
          <w:rFonts w:ascii="Arial" w:hAnsi="Arial" w:cs="Arial"/>
          <w:lang w:val="en-US"/>
        </w:rPr>
      </w:pPr>
      <w:r w:rsidRPr="00FA5AA8">
        <w:rPr>
          <w:rFonts w:ascii="Arial" w:hAnsi="Arial" w:cs="Arial"/>
          <w:lang w:val="en-US"/>
        </w:rPr>
        <w:t xml:space="preserve">All ccPAS protocols </w:t>
      </w:r>
      <w:r w:rsidR="00090515" w:rsidRPr="00FA5AA8">
        <w:rPr>
          <w:rFonts w:ascii="Arial" w:hAnsi="Arial" w:cs="Arial"/>
          <w:lang w:val="en-US"/>
        </w:rPr>
        <w:t xml:space="preserve">employed </w:t>
      </w:r>
      <w:r w:rsidRPr="00FA5AA8">
        <w:rPr>
          <w:rFonts w:ascii="Arial" w:hAnsi="Arial" w:cs="Arial"/>
          <w:lang w:val="en-US"/>
        </w:rPr>
        <w:t xml:space="preserve">the same </w:t>
      </w:r>
      <w:r w:rsidR="00090515" w:rsidRPr="00FA5AA8">
        <w:rPr>
          <w:rFonts w:ascii="Arial" w:hAnsi="Arial" w:cs="Arial"/>
          <w:lang w:val="en-US"/>
        </w:rPr>
        <w:t xml:space="preserve">stimulation </w:t>
      </w:r>
      <w:r w:rsidRPr="00FA5AA8">
        <w:rPr>
          <w:rFonts w:ascii="Arial" w:hAnsi="Arial" w:cs="Arial"/>
          <w:lang w:val="en-US"/>
        </w:rPr>
        <w:t xml:space="preserve">parameters. </w:t>
      </w:r>
      <w:r w:rsidR="003F7D52" w:rsidRPr="00FA5AA8">
        <w:rPr>
          <w:rFonts w:ascii="Arial" w:hAnsi="Arial" w:cs="Arial"/>
          <w:lang w:val="en-US"/>
        </w:rPr>
        <w:t>T</w:t>
      </w:r>
      <w:r w:rsidRPr="00FA5AA8">
        <w:rPr>
          <w:rFonts w:ascii="Arial" w:hAnsi="Arial" w:cs="Arial"/>
          <w:lang w:val="en-US"/>
        </w:rPr>
        <w:t>he ccPAS protocol</w:t>
      </w:r>
      <w:r w:rsidR="003F7D52" w:rsidRPr="00FA5AA8">
        <w:rPr>
          <w:rFonts w:ascii="Arial" w:hAnsi="Arial" w:cs="Arial"/>
          <w:lang w:val="en-US"/>
        </w:rPr>
        <w:t xml:space="preserve"> consisted of </w:t>
      </w:r>
      <w:r w:rsidRPr="00FA5AA8">
        <w:rPr>
          <w:rFonts w:ascii="Arial" w:hAnsi="Arial" w:cs="Arial"/>
          <w:lang w:val="en-US"/>
        </w:rPr>
        <w:t xml:space="preserve">90 pairs of pulses (~15 min) </w:t>
      </w:r>
      <w:r w:rsidR="002C6CD8" w:rsidRPr="00FA5AA8">
        <w:rPr>
          <w:rFonts w:ascii="Arial" w:hAnsi="Arial" w:cs="Arial"/>
          <w:lang w:val="en-US"/>
        </w:rPr>
        <w:t xml:space="preserve">administered over a premotor area (either ventral premotor cortex, PMv, or supplementary motor area, SMA) and the primary motor cortex (M1) </w:t>
      </w:r>
      <w:r w:rsidRPr="00FA5AA8">
        <w:rPr>
          <w:rFonts w:ascii="Arial" w:hAnsi="Arial" w:cs="Arial"/>
          <w:lang w:val="en-US"/>
        </w:rPr>
        <w:t>at a rate of 0.1 Hz</w:t>
      </w:r>
      <w:r w:rsidR="000C42D1"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{"citationID":"SqZolkCh","properties":{"formattedCitation":"\\super 4\\uc0\\u8211{}11\\nosupersub{}","plainCitation":"4–11","noteIndex":0},"citationItems":[{"id":"Q6hBG1ZL/AxNrsajA","uris":["http://zotero.org/users/10009444/items/GBUXF2P3"],"itemData":{"id":"CXVRBmpk/FSnCFaIK","type":"article-journal","abstract":"Skillful goal-directed manual actions such as grasping and manipulating objects are supported by a large sensorimotor network. Within this network, the ventral premotor cortex (PMv) transforms visual information about objects into motor commands that are conveyed to the primary motor cortex (M1), allowing fine control of finger movements. However, it is unknown whether transcranial magnetic stimulation (TMS) of this PMv-to-M1 hierarchical pathway improves action performance. To fill in this gap, here, we used cortico-cortical paired associative stimulation (ccPAS) with the aim of manipulating synaptic efficacy in the human PMv-to-M1 pathway. We found that repeatedly pairing TMS of pre-and post-synaptic nodes of the PMv-to-M1 pathway (i.e., PMv-to-M1 ccPAS) increased motor excitability and enhanced performance on the 9-Hole Peg Test (9-HPT), which taps into PMv-M1 functioning. These effects were specific to the ccPAS protocol consistent with the direction of the PMv-to-M1 hierarchy, as no effects were observed when reversing the order of the paired TMS pulses (i.e., following a M1-to-PMv ccPAS) or when administering sham ccPAS. Additionally, the effect of PMv-to-M1 ccPAS appeared functionally specific, as no behavioral enhancement was observed in a visuomotor control task. We therefore provide novel causal evidence that the PMv-to-M1 pathway, which is instrumental to object-oriented hand actions, is sensitive to TMS manipulations of associative plasticity. Our study highlights the causal role of the PMv-to-M1 pathway in controlling skillful object-oriented hand actions and suggests that ccPAS might be a useful tool for investigating the functional relevance of directional connectivity in humans. These findings may have implications for designing novel therapeutic strategies based on the manipulation of associative plasticity in cortico-cortical networks.","container-title":"NeuroImage","DOI":"10.1016/j.neuroimage.2018.09.002","ISSN":"10959572","note":"publisher: Academic Press Inc.\nPMID: 30193973","page":"847-858","title":"Enhanced action performance following TMS manipulation of associative plasticity in ventral premotor-motor pathway","volume":"183","author":[{"family":"Fiori","given":"Francesca"},{"family":"Chiappini","given":"Emilio"},{"family":"Avenanti","given":"Alessio"}],"issued":{"date-parts":[["2018",12]]}},"label":"page"},{"id":5368,"uris":["http://zotero.org/users/10009444/items/6PJPJJ2V"],"itemData":{"id":5368,"type":"article-journal","abstract":"Transcranial magnetic stimulation (TMS) studies have shown that cortico-cortical paired associative stimulation (ccPAS) can strengthen connectivity between the ventral premotor cortex (PMv) and the primary motor cortex (M1) by modulating convergent input over M1 via Hebbian spike-timing-dependent plasticity (STDP). However, whether ccPAS locally affects M1 activity remains unclear. We tested 60 right-handed young healthy humans in two studies, using a combination of dual coil TMS and ccPAS over the left PMv and M1 to probe and manipulate PMv-to-M1 connectivity, and single- and paired-pulse TMS to assess neural activity within M1. We provide convergent evidence that ccPAS, relying on repeated activations of excitatory PMv-to-M1 connections, acts locally over M1. During ccPAS, motor-evoked potentials (MEPs) induced by paired PMv-M1 stimulation gradually increased. Following ccPAS, the threshold for inducing MEPs of different amplitudes decreased, and the input-output curve (IO) slope increased, highlighting increased M1 corticospinal excitability. Moreover, ccPAS reduced the magnitude of short-interval intracortical inhibition (SICI), reflecting suppression of GABA-ergic interneuronal mechanisms within M1, without affecting intracortical facilitation (ICF). These changes were specific to ccPAS Hebbian strengthening of PMv-to-M1 connectivity, as no modulations were observed when reversing the order of the PMv-M1 stimulation during a control ccPAS protocol. These findings expand prior ccPAS research that focused on the malleability of cortico-cortical connectivity at the network-level, and highlight local changes in the area of convergent activation (i.e., M1) during plasticity induction. These findings provide new mechanistic insights into the physiological basis of ccPAS that are relevant for protocol optimization.","container-title":"NeuroImage","DOI":"10.1016/j.neuroimage.2023.120027","ISSN":"1053-8119","journalAbbreviation":"NeuroImage","language":"en","page":"120027","source":"ScienceDirect","title":"Cortico-cortical paired associative stimulation (ccPAS) over premotor-motor areas affects local circuitries in the human motor cortex via Hebbian plasticity","author":[{"family":"Turrini","given":"Sonia"},{"family":"Fiori","given":"Francesca"},{"family":"Chiappini","given":"Emilio"},{"family":"Lucero","given":"Boris"},{"family":"Santarnecchi","given":"Emiliano"},{"family":"Avenanti","given":"Alessio"}],"issued":{"date-parts":[["2023",3,15]]}}},{"id":1970,"uris":["http://zotero.org/users/10009444/items/3U7IKZ7G"],"itemData":{"id":1970,"type":"article-journal","abstract":"Cortico-cortical paired associative stimulation (ccPAS) is an effective transcranial magnetic stimulation (TMS) method for inducing associative plasticity between interconnected brain areas in humans. Prior ccPAS studies have focused on protocol’s aftereffects. Here, we investigated physiological changes induced “online” during ccPAS administration. We tested 109 participants receiving ccPAS over left ventral premotor cortex (PMv) and primary motor cortex (M1) using a standard procedure (90 paired-pulses with 8-ms interstimulus interval, repeated at 0.1 Hz frequency). On each paired-pulse, we recorded a motor-evoked potential (MEP) to continuously trace the emergence of corticomotor changes. Participant receiving forward-ccPAS (on each pair, a first TMS pulse was administered over PMv, second over M1, i.e., PMv-to-M1) showed a gradual and linear increase in MEP size that did not reach a plateau at the end of the protocol and was greater in participants with low motor threshold. Participants receiving reverse-ccPAS (i.e., M1-to-PMv) showed a trend toward inhibition. Our study highlights the facilitatory and inhibitory modulations that occur during ccPAS administration and suggest that online MEP monitoring could provide insights into the malleability of the motor system and protocol’s effectiveness. Our findings open interesting prospects about ccPAS potential optimization in experimental and clinical settings.","container-title":"Scientific Reports","DOI":"10.1038/s41598-022-18774-9","ISSN":"2045-2322","issue":"1","journalAbbreviation":"Sci Rep","language":"en","license":"2022 The Author(s)","note":"number: 1\npublisher: Nature Publishing Group","page":"14670","source":"www.nature.com","title":"Gradual enhancement of corticomotor excitability during cortico-cortical paired associative stimulation","volume":"12","author":[{"family":"Turrini","given":"Sonia"},{"family":"Fiori","given":"Francesca"},{"family":"Chiappini","given":"Emilio"},{"family":"Santarnecchi","given":"Emiliano"},{"family":"Romei","given":"Vincenzo"},{"family":"Avenanti","given":"Alessio"}],"issued":{"date-parts":[["2022",8,29]]}},"label":"page"},{"id":5087,"uris":["http://zotero.org/users/10009444/items/6KVDXAD9"],"itemData":{"id":5087,"type":"article-journal","abstract":"Transcranial magnetic stimulation (TMS) methods such as cortico-cortical paired associative stimulation (ccPAS) can increase the strength of functional connectivity between ventral premotor cortex (PMv) and primary motor cortex (M1) via spike timing-dependent plasticity (STDP), leading to enhanced motor functions in young adults. However, whether this STDP-inducing protocol is effective in the aging brain remains unclear. In two groups of young and elderly healthy adults, we evaluated manual dexterity with the 9-hole peg task before and after ccPAS of the left PMv-M1 circuit. We observed that ccPAS enhanced dexterity in young adults, and this effect was anticipated by a progressive increase in motor-evoked potentials (MEPs) during ccPAS administration. No similar effects were observed in elderly individuals or in a control task. Across age groups, we observed that the magnitude of MEP changes predicted larger behavioral improvements. These findings demonstrate that left PMv-to-M1 ccPAS induces functionally specific improvements in young adults’ manual dexterity and an increase in corticomotor excitability, but altered plasticity prevents the effectiveness of ccPAS in the elderly.","container-title":"Frontiers in Aging Neuroscience","DOI":"10.3389/fnagi.2023.1119508","ISSN":"1663-4365","journalAbbreviation":"Front. Aging Neurosci.","source":"Frontiers","title":"Transcranial cortico-cortical paired associative stimulation (ccPAS) over ventral premotor-motor pathways enhances action performance and corticomotor excitability in young adults more than in elderly adults","URL":"https://www.frontiersin.org/articles/10.3389/fnagi.2023.1119508","volume":"15","author":[{"family":"Turrini","given":"Sonia"},{"family":"Bevacqua","given":"Naomi"},{"family":"Cataneo","given":"Antonio"},{"family":"Chiappini","given":"Emilio"},{"family":"Fiori","given":"Francesca"},{"family":"Candidi","given":"Matteo"},{"family":"Avenanti","given":"Alessio"}],"accessed":{"date-parts":[["2023",2,17]]},"issued":{"date-parts":[["2023"]]}}},{"id":7166,"uris":["http://zotero.org/users/10009444/items/HDSHSRV4"],"itemData":{"id":7166,"type":"article-journal","abstract":"Aging is commonly associated with a decline in motor control and neural plasticity. Tuning cortico–cortical interactions between premotor and motor areas is essential for controlling fine manual movements. However, whether plasticity in premotor–motor circuits predicts hand motor abilities in young and elderly humans remains unclear. Here, we administered transcranial magnetic stimulation (TMS) over the ventral premotor cortex (PMv) and primary motor cortex (M1) using the cortico–cortical paired-associative stimulation (ccPAS) protocol to manipulate the strength of PMv-to-M1 connectivity in 14 young and 14 elderly healthy adults. We assessed changes in motor-evoked potentials (MEPs) during ccPAS as an index of PMv-M1 network plasticity. We tested whether the magnitude of MEP changes might predict interindividual differences in performance in two motor tasks that rely on premotor-motor circuits, i.e., the nine-hole pegboard test and a choice reaction task. Results show lower motor performance and decreased PMv-M1 network plasticity in elderly adults. Critically, the slope of MEP changes during ccPAS accurately predicted performance at the two tasks across age groups, with larger slopes (i.e., MEP increase) predicting better motor performance at baseline in both young and elderly participants. These findings suggest that physiological indices of PMv-M1 plasticity could provide a neurophysiological marker of fine motor control across age-groups.","container-title":"Biomedicines","DOI":"10.3390/biomedicines11051464","ISSN":"2227-9059","issue":"5","language":"en","license":"http://creativecommons.org/licenses/by/3.0/","note":"number: 5\npublisher: Multidisciplinary Digital Publishing Institute","page":"1464","source":"www.mdpi.com","title":"Neurophysiological Markers of Premotor–Motor Network Plasticity Predict Motor Performance in Young and Older Adults","volume":"11","author":[{"family":"Turrini","given":"Sonia"},{"family":"Bevacqua","given":"Naomi"},{"family":"Cataneo","given":"Antonio"},{"family":"Chiappini","given":"Emilio"},{"family":"Fiori","given":"Francesca"},{"family":"Battaglia","given":"Simone"},{"family":"Romei","given":"Vincenzo"},{"family":"Avenanti","given":"Alessio"}],"issued":{"date-parts":[["2023",5]]}}},{"id":62,"uris":["http://zotero.org/users/10009444/items/SNUJ989Q"],"itemData":{"id":62,"type":"article-journal","abstract":"Correlations in brain activity between two areas (functional connectivity) have been shown to relate to their underlying structural connections. We examine the possibility that functional connectivity also reflects short-term changes in synaptic efficacy. We demonstrate that paired transcranial magnetic stimulation (TMS) near ventral premotor cortex (PMv) and primary motor cortex (M1) with a short 8-ms inter-pulse interval evoking synchronous pre-and post-synaptic activity and which strengthens interregional connectivity between the two areas in a pattern consistent with Hebbian plasticity, leads to increased functional connectivity between PMv and M1 as measured with functional magnetic resonance imaging (fMRI). Moreover, we show that strengthening connectivity between these nodes has effects on a wider network of areas, such as decreasing coupling in a parallel motor programming stream. A control experiment revealed that identical TMS pulses at identical frequencies caused no change in fMRI-measured functional connectivity when the inter-pulse-interval was too long for Hebbian-like plasticity.","container-title":"Elife","DOI":"10.7554/eLife.04585.001","page":"e04585","title":"Causal manipulation of functional connectivity in a specific neural pathway during behaviour and at rest","volume":"4","author":[{"family":"Johnen","given":"Vanessa M."},{"family":"Neubert","given":"Franz-Xaver"},{"family":"Buch","given":"Ethan R."},{"family":"Verhagen","given":"Lennart"},{"family":"O","given":"Jill X."},{"family":"Mars","given":"Rogier B."},{"family":"Rushworth","given":"Matthew F. S."}],"issued":{"date-parts":[["2015"]]}}},{"id":381,"uris":["http://zotero.org/users/10009444/items/LZPSMTDP"],"itemData":{"id":381,"type":"article-journal","container-title":"Brain Stimulation","DOI":"10.1016/j.brs.2020.08.003","ISSN":"18764754","issue":"5","note":"PMID: 32791314\npublisher: Elsevier Inc.","page":"1461-1463","title":"Driving associative plasticity in premotor-motor connections through a novel paired associative stimulation based on long-latency cortico-cortical interactions","volume":"13","author":[{"family":"Chiappini","given":"Emilio"},{"family":"Borgomaneri","given":"Sara"},{"family":"Marangon","given":"Mattia"},{"family":"Turrini","given":"Sonia"},{"family":"Romei","given":"Vincenzo"},{"family":"Avenanti","given":"Alessio"}],"issued":{"date-parts":[["2020",9,1]]}}},{"id":83,"uris":["http://zotero.org/users/10009444/items/P8WZKP49"],"itemData":{"id":83,"type":"article-journal","abstract":"The origins of oscillatory activity in the brain are currently debated, but common to many hypotheses is the notion that they reflect interactions between brain areas. Here, we examine this possibility by manipulating the strength of coupling between two human brain regions, ventral premotor cortex (PMv) and primary motor cortex (M1), and examine the impact on oscillatory activity in the motor system measurable in the electroencephalogram. We either increased or decreased the strength of coupling while holding the impact on each component area in the pathway constant. This was achieved by stimulating PMv and M1 with paired pulses of transcranial magnetic stimulation using two different patterns, only one of which increases the influence exerted by PMv over M1. While the stimulation protocols differed in their temporal patterning, they were comprised of identical numbers of pulses to M1 and PMv. We measured the impact on activity in alpha, beta, and theta bands during a motor task in which participants either made a preprepared action (Go) or withheld it (No-Go). Augmenting cortical connectivity between PMv and M1, by evoking synchronous pre-and postsynaptic activity in the PMv-M1 pathway, enhanced oscillatory beta and theta rhythms in Go and No-Go trials, respectively. Little change was observed in the alpha rhythm. By contrast, diminishing the influence of PMv over M1 decreased oscillatory beta and theta rhythms in Go and No-Go trials, respectively. This suggests that corticocortical communication frequencies in the PMv-M1 pathway can be manipulated following Hebbian spike-timing-dependent plasticity. action control | transcranial magnetic stimulation | ventral premotor cortex | primary motor cortex | oscillations","container-title":"Proceedings of the National Academy of Sciences","DOI":"10.1073/pnas.2100652118/-/DCSupplemental","issue":"37","page":"1-9","title":"Increasing and decreasing interregional brain coupling increases and decreases oscillatory activity in the human brain","volume":"118","author":[{"family":"Sel","given":"Alejandra"},{"family":"Verhagen","given":"Lennart"},{"family":"Angerer","given":"Katharina"},{"family":"David","given":"Raluca"},{"family":"Klein-Flügge","given":"Miriam C."},{"family":"Rushworth","given":"Matthew FS"}],"issued":{"date-parts":[["2021"]]}}}],"schema":"https://github.com/citation-style-language/schema/raw/master/csl-citation.json"} </w:instrText>
      </w:r>
      <w:r w:rsidR="000C42D1" w:rsidRPr="00FA5AA8">
        <w:rPr>
          <w:rFonts w:ascii="Arial" w:hAnsi="Arial" w:cs="Arial"/>
          <w:lang w:val="en-US"/>
        </w:rPr>
        <w:fldChar w:fldCharType="separate"/>
      </w:r>
      <w:r w:rsidR="00FA07BD" w:rsidRPr="00FA5AA8">
        <w:rPr>
          <w:rFonts w:ascii="Arial" w:hAnsi="Arial" w:cs="Arial"/>
          <w:kern w:val="0"/>
          <w:szCs w:val="24"/>
          <w:vertAlign w:val="superscript"/>
        </w:rPr>
        <w:t>4–11</w:t>
      </w:r>
      <w:r w:rsidR="000C42D1" w:rsidRPr="00FA5AA8">
        <w:rPr>
          <w:rFonts w:ascii="Arial" w:hAnsi="Arial" w:cs="Arial"/>
          <w:lang w:val="en-US"/>
        </w:rPr>
        <w:fldChar w:fldCharType="end"/>
      </w:r>
      <w:r w:rsidRPr="00FA5AA8">
        <w:rPr>
          <w:rFonts w:ascii="Arial" w:hAnsi="Arial" w:cs="Arial"/>
          <w:lang w:val="en-US"/>
        </w:rPr>
        <w:t xml:space="preserve">. </w:t>
      </w:r>
      <w:r w:rsidR="002E4EA5" w:rsidRPr="00FA5AA8">
        <w:rPr>
          <w:rFonts w:ascii="Arial" w:hAnsi="Arial" w:cs="Arial"/>
          <w:lang w:val="en-US"/>
        </w:rPr>
        <w:t xml:space="preserve">The coil position to target the left M1 was identified functionally, as the hotspot to induce MEPs of maximal amplitude in the relaxed right FDI. </w:t>
      </w:r>
    </w:p>
    <w:p w14:paraId="450C6FE8" w14:textId="78AD6BCD" w:rsidR="00A50ABC" w:rsidRPr="00FA5AA8" w:rsidRDefault="00A50ABC" w:rsidP="35F05C04">
      <w:pPr>
        <w:spacing w:line="360" w:lineRule="auto"/>
        <w:ind w:firstLine="708"/>
        <w:rPr>
          <w:rFonts w:ascii="Arial" w:hAnsi="Arial" w:cs="Arial"/>
          <w:lang w:val="en-US"/>
        </w:rPr>
      </w:pPr>
      <w:r w:rsidRPr="00FA5AA8">
        <w:rPr>
          <w:rFonts w:ascii="Arial" w:hAnsi="Arial" w:cs="Arial"/>
          <w:lang w:val="en-US"/>
        </w:rPr>
        <w:t>The left M1 coil was positioned tangentially to the scalp and at a 45-degree angle to the midline, resulting in a posterior-anterior current flow</w:t>
      </w:r>
      <w:r w:rsidR="000D0635" w:rsidRPr="00FA5AA8">
        <w:rPr>
          <w:rFonts w:ascii="Arial" w:hAnsi="Arial" w:cs="Arial"/>
          <w:lang w:val="en-US"/>
        </w:rPr>
        <w:t>,</w:t>
      </w:r>
      <w:r w:rsidRPr="00FA5AA8">
        <w:rPr>
          <w:rFonts w:ascii="Arial" w:hAnsi="Arial" w:cs="Arial"/>
          <w:lang w:val="en-US"/>
        </w:rPr>
        <w:t xml:space="preserve"> </w:t>
      </w:r>
      <w:r w:rsidR="000D0635" w:rsidRPr="00FA5AA8">
        <w:rPr>
          <w:rFonts w:ascii="Arial" w:hAnsi="Arial" w:cs="Arial"/>
          <w:lang w:val="en-US"/>
        </w:rPr>
        <w:t>optimal</w:t>
      </w:r>
      <w:r w:rsidRPr="00FA5AA8">
        <w:rPr>
          <w:rFonts w:ascii="Arial" w:hAnsi="Arial" w:cs="Arial"/>
          <w:lang w:val="en-US"/>
        </w:rPr>
        <w:t xml:space="preserve"> for M1 stimulation</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{"citationID":"09pxbOs8","properties":{"formattedCitation":"\\super 12\\nosupersub{}","plainCitation":"12","noteIndex":0},"citationItems":[{"id":4429,"uris":["http://zotero.org/users/10009444/items/LBQD5MLD"],"itemData":{"id":4429,"type":"article-journal","abstract":"Objectives: To evaluate the stimulation effectiveness of different magnetic stimulator devices with respect to pulse waveform and current direction in the motor cortex. Methods: In 8 normal subjects we determined motor thresholds of transcranial magnetic stimulation in a small hand muscle. We used focal figure-of-eight coils of 3 common stimulators (Dantec Magpro, Magstim 200 and Magstim Rapid) and systematically varied current direction (postero-anterior versus antero-posterior, perpendicular to the central sulcus) as well as pulse waveform (monophasic versus biphasic). The coil position was kept constant with a stereotactic positioning device. Results: Motor thresholds varied consistently with changing stimulus parameters, despite substantial interindividual variability. By normalizing the values with respect to the square root of the energy of the capacitors in the different stimulators, we found a homogeneous pattern of threshold variations. The normalized Magstim threshold values were consistently higher than the normalized Dantec thresholds by a factor of 1.3. For both stimulator types the monophasic pulse was more effective if the current passed the motor cortex in a postero-anterior direction rather than antero-posterior. In contrast, the biphasic pulse was weaker with the first upstroke in the postero-anterior direction. We calculated mean factors for transforming the intensity values of a particular configuration into that of another configuration by normalizing the different threshold values of each individual subject to his lowest threshold value. Conclusions: Our transformation factors allow us to compare stimulation intensities from studies using different devices and pulse forms. The effectiveness of stimulation as a function of waveform and current direction follows the same pattern as in a peripheral nerve preparation (J Physiol (Lond) 513 (1998) 571).","container-title":"Clinical Neurophysiology","DOI":"10.1016/S1388-2457(00)00513-7","ISSN":"1388-2457","issue":"2","journalAbbreviation":"Clinical Neurophysiology","language":"en","page":"250-258","source":"ScienceDirect","title":"Motor thresholds in humans: a transcranial magnetic stimulation study comparing different pulse waveforms, current directions and stimulator types","title-short":"Motor thresholds in humans","volume":"112","author":[{"family":"Kammer","given":"Thomas"},{"family":"Beck","given":"Sandra"},{"family":"Thielscher","given":"Axel"},{"family":"Laubis-Herrmann","given":"Ulrike"},{"family":"Topka","given":"Helge"}],"issued":{"date-parts":[["2001",2,1]]}}}],"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12</w:t>
      </w:r>
      <w:r w:rsidRPr="00FA5AA8">
        <w:rPr>
          <w:rFonts w:ascii="Arial" w:hAnsi="Arial" w:cs="Arial"/>
          <w:lang w:val="en-US"/>
        </w:rPr>
        <w:fldChar w:fldCharType="end"/>
      </w:r>
      <w:r w:rsidRPr="00FA5AA8">
        <w:rPr>
          <w:rFonts w:ascii="Arial" w:hAnsi="Arial" w:cs="Arial"/>
          <w:lang w:val="en-US"/>
        </w:rPr>
        <w:t>. In line with previous dual coil and ccPAS investigations</w:t>
      </w:r>
      <w:r w:rsidR="003E3331" w:rsidRPr="00E45C17">
        <w:rPr>
          <w:rFonts w:ascii="Arial" w:hAnsi="Arial" w:cs="Arial"/>
          <w:vertAlign w:val="superscript"/>
          <w:lang w:val="en-US"/>
        </w:rPr>
        <w:t>4-8</w:t>
      </w:r>
      <w:r w:rsidRPr="00FA5AA8">
        <w:rPr>
          <w:rFonts w:ascii="Arial" w:hAnsi="Arial" w:cs="Arial"/>
          <w:lang w:val="en-US"/>
        </w:rPr>
        <w:t>, the left PMv coil was positioned tangentially to the scalp, causing a current flow in the brain directing toward the M1 coil. The SMA coil was positioned to induce a current pointing toward the M1 site</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{"citationID":"TOFWmVWF","properties":{"formattedCitation":"\\super 13\\nosupersub{}","plainCitation":"13","noteIndex":0},"citationItems":[{"id":5441,"uris":["http://zotero.org/users/10009444/items/66XGGV7Z"],"itemData":{"id":5441,"type":"article-journal","abstract":"The primary motor cortex (M1) is strongly influenced by several frontal regions. Dual-site transcranial magnetic stimulation (dsTMS) has highlighted the timing of early (&lt;40 ms) prefrontal/premotor influences over M1. Here we used dsTMS to investigate, for the first time, longer-latency causal interactions of the posterior inferior frontal gyrus (pIFG) and pre-supplementary motor area (pre-SMA) with M1 at rest. A suprathreshold test stimulus (TS) was applied over M1 producing a motor-evoked potential (MEP) in the relaxed hand. Either a subthreshold or a suprathreshold conditioning stimulus (CS) was administered over ipsilateral pIFG/pre-SMA sites before the TS at different CS-TS inter-stimulus intervals (ISIs: 40–150 ms). Independently of intensity, CS over pIFG and pre-SMA (but not over a control site) inhibited MEPs at an ISI of 40 ms. The CS over pIFG produced a second peak of inhibition at an ISI of 150 ms. Additionally, facilitatory modulations were found at an ISI of 60 ms, with supra- but not subthreshold CS intensities. These findings suggest differential modulatory roles of pIFG and pre-SMA in M1 excitability. In particular, the pIFG –but not the pre-SMA– exerts intensity-dependent modulatory influences over M1 within the explored time window of 40-150 ms, evidencing fine-tuned control of M1 output.","container-title":"Scientific Reports","DOI":"10.1038/srep38396","ISSN":"2045-2322","issue":"1","journalAbbreviation":"Sci Rep","language":"en","license":"2016 The Author(s)","note":"number: 1\npublisher: Nature Publishing Group","page":"38396","source":"www.nature.com","title":"Long-latency modulation of motor cortex excitability by ipsilateral posterior inferior frontal gyrus and pre-supplementary motor area","volume":"6","author":[{"family":"Fiori","given":"Francesca"},{"family":"Chiappini","given":"Emilio"},{"family":"Soriano","given":"Marco"},{"family":"Paracampo","given":"Riccardo"},{"family":"Romei","given":"Vincenzo"},{"family":"Borgomaneri","given":"Sara"},{"family":"Avenanti","given":"Alessio"}],"issued":{"date-parts":[["2016",12,8]]}}}],"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13</w:t>
      </w:r>
      <w:r w:rsidRPr="00FA5AA8">
        <w:rPr>
          <w:rFonts w:ascii="Arial" w:hAnsi="Arial" w:cs="Arial"/>
          <w:lang w:val="en-US"/>
        </w:rPr>
        <w:fldChar w:fldCharType="end"/>
      </w:r>
      <w:r w:rsidRPr="00FA5AA8">
        <w:rPr>
          <w:rFonts w:ascii="Arial" w:hAnsi="Arial" w:cs="Arial"/>
          <w:lang w:val="en-US"/>
        </w:rPr>
        <w:t>.</w:t>
      </w:r>
    </w:p>
    <w:p w14:paraId="53E77987" w14:textId="719741B6" w:rsidR="008374A1" w:rsidRPr="00FA5AA8" w:rsidRDefault="005D5D75" w:rsidP="30D8085E">
      <w:pPr>
        <w:spacing w:line="360" w:lineRule="auto"/>
        <w:ind w:firstLine="708"/>
        <w:rPr>
          <w:rFonts w:ascii="Arial" w:hAnsi="Arial" w:cs="Arial"/>
          <w:lang w:val="en-US"/>
        </w:rPr>
      </w:pPr>
      <w:r w:rsidRPr="00FA5AA8">
        <w:rPr>
          <w:rFonts w:ascii="Arial" w:hAnsi="Arial" w:cs="Arial"/>
          <w:lang w:val="en-US"/>
        </w:rPr>
        <w:t xml:space="preserve">In each </w:t>
      </w:r>
      <w:r w:rsidR="00334F80" w:rsidRPr="00FA5AA8">
        <w:rPr>
          <w:rFonts w:ascii="Arial" w:hAnsi="Arial" w:cs="Arial"/>
          <w:lang w:val="en-US"/>
        </w:rPr>
        <w:t xml:space="preserve">experimental group, we varied the relative </w:t>
      </w:r>
      <w:r w:rsidR="00312606" w:rsidRPr="00FA5AA8">
        <w:rPr>
          <w:rFonts w:ascii="Arial" w:hAnsi="Arial" w:cs="Arial"/>
          <w:lang w:val="en-US"/>
        </w:rPr>
        <w:t xml:space="preserve">order </w:t>
      </w:r>
      <w:r w:rsidR="00334F80" w:rsidRPr="00FA5AA8">
        <w:rPr>
          <w:rFonts w:ascii="Arial" w:hAnsi="Arial" w:cs="Arial"/>
          <w:lang w:val="en-US"/>
        </w:rPr>
        <w:t xml:space="preserve">of stimulation of each </w:t>
      </w:r>
      <w:r w:rsidR="00312606" w:rsidRPr="00FA5AA8">
        <w:rPr>
          <w:rFonts w:ascii="Arial" w:hAnsi="Arial" w:cs="Arial"/>
          <w:lang w:val="en-US"/>
        </w:rPr>
        <w:t xml:space="preserve">area </w:t>
      </w:r>
      <w:r w:rsidR="00334F80" w:rsidRPr="00FA5AA8">
        <w:rPr>
          <w:rFonts w:ascii="Arial" w:hAnsi="Arial" w:cs="Arial"/>
          <w:lang w:val="en-US"/>
        </w:rPr>
        <w:t xml:space="preserve">that compose the ccPAS protocol. </w:t>
      </w:r>
      <w:r w:rsidR="00DF48EB" w:rsidRPr="00FA5AA8">
        <w:rPr>
          <w:rFonts w:ascii="Arial" w:hAnsi="Arial" w:cs="Arial"/>
          <w:lang w:val="en-US"/>
        </w:rPr>
        <w:t>In the ccPAS</w:t>
      </w:r>
      <w:r w:rsidR="00DF48EB" w:rsidRPr="00FA5AA8">
        <w:rPr>
          <w:rFonts w:ascii="Arial" w:hAnsi="Arial" w:cs="Arial"/>
          <w:vertAlign w:val="subscript"/>
          <w:lang w:val="en-US"/>
        </w:rPr>
        <w:t>PMv</w:t>
      </w:r>
      <w:r w:rsidR="00093173" w:rsidRPr="00FA5AA8">
        <w:rPr>
          <w:rFonts w:ascii="Arial" w:hAnsi="Arial" w:cs="Arial"/>
          <w:vertAlign w:val="subscript"/>
          <w:lang w:val="en-US"/>
        </w:rPr>
        <w:t>-</w:t>
      </w:r>
      <w:r w:rsidR="00DF48EB" w:rsidRPr="00FA5AA8">
        <w:rPr>
          <w:rFonts w:ascii="Arial" w:hAnsi="Arial" w:cs="Arial"/>
          <w:vertAlign w:val="subscript"/>
          <w:lang w:val="en-US"/>
        </w:rPr>
        <w:t>M1</w:t>
      </w:r>
      <w:r w:rsidR="00DF48EB" w:rsidRPr="00FA5AA8">
        <w:rPr>
          <w:rFonts w:ascii="Arial" w:hAnsi="Arial" w:cs="Arial"/>
          <w:lang w:val="en-US"/>
        </w:rPr>
        <w:t xml:space="preserve"> group</w:t>
      </w:r>
      <w:r w:rsidR="003E3331" w:rsidRPr="00FA5AA8">
        <w:rPr>
          <w:rFonts w:ascii="Arial" w:hAnsi="Arial" w:cs="Arial"/>
          <w:lang w:val="en-US"/>
        </w:rPr>
        <w:t>,</w:t>
      </w:r>
      <w:r w:rsidR="00DF48EB" w:rsidRPr="00FA5AA8">
        <w:rPr>
          <w:rFonts w:ascii="Arial" w:hAnsi="Arial" w:cs="Arial"/>
          <w:lang w:val="en-US"/>
        </w:rPr>
        <w:t xml:space="preserve"> PMv stimulat</w:t>
      </w:r>
      <w:r w:rsidR="00D35214" w:rsidRPr="00FA5AA8">
        <w:rPr>
          <w:rFonts w:ascii="Arial" w:hAnsi="Arial" w:cs="Arial"/>
          <w:lang w:val="en-US"/>
        </w:rPr>
        <w:t>ion always preceded</w:t>
      </w:r>
      <w:r w:rsidR="00151900" w:rsidRPr="00FA5AA8">
        <w:rPr>
          <w:rFonts w:ascii="Arial" w:hAnsi="Arial" w:cs="Arial"/>
          <w:lang w:val="en-US"/>
        </w:rPr>
        <w:t xml:space="preserve"> that over M1</w:t>
      </w:r>
      <w:r w:rsidR="002C6CD8" w:rsidRPr="00FA5AA8">
        <w:rPr>
          <w:rFonts w:ascii="Arial" w:hAnsi="Arial" w:cs="Arial"/>
          <w:lang w:val="en-US"/>
        </w:rPr>
        <w:t>: on each pair the first pulse was delivered over PMv and the second pulse delivered over M1</w:t>
      </w:r>
      <w:r w:rsidR="00151900" w:rsidRPr="00FA5AA8">
        <w:rPr>
          <w:rFonts w:ascii="Arial" w:hAnsi="Arial" w:cs="Arial"/>
          <w:lang w:val="en-US"/>
        </w:rPr>
        <w:t>; in the ccPAS</w:t>
      </w:r>
      <w:r w:rsidR="00151900" w:rsidRPr="00FA5AA8">
        <w:rPr>
          <w:rFonts w:ascii="Arial" w:hAnsi="Arial" w:cs="Arial"/>
          <w:vertAlign w:val="subscript"/>
          <w:lang w:val="en-US"/>
        </w:rPr>
        <w:t>M1</w:t>
      </w:r>
      <w:r w:rsidR="00506D56" w:rsidRPr="00FA5AA8">
        <w:rPr>
          <w:rFonts w:ascii="Arial" w:eastAsia="Wingdings" w:hAnsi="Arial" w:cs="Arial"/>
          <w:vertAlign w:val="subscript"/>
          <w:lang w:val="en-US"/>
        </w:rPr>
        <w:t>-</w:t>
      </w:r>
      <w:r w:rsidR="00151900" w:rsidRPr="00FA5AA8">
        <w:rPr>
          <w:rFonts w:ascii="Arial" w:hAnsi="Arial" w:cs="Arial"/>
          <w:vertAlign w:val="subscript"/>
          <w:lang w:val="en-US"/>
        </w:rPr>
        <w:t>PMv</w:t>
      </w:r>
      <w:r w:rsidR="00151900" w:rsidRPr="00FA5AA8">
        <w:rPr>
          <w:rFonts w:ascii="Arial" w:hAnsi="Arial" w:cs="Arial"/>
          <w:lang w:val="en-US"/>
        </w:rPr>
        <w:t xml:space="preserve"> group</w:t>
      </w:r>
      <w:r w:rsidR="003E3331" w:rsidRPr="00FA5AA8">
        <w:rPr>
          <w:rFonts w:ascii="Arial" w:hAnsi="Arial" w:cs="Arial"/>
          <w:lang w:val="en-US"/>
        </w:rPr>
        <w:t>,</w:t>
      </w:r>
      <w:r w:rsidR="00151900" w:rsidRPr="00FA5AA8">
        <w:rPr>
          <w:rFonts w:ascii="Arial" w:hAnsi="Arial" w:cs="Arial"/>
          <w:lang w:val="en-US"/>
        </w:rPr>
        <w:t xml:space="preserve"> the order was reversed. In the ccPAS</w:t>
      </w:r>
      <w:r w:rsidR="00151900" w:rsidRPr="00FA5AA8">
        <w:rPr>
          <w:rFonts w:ascii="Arial" w:hAnsi="Arial" w:cs="Arial"/>
          <w:vertAlign w:val="subscript"/>
          <w:lang w:val="en-US"/>
        </w:rPr>
        <w:t>SMA</w:t>
      </w:r>
      <w:r w:rsidR="00093173" w:rsidRPr="00FA5AA8">
        <w:rPr>
          <w:rFonts w:ascii="Arial" w:hAnsi="Arial" w:cs="Arial"/>
          <w:vertAlign w:val="subscript"/>
          <w:lang w:val="en-US"/>
        </w:rPr>
        <w:t>-</w:t>
      </w:r>
      <w:r w:rsidR="00151900" w:rsidRPr="00FA5AA8">
        <w:rPr>
          <w:rFonts w:ascii="Arial" w:hAnsi="Arial" w:cs="Arial"/>
          <w:vertAlign w:val="subscript"/>
          <w:lang w:val="en-US"/>
        </w:rPr>
        <w:t>M1</w:t>
      </w:r>
      <w:r w:rsidR="00151900" w:rsidRPr="00FA5AA8">
        <w:rPr>
          <w:rFonts w:ascii="Arial" w:hAnsi="Arial" w:cs="Arial"/>
          <w:lang w:val="en-US"/>
        </w:rPr>
        <w:t xml:space="preserve"> group</w:t>
      </w:r>
      <w:r w:rsidR="003E3331" w:rsidRPr="00FA5AA8">
        <w:rPr>
          <w:rFonts w:ascii="Arial" w:hAnsi="Arial" w:cs="Arial"/>
          <w:lang w:val="en-US"/>
        </w:rPr>
        <w:t>,</w:t>
      </w:r>
      <w:r w:rsidR="00151900" w:rsidRPr="00FA5AA8">
        <w:rPr>
          <w:rFonts w:ascii="Arial" w:hAnsi="Arial" w:cs="Arial"/>
          <w:lang w:val="en-US"/>
        </w:rPr>
        <w:t xml:space="preserve"> SMA stimulation always preceded that over M1; in the ccPAS</w:t>
      </w:r>
      <w:r w:rsidR="00151900" w:rsidRPr="00FA5AA8">
        <w:rPr>
          <w:rFonts w:ascii="Arial" w:hAnsi="Arial" w:cs="Arial"/>
          <w:vertAlign w:val="subscript"/>
          <w:lang w:val="en-US"/>
        </w:rPr>
        <w:t>M1</w:t>
      </w:r>
      <w:r w:rsidR="00506D56" w:rsidRPr="00FA5AA8">
        <w:rPr>
          <w:rFonts w:ascii="Arial" w:eastAsia="Wingdings" w:hAnsi="Arial" w:cs="Arial"/>
          <w:vertAlign w:val="subscript"/>
          <w:lang w:val="en-US"/>
        </w:rPr>
        <w:t>-</w:t>
      </w:r>
      <w:r w:rsidR="00151900" w:rsidRPr="00FA5AA8">
        <w:rPr>
          <w:rFonts w:ascii="Arial" w:hAnsi="Arial" w:cs="Arial"/>
          <w:vertAlign w:val="subscript"/>
          <w:lang w:val="en-US"/>
        </w:rPr>
        <w:t>SMA</w:t>
      </w:r>
      <w:r w:rsidR="00151900" w:rsidRPr="00FA5AA8">
        <w:rPr>
          <w:rFonts w:ascii="Arial" w:hAnsi="Arial" w:cs="Arial"/>
          <w:lang w:val="en-US"/>
        </w:rPr>
        <w:t xml:space="preserve"> group</w:t>
      </w:r>
      <w:r w:rsidR="003E3331" w:rsidRPr="00FA5AA8">
        <w:rPr>
          <w:rFonts w:ascii="Arial" w:hAnsi="Arial" w:cs="Arial"/>
          <w:lang w:val="en-US"/>
        </w:rPr>
        <w:t>,</w:t>
      </w:r>
      <w:r w:rsidR="00151900" w:rsidRPr="00FA5AA8">
        <w:rPr>
          <w:rFonts w:ascii="Arial" w:hAnsi="Arial" w:cs="Arial"/>
          <w:lang w:val="en-US"/>
        </w:rPr>
        <w:t xml:space="preserve"> the order was reversed. </w:t>
      </w:r>
      <w:r w:rsidR="0033288F" w:rsidRPr="00FA5AA8">
        <w:rPr>
          <w:rFonts w:ascii="Arial" w:hAnsi="Arial" w:cs="Arial"/>
          <w:lang w:val="en-US"/>
        </w:rPr>
        <w:t xml:space="preserve">In all groups, </w:t>
      </w:r>
      <w:r w:rsidR="00796193" w:rsidRPr="00FA5AA8">
        <w:rPr>
          <w:rFonts w:ascii="Arial" w:hAnsi="Arial" w:cs="Arial"/>
          <w:lang w:val="en-US"/>
        </w:rPr>
        <w:t>i</w:t>
      </w:r>
      <w:r w:rsidR="00797E3C" w:rsidRPr="00FA5AA8">
        <w:rPr>
          <w:rFonts w:ascii="Arial" w:hAnsi="Arial" w:cs="Arial"/>
          <w:lang w:val="en-US"/>
        </w:rPr>
        <w:t xml:space="preserve">n each </w:t>
      </w:r>
      <w:r w:rsidR="003E3331" w:rsidRPr="00FA5AA8">
        <w:rPr>
          <w:rFonts w:ascii="Arial" w:hAnsi="Arial" w:cs="Arial"/>
          <w:lang w:val="en-US"/>
        </w:rPr>
        <w:t>TMS</w:t>
      </w:r>
      <w:r w:rsidR="00797E3C" w:rsidRPr="00FA5AA8">
        <w:rPr>
          <w:rFonts w:ascii="Arial" w:hAnsi="Arial" w:cs="Arial"/>
          <w:lang w:val="en-US"/>
        </w:rPr>
        <w:t xml:space="preserve"> pair the second pulse was delivered 8 ms after the first pulse,</w:t>
      </w:r>
      <w:r w:rsidR="000B091F" w:rsidRPr="00FA5AA8">
        <w:rPr>
          <w:rFonts w:ascii="Arial" w:hAnsi="Arial" w:cs="Arial"/>
          <w:lang w:val="en-US"/>
        </w:rPr>
        <w:t xml:space="preserve"> matching the</w:t>
      </w:r>
      <w:r w:rsidR="00797E3C" w:rsidRPr="00FA5AA8">
        <w:rPr>
          <w:rFonts w:ascii="Arial" w:hAnsi="Arial" w:cs="Arial"/>
          <w:lang w:val="en-US"/>
        </w:rPr>
        <w:t xml:space="preserve"> interstimulus interval </w:t>
      </w:r>
      <w:r w:rsidR="00BE283C" w:rsidRPr="00FA5AA8">
        <w:rPr>
          <w:rFonts w:ascii="Arial" w:hAnsi="Arial" w:cs="Arial"/>
          <w:lang w:val="en-US"/>
        </w:rPr>
        <w:t>(ISI)</w:t>
      </w:r>
      <w:r w:rsidR="000B091F" w:rsidRPr="00FA5AA8">
        <w:rPr>
          <w:rFonts w:ascii="Arial" w:hAnsi="Arial" w:cs="Arial"/>
          <w:lang w:val="en-US"/>
        </w:rPr>
        <w:t xml:space="preserve"> found to recruit </w:t>
      </w:r>
      <w:r w:rsidR="00BE283C" w:rsidRPr="00FA5AA8">
        <w:rPr>
          <w:rFonts w:ascii="Arial" w:hAnsi="Arial" w:cs="Arial"/>
          <w:lang w:val="en-US"/>
        </w:rPr>
        <w:t>short-latency connection</w:t>
      </w:r>
      <w:r w:rsidR="000B091F" w:rsidRPr="00FA5AA8">
        <w:rPr>
          <w:rFonts w:ascii="Arial" w:hAnsi="Arial" w:cs="Arial"/>
          <w:lang w:val="en-US"/>
        </w:rPr>
        <w:t>s</w:t>
      </w:r>
      <w:r w:rsidR="00BE283C" w:rsidRPr="00FA5AA8">
        <w:rPr>
          <w:rFonts w:ascii="Arial" w:hAnsi="Arial" w:cs="Arial"/>
          <w:lang w:val="en-US"/>
        </w:rPr>
        <w:t xml:space="preserve"> </w:t>
      </w:r>
      <w:r w:rsidR="00796193" w:rsidRPr="00FA5AA8">
        <w:rPr>
          <w:rFonts w:ascii="Arial" w:hAnsi="Arial" w:cs="Arial"/>
          <w:lang w:val="en-US"/>
        </w:rPr>
        <w:t>between both PMv and SMA</w:t>
      </w:r>
      <w:r w:rsidR="002C6CD8" w:rsidRPr="00FA5AA8">
        <w:rPr>
          <w:rFonts w:ascii="Arial" w:hAnsi="Arial" w:cs="Arial"/>
          <w:lang w:val="en-US"/>
        </w:rPr>
        <w:t>,</w:t>
      </w:r>
      <w:r w:rsidR="00796193" w:rsidRPr="00FA5AA8">
        <w:rPr>
          <w:rFonts w:ascii="Arial" w:hAnsi="Arial" w:cs="Arial"/>
          <w:lang w:val="en-US"/>
        </w:rPr>
        <w:t xml:space="preserve"> </w:t>
      </w:r>
      <w:r w:rsidR="00984EE0" w:rsidRPr="00FA5AA8">
        <w:rPr>
          <w:rFonts w:ascii="Arial" w:hAnsi="Arial" w:cs="Arial"/>
          <w:lang w:val="en-US"/>
        </w:rPr>
        <w:t xml:space="preserve">and </w:t>
      </w:r>
      <w:r w:rsidR="00BE283C" w:rsidRPr="00FA5AA8">
        <w:rPr>
          <w:rFonts w:ascii="Arial" w:hAnsi="Arial" w:cs="Arial"/>
          <w:lang w:val="en-US"/>
        </w:rPr>
        <w:t xml:space="preserve">the </w:t>
      </w:r>
      <w:r w:rsidR="000B091F" w:rsidRPr="00FA5AA8">
        <w:rPr>
          <w:rFonts w:ascii="Arial" w:hAnsi="Arial" w:cs="Arial"/>
          <w:lang w:val="en-US"/>
        </w:rPr>
        <w:t>M1</w:t>
      </w:r>
      <w:r w:rsidR="00BE283C"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{"citationID":"CqfkLz9m","properties":{"formattedCitation":"\\super 5,14\\uc0\\u8211{}16\\nosupersub{}","plainCitation":"5,14–16","noteIndex":0},"citationItems":[{"id":"Q6hBG1ZL/W8HUGBv0","uris":["http://zotero.org/users/10009444/items/TMIFDR7D"],"itemData":{"id":4505,"type":"article-journal","abstract":"Dual-site transcranial magnetic stimulation (TMS) is a promising tool to measure supplementary motor area and primary motor cortex (SMA-M1) connectivity in younger and older adults, and could be used to understand the pathophysiology of movement disorders. However, test re-test reliability of dual-site TMS measures of SMA-M1 connectivity has not been established. We examined the reliability of SMA-M1 connectivity using dual-site TMS in two sessions in 30 younger and 30 older adults. For dual-site TMS, a conditioning pulse delivered to SMA (140% of active motor threshold) preceded a test pulse delivered to M1 (intensity that elicited MEPs of ~1 mV) by inter-stimulus intervals (ISI) of 6 ms, 7 ms, and 8 ms. Moderate intraclass correlation coefficients (ICC) were found for SMA-M1 connectivity at an ISI of 7 ms in younger (ICC: 0.69) and older adults (ICC: 0.68). Poor ICCs were found for SMA-M1 connectivity at ISIs of 6 ms and 8 ms in both age groups (ICC range: 0.01–0.40). We report evidence for stable measures of SMA-M1 connectivity at an ISI of 7 ms in both age groups. These findings are foundational for future research developing evidence-based interventions to strengthen SMA-M1 connectivity to improve bilateral motor control in older adults and populations with movement disorders.","container-title":"Neuroscience","DOI":"10.1016/j.neuroscience.2021.07.023","ISSN":"0306-4522","journalAbbreviation":"Neuroscience","language":"en","page":"11-24","source":"ScienceDirect","title":"Test Re-test Reliability of Dual-site TMS Measures of SMA-M1 Connectivity Differs Across Inter-stimulus Intervals in Younger and Older Adults","volume":"472","author":[{"family":"Rurak","given":"B. K."},{"family":"Rodrigues","given":"J. P."},{"family":"Power","given":"B. D."},{"family":"Drummond","given":"P. D."},{"family":"Vallence","given":"A. M."}],"issued":{"date-parts":[["2021",9,15]]}}},{"id":4509,"uris":["http://zotero.org/users/10009444/items/QJMJ7VE7"],"itemData":{"id":4509,"type":"article","abstract":"Dual-site transcranial magnetic stimulation (TMS) has been widely exploited to probe the influence of cortical structures on the primary motor cortex (M1). However, several issues remain open, notably regarding the use of this approach on areas of the medial frontal cortex – including the supplementary motor area (SMA) and the ventromedial prefrontal cortex (vmPFC) – known to play a fundamental role in motor behavior. First, the few TMS studies that have targeted SMA have mostly focused on short inter-stimulation intervals (6-8 ms), supposed to recruit cortico-cortical circuits. There is a current lack of data on the nature of the influence (i.e., facilitatory vs. suppressive) of SMA stimulation on M1 when probed with longer intervals (10-15 ms), thought to recruit more indirect cortico-subcortico-cortical circuits. Second, it is unclear whether the facilitatory influence of SMA stimulation previously reported with short intervals reflects the recruitment of cortico-cortical circuits (as commonly assumed) or results from the summation of volleys descending from SMA and M1 at the spinal level. Third, dual-site TMS has never been used to date to probe the influence of the vmPFC on M1, putatively due to the presumed difficulty of reaching the former area with magnetic fields. Here, we show that SMA stimulation facilitates motor activity with a 12 ms interval. Additionally, our data reveal that the facilitatory influence of SMA stimulation observed with short intervals does not result from spinal interactions. Finally, we show that vmPFC stimulation induces a moderate suppressive effect on M1, both with short and with long inter-stimulation intervals.","DOI":"10.1101/2022.01.18.476729","language":"en","license":"© 2022, Posted by Cold Spring Harbor Laboratory. This pre-print is available under a Creative Commons License (Attribution 4.0 International), CC BY 4.0, as described at http://creativecommons.org/licenses/by/4.0/","note":"page: 2022.01.18.476729\nsection: New Results","publisher":"bioRxiv","source":"bioRxiv","title":"Probing the influence of SMA and vmPFC on the motor system with dual-site transcranial magnetic stimulation","URL":"https://www.biorxiv.org/content/10.1101/2022.01.18.476729v1","author":[{"family":"Neige","given":"Cécilia"},{"family":"Zazou","given":"Abdelkrim Ali"},{"family":"Vassiliadis","given":"Pierre"},{"family":"Lebon","given":"Florent"},{"family":"Brees","given":"Thomas"},{"family":"Derosiere","given":"Gerard"}],"accessed":{"date-parts":[["2023",1,6]]},"issued":{"date-parts":[["2022",1,20]]}}},{"id":5368,"uris":["http://zotero.org/users/10009444/items/6PJPJJ2V"],"itemData":{"id":5368,"type":"article-journal","abstract":"Transcranial magnetic stimulation (TMS) studies have shown that cortico-cortical paired associative stimulation (ccPAS) can strengthen connectivity between the ventral premotor cortex (PMv) and the primary motor cortex (M1) by modulating convergent input over M1 via Hebbian spike-timing-dependent plasticity (STDP). However, whether ccPAS locally affects M1 activity remains unclear. We tested 60 right-handed young healthy humans in two studies, using a combination of dual coil TMS and ccPAS over the left PMv and M1 to probe and manipulate PMv-to-M1 connectivity, and single- and paired-pulse TMS to assess neural activity within M1. We provide convergent evidence that ccPAS, relying on repeated activations of excitatory PMv-to-M1 connections, acts locally over M1. During ccPAS, motor-evoked potentials (MEPs) induced by paired PMv-M1 stimulation gradually increased. Following ccPAS, the threshold for inducing MEPs of different amplitudes decreased, and the input-output curve (IO) slope increased, highlighting increased M1 corticospinal excitability. Moreover, ccPAS reduced the magnitude of short-interval intracortical inhibition (SICI), reflecting suppression of GABA-ergic interneuronal mechanisms within M1, without affecting intracortical facilitation (ICF). These changes were specific to ccPAS Hebbian strengthening of PMv-to-M1 connectivity, as no modulations were observed when reversing the order of the PMv-M1 stimulation during a control ccPAS protocol. These findings expand prior ccPAS research that focused on the malleability of cortico-cortical connectivity at the network-level, and highlight local changes in the area of convergent activation (i.e., M1) during plasticity induction. These findings provide new mechanistic insights into the physiological basis of ccPAS that are relevant for protocol optimization.","container-title":"NeuroImage","DOI":"10.1016/j.neuroimage.2023.120027","ISSN":"1053-8119","journalAbbreviation":"NeuroImage","language":"en","page":"120027","source":"ScienceDirect","title":"Cortico-cortical paired associative stimulation (ccPAS) over premotor-motor areas affects local circuitries in the human motor cortex via Hebbian plasticity","author":[{"family":"Turrini","given":"Sonia"},{"family":"Fiori","given":"Francesca"},{"family":"Chiappini","given":"Emilio"},{"family":"Lucero","given":"Boris"},{"family":"Santarnecchi","given":"Emiliano"},{"family":"Avenanti","given":"Alessio"}],"issued":{"date-parts":[["2023",3,15]]}}},{"id":193,"uris":["http://zotero.org/users/10009444/items/WDBHW4CF"],"itemData":{"id":193,"type":"article-journal","abstract":"In humans, the rostral part of the ventral premotor cortex (PMv), the homologue of F5 in monkeys, is known to be critically involved in shaping the hand to grasp objects. How does information about hand posture, that is processed in PMv, give rise to appropriate motor commands for transmission to spinal circuits controlling the hand? Whereas PMv is crucial for skilled visuomotor control of the hand, PMv sends relatively few direct corticospinal projections to spinal segments innervating hand muscles and the most likely route for PMv to contribute to the control of hand shape is through cortico-cortical connections with primary motor cortex (M1). If this is the case, we predicted that PMv-M1 interactions should be modulated specifically during precision grasping in humans. To address this issue, we investigated PMv-M1 connections by means of paired-pulse transcranial magnetic stimulation (TMS) and compared whether they were differentially modulated at rest, and during precision versus power grip. To do so, TMS was applied over M1 either in isolation or after a conditioning stimulus delivered, at different delays, over the ipsilateral PMv. For the parameters of TMS tested, we found that, at rest, PMv exerted a net inhibitory influence on M1 whereas, during power grip, this inhibition disappeared and was converted into a net facilitation during precision grip. The finding that, in humans, PMv-M1 interactions are selectively modulated during specific types of grasp provides further evidence that these connections play an important role in control of the hand.","container-title":"J Physiol","DOI":"10.1113/jphysiol.2008.152603","page":"2735-2742","title":"Selective modulation of interactions between ventral premotor cortex and primary motor cortex during precision grasping in humans","volume":"586","author":[{"family":"Davare","given":"Marco"},{"family":"Lemon","given":"Roger"},{"family":"Olivier","given":"Etienne"}],"issued":{"date-parts":[["2008"]]}}}],"schema":"https://github.com/citation-style-language/schema/raw/master/csl-citation.json"} </w:instrText>
      </w:r>
      <w:r w:rsidR="00BE283C" w:rsidRPr="00FA5AA8">
        <w:rPr>
          <w:rFonts w:ascii="Arial" w:hAnsi="Arial" w:cs="Arial"/>
          <w:lang w:val="en-US"/>
        </w:rPr>
        <w:fldChar w:fldCharType="separate"/>
      </w:r>
      <w:r w:rsidR="00FA07BD" w:rsidRPr="00FA5AA8">
        <w:rPr>
          <w:rFonts w:ascii="Arial" w:hAnsi="Arial" w:cs="Arial"/>
          <w:kern w:val="0"/>
          <w:szCs w:val="24"/>
          <w:vertAlign w:val="superscript"/>
        </w:rPr>
        <w:t>5,14–16</w:t>
      </w:r>
      <w:r w:rsidR="00BE283C" w:rsidRPr="00FA5AA8">
        <w:rPr>
          <w:rFonts w:ascii="Arial" w:hAnsi="Arial" w:cs="Arial"/>
          <w:lang w:val="en-US"/>
        </w:rPr>
        <w:fldChar w:fldCharType="end"/>
      </w:r>
      <w:r w:rsidR="00BE283C" w:rsidRPr="00FA5AA8">
        <w:rPr>
          <w:rFonts w:ascii="Arial" w:hAnsi="Arial" w:cs="Arial"/>
          <w:lang w:val="en-US"/>
        </w:rPr>
        <w:t xml:space="preserve">. </w:t>
      </w:r>
    </w:p>
    <w:p w14:paraId="24C2F132" w14:textId="6C722235" w:rsidR="002C6CD8" w:rsidRPr="00FA5AA8" w:rsidRDefault="00BE283C" w:rsidP="35F05C04">
      <w:pPr>
        <w:spacing w:line="360" w:lineRule="auto"/>
        <w:ind w:firstLine="708"/>
        <w:rPr>
          <w:rFonts w:ascii="Arial" w:hAnsi="Arial" w:cs="Arial"/>
          <w:lang w:val="en-US"/>
        </w:rPr>
      </w:pPr>
      <w:r w:rsidRPr="00FA5AA8">
        <w:rPr>
          <w:rFonts w:ascii="Arial" w:hAnsi="Arial" w:cs="Arial"/>
          <w:lang w:val="en-US"/>
        </w:rPr>
        <w:t xml:space="preserve">The intensity of the pulse </w:t>
      </w:r>
      <w:r w:rsidR="003E3331" w:rsidRPr="00FA5AA8">
        <w:rPr>
          <w:rFonts w:ascii="Arial" w:hAnsi="Arial" w:cs="Arial"/>
          <w:lang w:val="en-US"/>
        </w:rPr>
        <w:t>on PMv or SMA</w:t>
      </w:r>
      <w:r w:rsidRPr="00FA5AA8">
        <w:rPr>
          <w:rFonts w:ascii="Arial" w:hAnsi="Arial" w:cs="Arial"/>
          <w:lang w:val="en-US"/>
        </w:rPr>
        <w:t xml:space="preserve"> was set at 90% of the individual’s resting motor threshold (</w:t>
      </w:r>
      <w:proofErr w:type="spellStart"/>
      <w:r w:rsidRPr="00FA5AA8">
        <w:rPr>
          <w:rFonts w:ascii="Arial" w:hAnsi="Arial" w:cs="Arial"/>
          <w:lang w:val="en-US"/>
        </w:rPr>
        <w:t>rMT</w:t>
      </w:r>
      <w:proofErr w:type="spellEnd"/>
      <w:r w:rsidRPr="00FA5AA8">
        <w:rPr>
          <w:rFonts w:ascii="Arial" w:hAnsi="Arial" w:cs="Arial"/>
          <w:lang w:val="en-US"/>
        </w:rPr>
        <w:t>), defined as the minimum stimulator output intensity necessary to induce MEPs </w:t>
      </w:r>
      <w:r w:rsidR="000B091F" w:rsidRPr="00FA5AA8">
        <w:rPr>
          <w:rFonts w:ascii="Arial" w:hAnsi="Arial" w:cs="Arial"/>
          <w:lang w:val="en-US"/>
        </w:rPr>
        <w:t>~</w:t>
      </w:r>
      <w:r w:rsidRPr="00FA5AA8">
        <w:rPr>
          <w:rFonts w:ascii="Arial" w:hAnsi="Arial" w:cs="Arial"/>
          <w:lang w:val="en-US"/>
        </w:rPr>
        <w:t xml:space="preserve">50 </w:t>
      </w:r>
      <w:proofErr w:type="spellStart"/>
      <w:r w:rsidRPr="00FA5AA8">
        <w:rPr>
          <w:rFonts w:ascii="Arial" w:hAnsi="Arial" w:cs="Arial"/>
          <w:lang w:val="en-US"/>
        </w:rPr>
        <w:t>μV</w:t>
      </w:r>
      <w:proofErr w:type="spellEnd"/>
      <w:r w:rsidRPr="00FA5AA8">
        <w:rPr>
          <w:rFonts w:ascii="Arial" w:hAnsi="Arial" w:cs="Arial"/>
          <w:lang w:val="en-US"/>
        </w:rPr>
        <w:t xml:space="preserve"> in 5 out of 10 consecutive trials</w:t>
      </w:r>
      <w:r w:rsidR="000759CE"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{"citationID":"5X0ZrXJi","properties":{"formattedCitation":"\\super 17\\nosupersub{}","plainCitation":"17","noteIndex":0},"citationItems":[{"id":111,"uris":["http://zotero.org/users/10009444/items/JXE5TXQZ"],"itemData":{"id":111,"type":"article-journal","abstract":"These guidelines provide an up-date of previous IFCN report on \"Non-invasive electrical and magnetic stimulation of the brain, spinal cord and roots: basic principles and procedures for routine clinical application\" (. Rossini et al., 1994). A new Committee, composed of international experts, some of whom were in the panel of the 1994 \"Report\", was selected to produce a current state-of-the-art review of non-invasive stimulation both for clinical application and research in neuroscience.Since 1994, the international scientific community has seen a rapid increase in non-invasive brain stimulation in studying cognition, brain-behavior relationship and pathophysiology of various neurologic and psychiatric disorders. New paradigms of stimulation and new techniques have been developed. Furthermore, a large number of studies and clinical trials have demonstrated potential therapeutic applications of non-invasive brain stimulation, especially for TMS. Recent guidelines can be found in the literature covering specific aspects of non-invasive brain stimulation, such as safety (. Rossi et al., 2009), methodology (. Groppa et al., 2012) and therapeutic applications (. Lefaucheur et al., 2014).This up-dated review covers theoretical, physiological and practical aspects of non-invasive stimulation of brain, spinal cord, nerve roots and peripheral nerves in the light of more updated knowledge, and include some recent extensions and developments.","container-title":"Clinical Neurophysiology","DOI":"10.1016/j.clinph.2015.02.001","ISSN":"18728952","issue":"6","note":"publisher: Elsevier Ireland Ltd\nPMID: 25797650","page":"1071-1107","title":"Non-invasive electrical and magnetic stimulation of the brain, spinal cord, roots and peripheral nerves: Basic principles and procedures for routine clinical and research application: An updated report from an I.F.C.N. Committee","volume":"126","author":[{"family":"Rossini","given":"P. M."},{"family":"Burke","given":"D."},{"family":"Chen","given":"R."},{"family":"Cohen","given":"L. G."},{"family":"Daskalakis","given":"Z."},{"family":"Iorio","given":"R. Di"},{"family":"Lazzaro","given":"V. Di"},{"family":"Ferreri","given":"F."},{"family":"Fitzgerald","given":"P. B."},{"family":"George","given":"M. S."},{"family":"Hallett","given":"M."},{"family":"Lefaucheur","given":"J. P."},{"family":"Langguth","given":"B."},{"family":"Matsumoto","given":"H."},{"family":"Miniussi","given":"C."},{"family":"Nitsche","given":"M. A."},{"family":"Pascual-Leone","given":"A."},{"family":"Paulus","given":"W."},{"family":"Rossi","given":"S."},{"family":"Rothwell","given":"J. C."},{"family":"Siebner","given":"H. R."},{"family":"Ugawa","given":"Y."},{"family":"Walsh","given":"V."},{"family":"Ziemann","given":"U."}],"issued":{"date-parts":[["2015",6]]}}}],"schema":"https://github.com/citation-style-language/schema/raw/master/csl-citation.json"} </w:instrText>
      </w:r>
      <w:r w:rsidR="000759CE" w:rsidRPr="00FA5AA8">
        <w:rPr>
          <w:rFonts w:ascii="Arial" w:hAnsi="Arial" w:cs="Arial"/>
          <w:lang w:val="en-US"/>
        </w:rPr>
        <w:fldChar w:fldCharType="separate"/>
      </w:r>
      <w:r w:rsidR="00FA07BD" w:rsidRPr="00FA5AA8">
        <w:rPr>
          <w:rFonts w:ascii="Arial" w:hAnsi="Arial" w:cs="Arial"/>
          <w:kern w:val="0"/>
          <w:szCs w:val="24"/>
          <w:vertAlign w:val="superscript"/>
        </w:rPr>
        <w:t>17</w:t>
      </w:r>
      <w:r w:rsidR="000759CE" w:rsidRPr="00FA5AA8">
        <w:rPr>
          <w:rFonts w:ascii="Arial" w:hAnsi="Arial" w:cs="Arial"/>
          <w:lang w:val="en-US"/>
        </w:rPr>
        <w:fldChar w:fldCharType="end"/>
      </w:r>
      <w:r w:rsidRPr="00FA5AA8">
        <w:rPr>
          <w:rFonts w:ascii="Arial" w:hAnsi="Arial" w:cs="Arial"/>
          <w:lang w:val="en-US"/>
        </w:rPr>
        <w:t xml:space="preserve"> in the relaxed first dorsal interosseous (FDI).</w:t>
      </w:r>
      <w:r w:rsidR="00583246" w:rsidRPr="00FA5AA8">
        <w:rPr>
          <w:rFonts w:ascii="Arial" w:hAnsi="Arial" w:cs="Arial"/>
          <w:lang w:val="en-US"/>
        </w:rPr>
        <w:t xml:space="preserve"> </w:t>
      </w:r>
      <w:r w:rsidR="002E4EA5" w:rsidRPr="00FA5AA8">
        <w:rPr>
          <w:rFonts w:ascii="Arial" w:hAnsi="Arial" w:cs="Arial"/>
          <w:lang w:val="en-US"/>
        </w:rPr>
        <w:t>The intensity of the pulse on M1 was adjusted to evoke MEPs with an amplitude of ~1 mV</w:t>
      </w:r>
      <w:r w:rsidR="000759CE"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{"citationID":"tr97FOTK","properties":{"formattedCitation":"\\super 4,5,9,10,18\\nosupersub{}","plainCitation":"4,5,9,10,18","noteIndex":0},"citationItems":[{"id":5368,"uris":["http://zotero.org/users/10009444/items/6PJPJJ2V"],"itemData":{"id":5368,"type":"article-journal","abstract":"Transcranial magnetic stimulation (TMS) studies have shown that cortico-cortical paired associative stimulation (ccPAS) can strengthen connectivity between the ventral premotor cortex (PMv) and the primary motor cortex (M1) by modulating convergent input over M1 via Hebbian spike-timing-dependent plasticity (STDP). However, whether ccPAS locally affects M1 activity remains unclear. We tested 60 right-handed young healthy humans in two studies, using a combination of dual coil TMS and ccPAS over the left PMv and M1 to probe and manipulate PMv-to-M1 connectivity, and single- and paired-pulse TMS to assess neural activity within M1. We provide convergent evidence that ccPAS, relying on repeated activations of excitatory PMv-to-M1 connections, acts locally over M1. During ccPAS, motor-evoked potentials (MEPs) induced by paired PMv-M1 stimulation gradually increased. Following ccPAS, the threshold for inducing MEPs of different amplitudes decreased, and the input-output curve (IO) slope increased, highlighting increased M1 corticospinal excitability. Moreover, ccPAS reduced the magnitude of short-interval intracortical inhibition (SICI), reflecting suppression of GABA-ergic interneuronal mechanisms within M1, without affecting intracortical facilitation (ICF). These changes were specific to ccPAS Hebbian strengthening of PMv-to-M1 connectivity, as no modulations were observed when reversing the order of the PMv-M1 stimulation during a control ccPAS protocol. These findings expand prior ccPAS research that focused on the malleability of cortico-cortical connectivity at the network-level, and highlight local changes in the area of convergent activation (i.e., M1) during plasticity induction. These findings provide new mechanistic insights into the physiological basis of ccPAS that are relevant for protocol optimization.","container-title":"NeuroImage","DOI":"10.1016/j.neuroimage.2023.120027","ISSN":"1053-8119","journalAbbreviation":"NeuroImage","language":"en","page":"120027","source":"ScienceDirect","title":"Cortico-cortical paired associative stimulation (ccPAS) over premotor-motor areas affects local circuitries in the human motor cortex via Hebbian plasticity","author":[{"family":"Turrini","given":"Sonia"},{"family":"Fiori","given":"Francesca"},{"family":"Chiappini","given":"Emilio"},{"family":"Lucero","given":"Boris"},{"family":"Santarnecchi","given":"Emiliano"},{"family":"Avenanti","given":"Alessio"}],"issued":{"date-parts":[["2023",3,15]]}}},{"id":62,"uris":["http://zotero.org/users/10009444/items/SNUJ989Q"],"itemData":{"id":62,"type":"article-journal","abstract":"Correlations in brain activity between two areas (functional connectivity) have been shown to relate to their underlying structural connections. We examine the possibility that functional connectivity also reflects short-term changes in synaptic efficacy. We demonstrate that paired transcranial magnetic stimulation (TMS) near ventral premotor cortex (PMv) and primary motor cortex (M1) with a short 8-ms inter-pulse interval evoking synchronous pre-and post-synaptic activity and which strengthens interregional connectivity between the two areas in a pattern consistent with Hebbian plasticity, leads to increased functional connectivity between PMv and M1 as measured with functional magnetic resonance imaging (fMRI). Moreover, we show that strengthening connectivity between these nodes has effects on a wider network of areas, such as decreasing coupling in a parallel motor programming stream. A control experiment revealed that identical TMS pulses at identical frequencies caused no change in fMRI-measured functional connectivity when the inter-pulse-interval was too long for Hebbian-like plasticity.","container-title":"Elife","DOI":"10.7554/eLife.04585.001","page":"e04585","title":"Causal manipulation of functional connectivity in a specific neural pathway during behaviour and at rest","volume":"4","author":[{"family":"Johnen","given":"Vanessa M."},{"family":"Neubert","given":"Franz-Xaver"},{"family":"Buch","given":"Ethan R."},{"family":"Verhagen","given":"Lennart"},{"family":"O","given":"Jill X."},{"family":"Mars","given":"Rogier B."},{"family":"Rushworth","given":"Matthew F. S."}],"issued":{"date-parts":[["2015"]]}}},{"id":47,"uris":["http://zotero.org/users/10009444/items/XWZXIYEW"],"itemData":{"id":47,"type":"article-journal","abstract":"Ventral premotor cortex (PMv) is widely accepted to exert an important influence over primary motor cortex (M1) when hand movements are made. Although study of these interactions has typically focused on their excitatory nature, given its strong connections with both ventral and opercular frontal regions, one feature of the influence of PMv over M1 may be inhibitory. Paired-pulse transcranial magnetic stimulation (ppTMS) was used to examine functional interactions between human PMv and M1 during the selection and reprogramming of a naturalistic goal-directed action. One of two cylinders was illuminated on each trial. It was then grasped and picked up. On some trials, however, subjects had to reprogram the action as the illuminated cylinder was switched off and the other illuminated simultaneously with reach initiation. At a neurophysiological level, the PMv paired-pulse effect (PPE) on M1 corticospinal activity was facilitatory after the initial target presentation and during movement initiation. When reprogramming was required, however, the PPE became strongly inhibitory. This context-dependent change from facilitation to inhibition occurred within 75 ms of the change of target. Behaviorally, PMv-M1 ppTMS disrupted reprogramming. Diffusion-weighted magnetic resonance image scans were taken of each subject. Intersubject differences in the facilitation-inhibition contrast of PMv-M1 interactions were correlated with fractional anisotropy of white-matter in ventral prefrontal, premotor, and intraparietal brain areas. These results suggest that a network of brain areas centered on PMv inhibits M1 corticospinal activity associated with undesired movements when action plans change. Copyright © 2010 the authors.","container-title":"Journal of Neuroscience","DOI":"10.1523/JNEUROSCI.4882-09.2010","ISSN":"02706474","issue":"4","note":"PMID: 20107065","page":"1395-1401","title":"A network centered on ventral premotor cortex exerts both facilitatory and inhibitory control over primary motor cortex during action reprogramming","volume":"30","author":[{"family":"Buch","given":"Ethan R."},{"family":"Mars","given":"Rogier B."},{"family":"Boorman","given":"Erie D."},{"family":"Rushworth","given":"Matthew F. S."}],"issued":{"date-parts":[["2010",1]]}}},{"id":381,"uris":["http://zotero.org/users/10009444/items/LZPSMTDP"],"itemData":{"id":381,"type":"article-journal","container-title":"Brain Stimulation","DOI":"10.1016/j.brs.2020.08.003","ISSN":"18764754","issue":"5","note":"PMID: 32791314\npublisher: Elsevier Inc.","page":"1461-1463","title":"Driving associative plasticity in premotor-motor connections through a novel paired associative stimulation based on long-latency cortico-cortical interactions","volume":"13","author":[{"family":"Chiappini","given":"Emilio"},{"family":"Borgomaneri","given":"Sara"},{"family":"Marangon","given":"Mattia"},{"family":"Turrini","given":"Sonia"},{"family":"Romei","given":"Vincenzo"},{"family":"Avenanti","given":"Alessio"}],"issued":{"date-parts":[["2020",9,1]]}}},{"id":"Q6hBG1ZL/AxNrsajA","uris":["http://zotero.org/users/10009444/items/GBUXF2P3"],"itemData":{"id":38,"type":"article-journal","abstract":"Skillful goal-directed manual actions such as grasping and manipulating objects are supported by a large sensorimotor network. Within this network, the ventral premotor cortex (PMv) transforms visual information about objects into motor commands that are conveyed to the primary motor cortex (M1), allowing fine control of finger movements. However, it is unknown whether transcranial magnetic stimulation (TMS) of this PMv-to-M1 hierarchical pathway improves action performance. To fill in this gap, here, we used cortico-cortical paired associative stimulation (ccPAS) with the aim of manipulating synaptic efficacy in the human PMv-to-M1 pathway. We found that repeatedly pairing TMS of pre-and post-synaptic nodes of the PMv-to-M1 pathway (i.e., PMv-to-M1 ccPAS) increased motor excitability and enhanced performance on the 9-Hole Peg Test (9-HPT), which taps into PMv-M1 functioning. These effects were specific to the ccPAS protocol consistent with the direction of the PMv-to-M1 hierarchy, as no effects were observed when reversing the order of the paired TMS pulses (i.e., following a M1-to-PMv ccPAS) or when administering sham ccPAS. Additionally, the effect of PMv-to-M1 ccPAS appeared functionally specific, as no behavioral enhancement was observed in a visuomotor control task. We therefore provide novel causal evidence that the PMv-to-M1 pathway, which is instrumental to object-oriented hand actions, is sensitive to TMS manipulations of associative plasticity. Our study highlights the causal role of the PMv-to-M1 pathway in controlling skillful object-oriented hand actions and suggests that ccPAS might be a useful tool for investigating the functional relevance of directional connectivity in humans. These findings may have implications for designing novel therapeutic strategies based on the manipulation of associative plasticity in cortico-cortical networks.","container-title":"NeuroImage","DOI":"10.1016/j.neuroimage.2018.09.002","ISSN":"10959572","note":"publisher: Academic Press Inc.\nPMID: 30193973","page":"847-858","title":"Enhanced action performance following TMS manipulation of associative plasticity in ventral premotor-motor pathway","volume":"183","author":[{"family":"Fiori","given":"Francesca"},{"family":"Chiappini","given":"Emilio"},{"family":"Avenanti","given":"Alessio"}],"issued":{"date-parts":[["2018",12]]}}}],"schema":"https://github.com/citation-style-language/schema/raw/master/csl-citation.json"} </w:instrText>
      </w:r>
      <w:r w:rsidR="000759CE" w:rsidRPr="00FA5AA8">
        <w:rPr>
          <w:rFonts w:ascii="Arial" w:hAnsi="Arial" w:cs="Arial"/>
          <w:lang w:val="en-US"/>
        </w:rPr>
        <w:fldChar w:fldCharType="separate"/>
      </w:r>
      <w:r w:rsidR="00FA07BD" w:rsidRPr="00FA5AA8">
        <w:rPr>
          <w:rFonts w:ascii="Arial" w:hAnsi="Arial" w:cs="Arial"/>
          <w:kern w:val="0"/>
          <w:szCs w:val="24"/>
          <w:vertAlign w:val="superscript"/>
        </w:rPr>
        <w:t>4,5,9,10,18</w:t>
      </w:r>
      <w:r w:rsidR="000759CE" w:rsidRPr="00FA5AA8">
        <w:rPr>
          <w:rFonts w:ascii="Arial" w:hAnsi="Arial" w:cs="Arial"/>
          <w:lang w:val="en-US"/>
        </w:rPr>
        <w:fldChar w:fldCharType="end"/>
      </w:r>
      <w:r w:rsidR="002E4EA5" w:rsidRPr="00FA5AA8">
        <w:rPr>
          <w:rFonts w:ascii="Arial" w:hAnsi="Arial" w:cs="Arial"/>
          <w:lang w:val="en-US"/>
        </w:rPr>
        <w:t>.</w:t>
      </w:r>
      <w:r w:rsidR="00583246" w:rsidRPr="00FA5AA8">
        <w:rPr>
          <w:rFonts w:ascii="Arial" w:hAnsi="Arial" w:cs="Arial"/>
          <w:lang w:val="en-US"/>
        </w:rPr>
        <w:t xml:space="preserve"> </w:t>
      </w:r>
      <w:r w:rsidR="002E4EA5" w:rsidRPr="00FA5AA8">
        <w:rPr>
          <w:rFonts w:ascii="Arial" w:hAnsi="Arial" w:cs="Arial"/>
          <w:lang w:val="en-US"/>
        </w:rPr>
        <w:t xml:space="preserve">Pulses delivered during the ccPAS were triggered remotely using a custom MATLAB script (MathWorks, Natick, USA). </w:t>
      </w:r>
    </w:p>
    <w:p w14:paraId="3ED46C9B" w14:textId="5C9BAE31" w:rsidR="00457BD0" w:rsidRPr="00FA5AA8" w:rsidRDefault="009D68F6" w:rsidP="00FA5AA8">
      <w:pPr>
        <w:spacing w:line="360" w:lineRule="auto"/>
        <w:ind w:firstLine="708"/>
        <w:rPr>
          <w:rFonts w:ascii="Arial" w:hAnsi="Arial" w:cs="Arial"/>
          <w:i/>
          <w:iCs/>
          <w:lang w:val="en-US"/>
        </w:rPr>
      </w:pPr>
      <w:r w:rsidRPr="00FA5AA8">
        <w:rPr>
          <w:rFonts w:ascii="Arial" w:hAnsi="Arial" w:cs="Arial"/>
          <w:lang w:val="en-US"/>
        </w:rPr>
        <w:t>Since</w:t>
      </w:r>
      <w:r w:rsidR="00552AC0" w:rsidRPr="00FA5AA8">
        <w:rPr>
          <w:rFonts w:ascii="Arial" w:hAnsi="Arial" w:cs="Arial"/>
          <w:lang w:val="en-US"/>
        </w:rPr>
        <w:t xml:space="preserve"> M1 stimulation during ccPAS was set at a suprathreshold intensity, we were able to record a MEP elicited by each of the 90 paired stimulations, thus allowing us to monitor online changes in </w:t>
      </w:r>
      <w:r w:rsidR="002C6CD8" w:rsidRPr="00FA5AA8">
        <w:rPr>
          <w:rFonts w:ascii="Arial" w:hAnsi="Arial" w:cs="Arial"/>
          <w:lang w:val="en-US"/>
        </w:rPr>
        <w:t>corticospinal</w:t>
      </w:r>
      <w:r w:rsidR="00552AC0" w:rsidRPr="00FA5AA8">
        <w:rPr>
          <w:rFonts w:ascii="Arial" w:hAnsi="Arial" w:cs="Arial"/>
          <w:lang w:val="en-US"/>
        </w:rPr>
        <w:t xml:space="preserve"> excitability</w:t>
      </w:r>
      <w:r w:rsidR="00552AC0"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{"citationID":"pbRFscDq","properties":{"formattedCitation":"\\super 6\\uc0\\u8211{}8\\nosupersub{}","plainCitation":"6–8","noteIndex":0},"citationItems":[{"id":1970,"uris":["http://zotero.org/users/10009444/items/3U7IKZ7G"],"itemData":{"id":1970,"type":"article-journal","abstract":"Cortico-cortical paired associative stimulation (ccPAS) is an effective transcranial magnetic stimulation (TMS) method for inducing associative plasticity between interconnected brain areas in humans. Prior ccPAS studies have focused on protocol’s aftereffects. Here, we investigated physiological changes induced “online” during ccPAS administration. We tested 109 participants receiving ccPAS over left ventral premotor cortex (PMv) and primary motor cortex (M1) using a standard procedure (90 paired-pulses with 8-ms interstimulus interval, repeated at 0.1 Hz frequency). On each paired-pulse, we recorded a motor-evoked potential (MEP) to continuously trace the emergence of corticomotor changes. Participant receiving forward-ccPAS (on each pair, a first TMS pulse was administered over PMv, second over M1, i.e., PMv-to-M1) showed a gradual and linear increase in MEP size that did not reach a plateau at the end of the protocol and was greater in participants with low motor threshold. Participants receiving reverse-ccPAS (i.e., M1-to-PMv) showed a trend toward inhibition. Our study highlights the facilitatory and inhibitory modulations that occur during ccPAS administration and suggest that online MEP monitoring could provide insights into the malleability of the motor system and protocol’s effectiveness. Our findings open interesting prospects about ccPAS potential optimization in experimental and clinical settings.","container-title":"Scientific Reports","DOI":"10.1038/s41598-022-18774-9","ISSN":"2045-2322","issue":"1","journalAbbreviation":"Sci Rep","language":"en","license":"2022 The Author(s)","note":"number: 1\npublisher: Nature Publishing Group","page":"14670","source":"www.nature.com","title":"Gradual enhancement of corticomotor excitability during cortico-cortical paired associative stimulation","volume":"12","author":[{"family":"Turrini","given":"Sonia"},{"family":"Fiori","given":"Francesca"},{"family":"Chiappini","given":"Emilio"},{"family":"Santarnecchi","given":"Emiliano"},{"family":"Romei","given":"Vincenzo"},{"family":"Avenanti","given":"Alessio"}],"issued":{"date-parts":[["2022",8,29]]}}},{"id":5087,"uris":["http://zotero.org/users/10009444/items/6KVDXAD9"],"itemData":{"id":5087,"type":"article-journal","abstract":"Transcranial magnetic stimulation (TMS) methods such as cortico-cortical paired associative stimulation (ccPAS) can increase the strength of functional connectivity between ventral premotor cortex (PMv) and primary motor cortex (M1) via spike timing-dependent plasticity (STDP), leading to enhanced motor functions in young adults. However, whether this STDP-inducing protocol is effective in the aging brain remains unclear. In two groups of young and elderly healthy adults, we evaluated manual dexterity with the 9-hole peg task before and after ccPAS of the left PMv-M1 circuit. We observed that ccPAS enhanced dexterity in young adults, and this effect was anticipated by a progressive increase in motor-evoked potentials (MEPs) during ccPAS administration. No similar effects were observed in elderly individuals or in a control task. Across age groups, we observed that the magnitude of MEP changes predicted larger behavioral improvements. These findings demonstrate that left PMv-to-M1 ccPAS induces functionally specific improvements in young adults’ manual dexterity and an increase in corticomotor excitability, but altered plasticity prevents the effectiveness of ccPAS in the elderly.","container-title":"Frontiers in Aging Neuroscience","DOI":"10.3389/fnagi.2023.1119508","ISSN":"1663-4365","journalAbbreviation":"Front. Aging Neurosci.","source":"Frontiers","title":"Transcranial cortico-cortical paired associative stimulation (ccPAS) over ventral premotor-motor pathways enhances action performance and corticomotor excitability in young adults more than in elderly adults","URL":"https://www.frontiersin.org/articles/10.3389/fnagi.2023.1119508","volume":"15","author":[{"family":"Turrini","given":"Sonia"},{"family":"Bevacqua","given":"Naomi"},{"family":"Cataneo","given":"Antonio"},{"family":"Chiappini","given":"Emilio"},{"family":"Fiori","given":"Francesca"},{"family":"Candidi","given":"Matteo"},{"family":"Avenanti","given":"Alessio"}],"accessed":{"date-parts":[["2023",2,17]]},"issued":{"date-parts":[["2023"]]}}},{"id":7166,"uris":["http://zotero.org/users/10009444/items/HDSHSRV4"],"itemData":{"id":7166,"type":"article-journal","abstract":"Aging is commonly associated with a decline in motor control and neural plasticity. Tuning cortico–cortical interactions between premotor and motor areas is essential for controlling fine manual movements. However, whether plasticity in premotor–motor circuits predicts hand motor abilities in young and elderly humans remains unclear. Here, we administered transcranial magnetic stimulation (TMS) over the ventral premotor cortex (PMv) and primary motor cortex (M1) using the cortico–cortical paired-associative stimulation (ccPAS) protocol to manipulate the strength of PMv-to-M1 connectivity in 14 young and 14 elderly healthy adults. We assessed changes in motor-evoked potentials (MEPs) during ccPAS as an index of PMv-M1 network plasticity. We tested whether the magnitude of MEP changes might predict interindividual differences in performance in two motor tasks that rely on premotor-motor circuits, i.e., the nine-hole pegboard test and a choice reaction task. Results show lower motor performance and decreased PMv-M1 network plasticity in elderly adults. Critically, the slope of MEP changes during ccPAS accurately predicted performance at the two tasks across age groups, with larger slopes (i.e., MEP increase) predicting better motor performance at baseline in both young and elderly participants. These findings suggest that physiological indices of PMv-M1 plasticity could provide a neurophysiological marker of fine motor control across age-groups.","container-title":"Biomedicines","DOI":"10.3390/biomedicines11051464","ISSN":"2227-9059","issue":"5","language":"en","license":"http://creativecommons.org/licenses/by/3.0/","note":"number: 5\npublisher: Multidisciplinary Digital Publishing Institute","page":"1464","source":"www.mdpi.com","title":"Neurophysiological Markers of Premotor–Motor Network Plasticity Predict Motor Performance in Young and Older Adults","volume":"11","author":[{"family":"Turrini","given":"Sonia"},{"family":"Bevacqua","given":"Naomi"},{"family":"Cataneo","given":"Antonio"},{"family":"Chiappini","given":"Emilio"},{"family":"Fiori","given":"Francesca"},{"family":"Battaglia","given":"Simone"},{"family":"Romei","given":"Vincenzo"},{"family":"Avenanti","given":"Alessio"}],"issued":{"date-parts":[["2023",5]]}}}],"schema":"https://github.com/citation-style-language/schema/raw/master/csl-citation.json"} </w:instrText>
      </w:r>
      <w:r w:rsidR="00552AC0" w:rsidRPr="00FA5AA8">
        <w:rPr>
          <w:rFonts w:ascii="Arial" w:hAnsi="Arial" w:cs="Arial"/>
          <w:lang w:val="en-US"/>
        </w:rPr>
        <w:fldChar w:fldCharType="separate"/>
      </w:r>
      <w:r w:rsidR="00FA07BD" w:rsidRPr="00FA5AA8">
        <w:rPr>
          <w:rFonts w:ascii="Arial" w:hAnsi="Arial" w:cs="Arial"/>
          <w:kern w:val="0"/>
          <w:szCs w:val="24"/>
          <w:vertAlign w:val="superscript"/>
        </w:rPr>
        <w:t>6–8</w:t>
      </w:r>
      <w:r w:rsidR="00552AC0" w:rsidRPr="00FA5AA8">
        <w:rPr>
          <w:rFonts w:ascii="Arial" w:hAnsi="Arial" w:cs="Arial"/>
          <w:lang w:val="en-US"/>
        </w:rPr>
        <w:fldChar w:fldCharType="end"/>
      </w:r>
      <w:r w:rsidR="00552AC0" w:rsidRPr="00FA5AA8">
        <w:rPr>
          <w:rFonts w:ascii="Arial" w:hAnsi="Arial" w:cs="Arial"/>
          <w:lang w:val="en-US"/>
        </w:rPr>
        <w:t xml:space="preserve">. MEPs were recorded from the right FDI by means of surface Ag/AgCl electrodes placed in a belly-tendon montage. A </w:t>
      </w:r>
      <w:proofErr w:type="spellStart"/>
      <w:r w:rsidR="00552AC0" w:rsidRPr="00FA5AA8">
        <w:rPr>
          <w:rFonts w:ascii="Arial" w:hAnsi="Arial" w:cs="Arial"/>
          <w:lang w:val="en-US"/>
        </w:rPr>
        <w:t>Biopac</w:t>
      </w:r>
      <w:proofErr w:type="spellEnd"/>
      <w:r w:rsidR="00552AC0" w:rsidRPr="00FA5AA8">
        <w:rPr>
          <w:rFonts w:ascii="Arial" w:hAnsi="Arial" w:cs="Arial"/>
          <w:lang w:val="en-US"/>
        </w:rPr>
        <w:t xml:space="preserve"> MP-35 (</w:t>
      </w:r>
      <w:proofErr w:type="spellStart"/>
      <w:r w:rsidR="00552AC0" w:rsidRPr="00FA5AA8">
        <w:rPr>
          <w:rFonts w:ascii="Arial" w:hAnsi="Arial" w:cs="Arial"/>
          <w:lang w:val="en-US"/>
        </w:rPr>
        <w:t>Biopac</w:t>
      </w:r>
      <w:proofErr w:type="spellEnd"/>
      <w:r w:rsidR="00552AC0" w:rsidRPr="00FA5AA8">
        <w:rPr>
          <w:rFonts w:ascii="Arial" w:hAnsi="Arial" w:cs="Arial"/>
          <w:lang w:val="en-US"/>
        </w:rPr>
        <w:t xml:space="preserve">, USA) </w:t>
      </w:r>
      <w:r w:rsidR="00552AC0" w:rsidRPr="00FA5AA8">
        <w:rPr>
          <w:rFonts w:ascii="Arial" w:hAnsi="Arial" w:cs="Arial"/>
          <w:lang w:val="en-US"/>
        </w:rPr>
        <w:lastRenderedPageBreak/>
        <w:t>electromyograph was used to acquire EMG signals (band-pass filter: 30–500 Hz; sampling rate: 20 kHz).</w:t>
      </w:r>
    </w:p>
    <w:p w14:paraId="7B09F17A" w14:textId="79EAC6AA" w:rsidR="00457BD0" w:rsidRPr="00FA5AA8" w:rsidRDefault="00457BD0" w:rsidP="00457BD0">
      <w:pPr>
        <w:spacing w:line="360" w:lineRule="auto"/>
        <w:rPr>
          <w:rFonts w:ascii="Arial" w:hAnsi="Arial" w:cs="Arial"/>
          <w:lang w:val="en-US"/>
        </w:rPr>
      </w:pPr>
      <w:r w:rsidRPr="00FA5AA8">
        <w:rPr>
          <w:rFonts w:ascii="Arial" w:hAnsi="Arial" w:cs="Arial"/>
          <w:i/>
          <w:iCs/>
          <w:lang w:val="en-US"/>
        </w:rPr>
        <w:t xml:space="preserve">Neuronavigation </w:t>
      </w:r>
    </w:p>
    <w:p w14:paraId="1184D620" w14:textId="300D804C" w:rsidR="00FA5AA8" w:rsidRDefault="00457BD0" w:rsidP="00457BD0">
      <w:pPr>
        <w:spacing w:line="360" w:lineRule="auto"/>
        <w:ind w:firstLine="708"/>
        <w:rPr>
          <w:rFonts w:ascii="Arial" w:hAnsi="Arial" w:cs="Arial"/>
          <w:lang w:val="en-US"/>
        </w:rPr>
      </w:pPr>
      <w:r w:rsidRPr="00FA5AA8">
        <w:rPr>
          <w:rFonts w:ascii="Arial" w:hAnsi="Arial" w:cs="Arial"/>
          <w:lang w:val="en-US"/>
        </w:rPr>
        <w:t xml:space="preserve">The left PMv and the SMA locations were identified using the </w:t>
      </w:r>
      <w:proofErr w:type="spellStart"/>
      <w:r w:rsidRPr="00FA5AA8">
        <w:rPr>
          <w:rFonts w:ascii="Arial" w:hAnsi="Arial" w:cs="Arial"/>
          <w:lang w:val="en-US"/>
        </w:rPr>
        <w:t>SofTaxic</w:t>
      </w:r>
      <w:proofErr w:type="spellEnd"/>
      <w:r w:rsidRPr="00FA5AA8">
        <w:rPr>
          <w:rFonts w:ascii="Arial" w:hAnsi="Arial" w:cs="Arial"/>
          <w:lang w:val="en-US"/>
        </w:rPr>
        <w:t xml:space="preserve"> Navigator System (Electro Medical System, Bologna, IT). Firstly, skull landmarks (nasion, inion, and two preauricular points) and 80 points providing a uniform representation of the scalp were digitized in all participants using a Polaris </w:t>
      </w:r>
      <w:proofErr w:type="spellStart"/>
      <w:r w:rsidRPr="00FA5AA8">
        <w:rPr>
          <w:rFonts w:ascii="Arial" w:hAnsi="Arial" w:cs="Arial"/>
          <w:lang w:val="en-US"/>
        </w:rPr>
        <w:t>Vicra</w:t>
      </w:r>
      <w:proofErr w:type="spellEnd"/>
      <w:r w:rsidRPr="00FA5AA8">
        <w:rPr>
          <w:rFonts w:ascii="Arial" w:hAnsi="Arial" w:cs="Arial"/>
          <w:lang w:val="en-US"/>
        </w:rPr>
        <w:t xml:space="preserve"> digitizer (Northern Digital). A 3D warping process fitting a high-resolution MRI template to the participant's scalp model and craniometric points generated an individual estimated magnetic resonance image (MRI) for each participant. To locate the left PMv we adopted </w:t>
      </w:r>
      <w:proofErr w:type="spellStart"/>
      <w:r w:rsidRPr="00FA5AA8">
        <w:rPr>
          <w:rFonts w:ascii="Arial" w:hAnsi="Arial" w:cs="Arial"/>
          <w:lang w:val="en-US"/>
        </w:rPr>
        <w:t>Talairach</w:t>
      </w:r>
      <w:proofErr w:type="spellEnd"/>
      <w:r w:rsidRPr="00FA5AA8">
        <w:rPr>
          <w:rFonts w:ascii="Arial" w:hAnsi="Arial" w:cs="Arial"/>
          <w:lang w:val="en-US"/>
        </w:rPr>
        <w:t xml:space="preserve"> coordinates determined by averaging previously reported coordinates</w:t>
      </w:r>
      <w:r w:rsidRPr="00FA5AA8">
        <w:rPr>
          <w:rFonts w:ascii="Arial" w:hAnsi="Arial" w:cs="Arial"/>
          <w:lang w:val="en-US"/>
        </w:rPr>
        <w:fldChar w:fldCharType="begin"/>
      </w:r>
      <w:r w:rsidR="00FA07BD" w:rsidRPr="00FA5AA8">
        <w:rPr>
          <w:rFonts w:ascii="Arial" w:hAnsi="Arial" w:cs="Arial"/>
        </w:rPr>
        <w:instrText xml:space="preserve"> ADDIN ZOTERO_ITEM CSL_CITATION {"citationID":"8cFtIbWm","properties":{"formattedCitation":"\\super 19\\uc0\\u8211{}23\\nosupersub{}","plainCitation":"19–23","noteIndex":0},"citationItems":[{"id":4921,"uris":["http://zotero.org/users/10009444/items/9MQWHAS5"],"itemData":{"id":4921,"type":"article-journal","abstract":"Peripersonal space (PPS) representation depends on the activity of a fronto-parietal network including the premotor cortex (PMc) and the posterior parietal cortex (PPc). PPS representation has a direct effect on the motor system: a stimulus activating the PPS around the hand modulates the excitability of hand representation in the primary motor cortex. However, to date, direct information about the involvement of the PMc–PPc network in the motor mapping of sensory events occurring within PPS is lacking. To address this issue, we used a ‘perturb-and-measure’ paradigm based on the combination of transcranial direct current stimulation (tDCS) and transcranial magnetic stimulation (TMS) techniques. Cathodal tDCS was applied to transiently suppress neural activity in PMc, PPc and primary visual cortex (V1; serving as an active control site); single-pulse TMS was used to induce motor-evoked potentials (MEPs) from hand muscles and so to measure the excitability of the hand motor representation. MEPs were compared when a sound was presented either near the hand or at a distance. In experimental sessions performed after sham-tDCS and after tDCS over the control area V1, we found a spatially dependent modulation of the hand motor representation: sounds presented near the hand induced an inhibitory motor response as compared to sounds presented far apart. Critically, this effect was selectively abolished after tDCS suppression of neural activity in PMc, but not when perturbing the activity of PPc. These findings suggest that PMc has a critical role in mapping sensory representations of space onto the motor system.","container-title":"NeuroImage","DOI":"10.1016/j.neuroimage.2012.06.063","ISSN":"1053-8119","issue":"1","journalAbbreviation":"NeuroImage","language":"en","page":"281-288","source":"ScienceDirect","title":"Suppression of premotor cortex disrupts motor coding of peripersonal space","volume":"63","author":[{"family":"Avenanti","given":"Alessio"},{"family":"Annela","given":"Laura"},{"family":"Serino","given":"Andrea"}],"issued":{"date-parts":[["2012",10,15]]}}},{"id":4924,"uris":["http://zotero.org/users/10009444/items/YXB8U2WF"],"itemData":{"id":4924,"type":"article-journal","abstract":"Influential theories suggest that humans predict others’ upcoming actions by using their own motor system as an internal forward model. However, evidence that the motor system is causally essential for predicting others’ actions is meager. Using transcranial direct current stimulation (tDCS), we tested the role of the inferior frontal cortex (IFC), in action prediction (AP). We devised a novel AP task where participants observed the initial phases of right-hand reaching-to-grasp actions and had to predict their outcome (i.e., the goal/object to be grasped). We found that suppression by cathodal (inhibitory) tDCS of the left IFC, but not the left superior temporal sulcus or the right IFC, selectively impaired performance on the AP task, but not on a difficulty-matched control task. Remarkably, anodal (excitatory) tDCS of the left IFC brought about a selective improvement in the AP task. These findings indicate that the left IFC is necessary for predicting the outcomes of observed human right-hand actions. Crucially, our study shows for the first time that down- and up-regulating excitability within the motor system can hinder and enhance AP abilities, respectively. These findings support predictive coding theories of action perception and have implications for enhancement of AP abilities.","container-title":"Cerebral Cortex","DOI":"10.1093/cercor/bhx041","ISSN":"1047-3211","issue":"4","journalAbbreviation":"Cerebral Cortex","page":"1282-1296","source":"Silverchair","title":"Boosting and Decreasing Action Prediction Abilities Through Excitatory and Inhibitory tDCS of Inferior Frontal Cortex","volume":"28","author":[{"family":"Avenanti","given":"Alessio"},{"family":"Paracampo","given":"Riccardo"},{"family":"Annella","given":"Laura"},{"family":"Tidoni","given":"Emmanuele"},{"family":"Aglioti","given":"Salvatore Maria"}],"issued":{"date-parts":[["2018",4,1]]}}},{"id":4927,"uris":["http://zotero.org/users/10009444/items/7W2NI8GQ"],"itemData":{"id":4927,"type":"article-journal","abstract":"When lifting objects of different mass but identical visual appearance, we apply grip forces that match the expected mass of the object. Here we study the role of the primary motor cortex (M1), the ventral premotor cortex (PMv) and the anterior intraparietal area (AIP) for predictive and reactive scaling of grip forces. Participants performed a precision grip between the index finger and thumb of the right hand to lift two different masses of identical visual appearance in random order. Neuronavigated single pulse transcranial magnetic stimulation (TMS) over (i) left M1, (ii) left PMv, (iii) left AIP and (iv) the vertex (for control) was applied at two time points of the grasping movement after an unexpected change in mass had occurred: (a) at the time of movement onset and (b) at the time of peak grasp aperture. TMS over the PMv, but not over the vertex, M1 or the AIP, interfered with the predictive scaling of grip forces according to the most recent lift when applied at the time of peak grasp aperture. In contrast, TMS over AIP, but not over the vertex, M1 or PMv, disrupted the reactive adjustment of grip force to the novel mass of the object at hand. The findings highlight the differential involvement of PMv in the predictive scaling of grip force and of AIP in the reactive online adjustment of grip force during object manipulation.","container-title":"Brain Research","DOI":"10.1016/j.brainres.2008.06.027","ISSN":"0006-8993","journalAbbreviation":"Brain Research","language":"en","page":"73-80","source":"ScienceDirect","title":"On the role of the ventral premotor cortex and anterior intraparietal area for predictive and reactive scaling of grip force","volume":"1228","author":[{"family":"Dafotakis","given":"Manuel"},{"family":"Sparing","given":"Roland"},{"family":"Eickhoff","given":"Simon B."},{"family":"Fink","given":"Gereon R."},{"family":"Nowak","given":"Dennis A."}],"issued":{"date-parts":[["2008",9,4]]}}},{"id":4930,"uris":["http://zotero.org/users/10009444/items/GL53IWYS"],"itemData":{"id":4930,"type":"article-journal","abstract":"Small-object manipulation is essential in numerous human activities, although its neural bases are still essentially unknown. Recent functional imaging studies have shown that precision grasping activates a large bilateral frontoparietal network, including ventral (PMv) and dorsal (PMd) premotor areas. To dissociate the role of PMv and PMd in the control of hand and finger movements, we produced, by means of transcranial magnetic stimulation (TMS), transient virtual lesions of these two areas in both hemispheres, in healthy subjects performing a grip–lift task with their right, dominant hand. We found that a virtual lesion of PMv specifically impaired the grasping component of these movements: a lesion of either the left or right PMv altered the correct positioning of fingers on the object, a prerequisite for an efficient grasping, whereas lesioning the left, contralateral PMv disturbed the sequential recruitment of intrinsic hand muscles, all other movement parameters being unaffected by PMv lesions. Conversely, we found that a virtual lesion of the left PMd impaired the proper coupling between the grasping and lifting phases, as evidenced by the TMS-induced delay in the recruitment of proximal muscles responsible for the lifting phase; lesioning the right PMd failed to affect dominant hand movements. Finally, an analysis of the time course of these effects allowed us to demonstrate the sequential involvement of PMv and PMd in movement preparation. These results provide the first compelling evidence for a neuronal dissociation between the different phases of precision grasping in human premotor cortex.","container-title":"Journal of Neuroscience","DOI":"10.1523/JNEUROSCI.3386-05.2006","ISSN":"0270-6474, 1529-2401","issue":"8","journalAbbreviation":"J. Neurosci.","language":"en","license":"Copyright © 2006 Society for Neuroscience 0270-6474/06/262260-09$15.00/0","note":"publisher: Society for Neuroscience\nsection: Articles\nPMID: 16495453","page":"2260-2268","source":"www.jneurosci.org","title":"Dissociating the Role of Ventral and Dorsal Premotor Cortex in Precision Grasping","volume":"26","author":[{"family":"Davare","given":"Marco"},{"family":"Andres","given":"Michael"},{"family":"Cosnard","given":"Guy"},{"family":"Thonnard","given":"Jean-Louis"},{"family":"Olivier","given":"Etienne"}],"issued":{"date-parts":[["2006",2,22]]}}},{"id":4933,"uris":["http://zotero.org/users/10009444/items/C46GL3LV"],"itemData":{"id":4933,"type":"article-journal","abstract":"Watching others grasping and using objects activates an action observation network (AON), including inferior frontal (IFC), anterior intraparietal (AIP), and somatosensory cortices (S1). Yet, causal evidence of the differential involvement of such AON sensorimotor nodes in representing high- and low-level action components (i.e., end-goals and grip type) is meager. To address this issue, we used transcranial magnetic stimulation-adaptation (TMS-A) during 2 novel action perception tasks. Participants were shown adapting movies displaying a demonstrator performing goal-directed actions with a tool, using either power or precision grips. They were then asked to match the end-goal (Goal-recognition task) or the grip (Grip-recognition task) of actions shown in test pictures to the adapting movies. TMS was administered over IFC, AIP, or S1 during presentation of test pictures. Virtual lesion-like effects were found in the Grip-recognition task where IFC stimulation induced a general performance decrease, suggesting a critical role of IFC in perceiving grips. In the Goal-recognition task, IFC and S1 stimulation differently affected the processing of “adapted” and “nonadapted” goals. These “state-dependent” effects suggest that the overall goal of seen actions is encoded into functionally distinct and spatially overlapping neural populations in IFC–S1 and such encoding is critical for recognizing and understanding end-goals.","container-title":"Cerebral Cortex","DOI":"10.1093/cercor/bht242","ISSN":"1047-3211","issue":"3","journalAbbreviation":"Cerebral Cortex","page":"598-608","source":"Silverchair","title":"Perturbing the Action Observation Network During Perception and Categorization of Actions' Goals and Grips: State-Dependency and Virtual Lesion TMS Effects","title-short":"Perturbing the Action Observation Network During Perception and Categorization of Actions' Goals and Grips","volume":"25","author":[{"family":"Jacquet","given":"Pierre O."},{"family":"Avenanti","given":"Alessio"}],"issued":{"date-parts":[["2015",3,1]]}}}],"schema":"https://github.com/citation-style-language/schema/raw/master/csl-citation.json"}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19–23</w:t>
      </w:r>
      <w:r w:rsidRPr="00FA5AA8">
        <w:rPr>
          <w:rFonts w:ascii="Arial" w:hAnsi="Arial" w:cs="Arial"/>
          <w:lang w:val="en-US"/>
        </w:rPr>
        <w:fldChar w:fldCharType="end"/>
      </w:r>
      <w:r w:rsidRPr="00FA5AA8">
        <w:rPr>
          <w:rFonts w:ascii="Arial" w:hAnsi="Arial" w:cs="Arial"/>
          <w:lang w:val="en-US"/>
        </w:rPr>
        <w:t xml:space="preserve"> and used in our prior ccPAS studies</w:t>
      </w:r>
      <w:r w:rsidRPr="00FA5AA8">
        <w:rPr>
          <w:rFonts w:ascii="Arial" w:hAnsi="Arial" w:cs="Arial"/>
          <w:vertAlign w:val="superscript"/>
          <w:lang w:val="en-US"/>
        </w:rPr>
        <w:t>4</w:t>
      </w:r>
      <w:r w:rsidRPr="00FA5AA8">
        <w:rPr>
          <w:rFonts w:ascii="Arial" w:hAnsi="Arial" w:cs="Arial"/>
          <w:kern w:val="0"/>
          <w:vertAlign w:val="superscript"/>
          <w:lang w:val="en-US"/>
        </w:rPr>
        <w:t>–8</w:t>
      </w:r>
      <w:r w:rsidRPr="00FA5AA8">
        <w:rPr>
          <w:rFonts w:ascii="Arial" w:hAnsi="Arial" w:cs="Arial"/>
          <w:lang w:val="en-US"/>
        </w:rPr>
        <w:t xml:space="preserve">: x = –52; y = 10; z = 24. To identify SMA we adopted </w:t>
      </w:r>
      <w:proofErr w:type="spellStart"/>
      <w:r w:rsidRPr="00FA5AA8">
        <w:rPr>
          <w:rFonts w:ascii="Arial" w:hAnsi="Arial" w:cs="Arial"/>
          <w:lang w:val="en-US"/>
        </w:rPr>
        <w:t>Talairach</w:t>
      </w:r>
      <w:proofErr w:type="spellEnd"/>
      <w:r w:rsidRPr="00FA5AA8">
        <w:rPr>
          <w:rFonts w:ascii="Arial" w:hAnsi="Arial" w:cs="Arial"/>
          <w:lang w:val="en-US"/>
        </w:rPr>
        <w:t xml:space="preserve"> coordinates based on the metanalysis by Mayka et al.</w:t>
      </w:r>
      <w:r w:rsidRPr="00FA5AA8">
        <w:rPr>
          <w:rFonts w:ascii="Arial" w:hAnsi="Arial" w:cs="Arial"/>
          <w:lang w:val="en-US"/>
        </w:rPr>
        <w:fldChar w:fldCharType="begin"/>
      </w:r>
      <w:r w:rsidR="00FA07BD" w:rsidRPr="00FA5AA8">
        <w:rPr>
          <w:rFonts w:ascii="Arial" w:hAnsi="Arial" w:cs="Arial"/>
          <w:lang w:val="en-US"/>
        </w:rPr>
        <w:instrText xml:space="preserve"> ADDIN ZOTERO_ITEM CSL_CITATION {"citationID":"NqD5qg54","properties":{"formattedCitation":"\\super 24\\nosupersub{}","plainCitation":"24","noteIndex":0},"citationItems":[{"id":4514,"uris":["http://zotero.org/users/10009444/items/RJNZ8KBH"],"itemData":{"id":4514,"type":"article-journal","abstract":"The mesial premotor cortex (pre-supplementary motor area and supplementary motor area proper), lateral premotor cortex (dorsal premotor cortex and ventral premotor cortex), and primary sensorimotor cortex (primary motor cortex and primary somatosensory cortex) have been identified as key cortical areas for sensorimotor function. However, the three-dimensional (3-D) anatomic boundaries between these regions remain unclear. In order to clarify the locations and boundaries for these six sensorimotor regions, we surveyed 126 articles describing pre-supplementary motor area, supplementary motor area proper, dorsal premotor cortex, ventral premotor cortex, primary motor cortex, and primary somatosensory cortex. Using strict inclusion criteria, we recorded the reported normalized stereotaxic coordinates (Talairach and Tournoux or MNI) from each experiment. We then computed the probability distributions describing the likelihood of activation, and characterized the shape, extent, and area of each sensorimotor region in 3-D. Additionally, we evaluated the nature of the overlap between the six sensorimotor regions. Using the findings from this meta-analysis, along with suggestions and guidelines of previous researchers, we developed the Human Motor Area Template (HMAT) that can be used for ROI analysis. HMAT is available through e-mail from the corresponding author.","container-title":"NeuroImage","DOI":"10.1016/j.neuroimage.2006.02.004","ISSN":"1053-8119","issue":"4","journalAbbreviation":"NeuroImage","language":"en","page":"1453-1474","source":"ScienceDirect","title":"Three-dimensional locations and boundaries of motor and premotor cortices as defined by functional brain imaging: A meta-analysis","title-short":"Three-dimensional locations and boundaries of motor and premotor cortices as defined by functional brain imaging","volume":"31","author":[{"family":"Mayka","given":"Mary A."},{"family":"Corcos","given":"Daniel M."},{"family":"Leurgans","given":"Sue E."},{"family":"Vaillancourt","given":"David E."}],"issued":{"date-parts":[["2006",7,15]]}}}],"schema":"https://github.com/citation-style-language/schema/raw/master/csl-citation.json"} </w:instrText>
      </w:r>
      <w:r w:rsidRPr="00FA5AA8">
        <w:rPr>
          <w:rFonts w:ascii="Arial" w:hAnsi="Arial" w:cs="Arial"/>
          <w:lang w:val="en-US"/>
        </w:rPr>
        <w:fldChar w:fldCharType="separate"/>
      </w:r>
      <w:r w:rsidR="00FA07BD" w:rsidRPr="00FA5AA8">
        <w:rPr>
          <w:rFonts w:ascii="Arial" w:hAnsi="Arial" w:cs="Arial"/>
          <w:kern w:val="0"/>
          <w:szCs w:val="24"/>
          <w:vertAlign w:val="superscript"/>
        </w:rPr>
        <w:t>24</w:t>
      </w:r>
      <w:r w:rsidRPr="00FA5AA8">
        <w:rPr>
          <w:rFonts w:ascii="Arial" w:hAnsi="Arial" w:cs="Arial"/>
          <w:lang w:val="en-US"/>
        </w:rPr>
        <w:fldChar w:fldCharType="end"/>
      </w:r>
      <w:r w:rsidRPr="00FA5AA8">
        <w:rPr>
          <w:rFonts w:ascii="Arial" w:hAnsi="Arial" w:cs="Arial"/>
          <w:lang w:val="en-US"/>
        </w:rPr>
        <w:t xml:space="preserve">: x = –2; y = -7; z = 55. </w:t>
      </w:r>
    </w:p>
    <w:p w14:paraId="3F2E9A85" w14:textId="30174977" w:rsidR="00457BD0" w:rsidRDefault="00457BD0" w:rsidP="00457BD0">
      <w:pPr>
        <w:spacing w:line="360" w:lineRule="auto"/>
        <w:ind w:firstLine="708"/>
        <w:rPr>
          <w:rFonts w:ascii="Arial" w:hAnsi="Arial" w:cs="Arial"/>
          <w:lang w:val="en-US"/>
        </w:rPr>
      </w:pPr>
      <w:r w:rsidRPr="00FA5AA8">
        <w:rPr>
          <w:rFonts w:ascii="Arial" w:hAnsi="Arial" w:cs="Arial"/>
          <w:lang w:val="en-US"/>
        </w:rPr>
        <w:t xml:space="preserve">The </w:t>
      </w:r>
      <w:proofErr w:type="spellStart"/>
      <w:r w:rsidRPr="00FA5AA8">
        <w:rPr>
          <w:rFonts w:ascii="Arial" w:hAnsi="Arial" w:cs="Arial"/>
          <w:lang w:val="en-US"/>
        </w:rPr>
        <w:t>Talairach</w:t>
      </w:r>
      <w:proofErr w:type="spellEnd"/>
      <w:r w:rsidRPr="00FA5AA8">
        <w:rPr>
          <w:rFonts w:ascii="Arial" w:hAnsi="Arial" w:cs="Arial"/>
          <w:lang w:val="en-US"/>
        </w:rPr>
        <w:t xml:space="preserve"> coordinates corresponding to the projections of the left PMv, SMA and left M1 scalp sites onto the brain surface were automatically estimated by the </w:t>
      </w:r>
      <w:proofErr w:type="spellStart"/>
      <w:r w:rsidRPr="00FA5AA8">
        <w:rPr>
          <w:rFonts w:ascii="Arial" w:hAnsi="Arial" w:cs="Arial"/>
          <w:lang w:val="en-US"/>
        </w:rPr>
        <w:t>SofTaxic</w:t>
      </w:r>
      <w:proofErr w:type="spellEnd"/>
      <w:r w:rsidRPr="00FA5AA8">
        <w:rPr>
          <w:rFonts w:ascii="Arial" w:hAnsi="Arial" w:cs="Arial"/>
          <w:lang w:val="en-US"/>
        </w:rPr>
        <w:t xml:space="preserve"> Navigator from the MRI-constructed stereotaxic template</w:t>
      </w:r>
      <w:r w:rsidR="00FA07BD" w:rsidRPr="00FA5AA8">
        <w:rPr>
          <w:rFonts w:ascii="Arial" w:hAnsi="Arial" w:cs="Arial"/>
          <w:lang w:val="en-US"/>
        </w:rPr>
        <w:t xml:space="preserve">, mean and standard deviation of the four groups are reported in Table S1 and the hot-spot of the subjects </w:t>
      </w:r>
      <w:r w:rsidRPr="00FA5AA8">
        <w:rPr>
          <w:rFonts w:ascii="Arial" w:hAnsi="Arial" w:cs="Arial"/>
          <w:lang w:val="en-US"/>
        </w:rPr>
        <w:t>are depicted in Figure 1b in the main text.</w:t>
      </w:r>
    </w:p>
    <w:p w14:paraId="086A2AC8" w14:textId="77777777" w:rsidR="00FA5AA8" w:rsidRPr="00FA5AA8" w:rsidRDefault="00FA5AA8" w:rsidP="00457BD0">
      <w:pPr>
        <w:spacing w:line="360" w:lineRule="auto"/>
        <w:ind w:firstLine="708"/>
        <w:rPr>
          <w:rFonts w:ascii="Arial" w:hAnsi="Arial" w:cs="Arial"/>
          <w:lang w:val="en-US"/>
        </w:rPr>
      </w:pPr>
    </w:p>
    <w:tbl>
      <w:tblPr>
        <w:tblW w:w="8469" w:type="dxa"/>
        <w:tblCellMar>
          <w:top w:w="15" w:type="dxa"/>
          <w:left w:w="70" w:type="dxa"/>
          <w:bottom w:w="15" w:type="dxa"/>
          <w:right w:w="70" w:type="dxa"/>
        </w:tblCellMar>
        <w:tblLook w:val="04A0" w:firstRow="1" w:lastRow="0" w:firstColumn="1" w:lastColumn="0" w:noHBand="0" w:noVBand="1"/>
      </w:tblPr>
      <w:tblGrid>
        <w:gridCol w:w="440"/>
        <w:gridCol w:w="1893"/>
        <w:gridCol w:w="879"/>
        <w:gridCol w:w="910"/>
        <w:gridCol w:w="910"/>
        <w:gridCol w:w="808"/>
        <w:gridCol w:w="974"/>
        <w:gridCol w:w="790"/>
        <w:gridCol w:w="865"/>
      </w:tblGrid>
      <w:tr w:rsidR="00FA07BD" w:rsidRPr="00FA5AA8" w14:paraId="06B3F75F" w14:textId="77777777" w:rsidTr="00FA5AA8">
        <w:trPr>
          <w:trHeight w:val="324"/>
        </w:trPr>
        <w:tc>
          <w:tcPr>
            <w:tcW w:w="440" w:type="dxa"/>
            <w:tcBorders>
              <w:top w:val="nil"/>
              <w:left w:val="nil"/>
              <w:bottom w:val="nil"/>
              <w:right w:val="nil"/>
            </w:tcBorders>
            <w:noWrap/>
            <w:vAlign w:val="center"/>
            <w:hideMark/>
          </w:tcPr>
          <w:p w14:paraId="1EBA5468" w14:textId="77777777" w:rsidR="00FA07BD" w:rsidRPr="00FA5AA8" w:rsidRDefault="00FA07BD" w:rsidP="00FA07BD">
            <w:pPr>
              <w:spacing w:after="0" w:line="240" w:lineRule="auto"/>
              <w:rPr>
                <w:rFonts w:ascii="Arial" w:eastAsia="Times New Roman" w:hAnsi="Arial" w:cs="Arial"/>
                <w:kern w:val="0"/>
                <w:lang w:val="en-US" w:eastAsia="it-IT"/>
                <w14:ligatures w14:val="none"/>
              </w:rPr>
            </w:pPr>
          </w:p>
        </w:tc>
        <w:tc>
          <w:tcPr>
            <w:tcW w:w="1893" w:type="dxa"/>
            <w:tcBorders>
              <w:top w:val="nil"/>
              <w:left w:val="nil"/>
              <w:bottom w:val="nil"/>
              <w:right w:val="nil"/>
            </w:tcBorders>
            <w:noWrap/>
            <w:vAlign w:val="center"/>
            <w:hideMark/>
          </w:tcPr>
          <w:p w14:paraId="6D44E90E" w14:textId="77777777" w:rsidR="00FA07BD" w:rsidRPr="00FA5AA8" w:rsidRDefault="00FA07BD" w:rsidP="00FA07BD">
            <w:pPr>
              <w:spacing w:after="0" w:line="240" w:lineRule="auto"/>
              <w:jc w:val="center"/>
              <w:rPr>
                <w:rFonts w:ascii="Arial" w:eastAsia="Times New Roman" w:hAnsi="Arial" w:cs="Arial"/>
                <w:kern w:val="0"/>
                <w:lang w:val="en-US" w:eastAsia="it-IT"/>
                <w14:ligatures w14:val="none"/>
              </w:rPr>
            </w:pPr>
          </w:p>
        </w:tc>
        <w:tc>
          <w:tcPr>
            <w:tcW w:w="879" w:type="dxa"/>
            <w:tcBorders>
              <w:top w:val="nil"/>
              <w:left w:val="nil"/>
              <w:bottom w:val="nil"/>
              <w:right w:val="nil"/>
            </w:tcBorders>
            <w:noWrap/>
            <w:vAlign w:val="center"/>
            <w:hideMark/>
          </w:tcPr>
          <w:p w14:paraId="07AD9EAC" w14:textId="77777777" w:rsidR="00FA07BD" w:rsidRPr="00FA5AA8" w:rsidRDefault="00FA07BD" w:rsidP="00FA07BD">
            <w:pPr>
              <w:spacing w:after="0" w:line="240" w:lineRule="auto"/>
              <w:jc w:val="center"/>
              <w:rPr>
                <w:rFonts w:ascii="Arial" w:eastAsia="Times New Roman" w:hAnsi="Arial" w:cs="Arial"/>
                <w:kern w:val="0"/>
                <w:lang w:val="en-US" w:eastAsia="it-IT"/>
                <w14:ligatures w14:val="none"/>
              </w:rPr>
            </w:pPr>
          </w:p>
        </w:tc>
        <w:tc>
          <w:tcPr>
            <w:tcW w:w="2628" w:type="dxa"/>
            <w:gridSpan w:val="3"/>
            <w:tcBorders>
              <w:top w:val="single" w:sz="8" w:space="0" w:color="auto"/>
              <w:left w:val="single" w:sz="8" w:space="0" w:color="auto"/>
              <w:bottom w:val="single" w:sz="8" w:space="0" w:color="auto"/>
              <w:right w:val="nil"/>
            </w:tcBorders>
            <w:shd w:val="clear" w:color="000000" w:fill="D9E1F2"/>
            <w:noWrap/>
            <w:vAlign w:val="center"/>
            <w:hideMark/>
          </w:tcPr>
          <w:p w14:paraId="2AACE535"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M1</w:t>
            </w:r>
          </w:p>
        </w:tc>
        <w:tc>
          <w:tcPr>
            <w:tcW w:w="2629" w:type="dxa"/>
            <w:gridSpan w:val="3"/>
            <w:tcBorders>
              <w:top w:val="single" w:sz="8" w:space="0" w:color="auto"/>
              <w:left w:val="single" w:sz="8" w:space="0" w:color="auto"/>
              <w:bottom w:val="single" w:sz="8" w:space="0" w:color="auto"/>
              <w:right w:val="single" w:sz="4" w:space="0" w:color="auto"/>
            </w:tcBorders>
            <w:shd w:val="clear" w:color="000000" w:fill="D9E1F2"/>
            <w:noWrap/>
            <w:vAlign w:val="center"/>
            <w:hideMark/>
          </w:tcPr>
          <w:p w14:paraId="45E1E8FC"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PMv</w:t>
            </w:r>
          </w:p>
        </w:tc>
      </w:tr>
      <w:tr w:rsidR="00FA07BD" w:rsidRPr="00FA5AA8" w14:paraId="1714CAEC" w14:textId="77777777" w:rsidTr="00FA5AA8">
        <w:trPr>
          <w:trHeight w:val="324"/>
        </w:trPr>
        <w:tc>
          <w:tcPr>
            <w:tcW w:w="440" w:type="dxa"/>
            <w:tcBorders>
              <w:top w:val="nil"/>
              <w:left w:val="nil"/>
              <w:bottom w:val="nil"/>
              <w:right w:val="nil"/>
            </w:tcBorders>
            <w:noWrap/>
            <w:vAlign w:val="center"/>
            <w:hideMark/>
          </w:tcPr>
          <w:p w14:paraId="4125B999"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p>
        </w:tc>
        <w:tc>
          <w:tcPr>
            <w:tcW w:w="1893" w:type="dxa"/>
            <w:tcBorders>
              <w:top w:val="nil"/>
              <w:left w:val="nil"/>
              <w:bottom w:val="nil"/>
              <w:right w:val="nil"/>
            </w:tcBorders>
            <w:noWrap/>
            <w:vAlign w:val="center"/>
            <w:hideMark/>
          </w:tcPr>
          <w:p w14:paraId="5F4E045D" w14:textId="77777777" w:rsidR="00FA07BD" w:rsidRPr="00FA5AA8" w:rsidRDefault="00FA07BD" w:rsidP="00FA07BD">
            <w:pPr>
              <w:spacing w:after="0" w:line="240" w:lineRule="auto"/>
              <w:jc w:val="center"/>
              <w:rPr>
                <w:rFonts w:ascii="Arial" w:eastAsia="Times New Roman" w:hAnsi="Arial" w:cs="Arial"/>
                <w:kern w:val="0"/>
                <w:lang w:val="it-IT" w:eastAsia="it-IT"/>
                <w14:ligatures w14:val="none"/>
              </w:rPr>
            </w:pPr>
          </w:p>
        </w:tc>
        <w:tc>
          <w:tcPr>
            <w:tcW w:w="879" w:type="dxa"/>
            <w:tcBorders>
              <w:top w:val="nil"/>
              <w:left w:val="nil"/>
              <w:bottom w:val="nil"/>
              <w:right w:val="nil"/>
            </w:tcBorders>
            <w:noWrap/>
            <w:vAlign w:val="center"/>
            <w:hideMark/>
          </w:tcPr>
          <w:p w14:paraId="4F0A3F32" w14:textId="77777777" w:rsidR="00FA07BD" w:rsidRPr="00FA5AA8" w:rsidRDefault="00FA07BD" w:rsidP="00FA07BD">
            <w:pPr>
              <w:spacing w:after="0" w:line="240" w:lineRule="auto"/>
              <w:jc w:val="center"/>
              <w:rPr>
                <w:rFonts w:ascii="Arial" w:eastAsia="Times New Roman" w:hAnsi="Arial" w:cs="Arial"/>
                <w:kern w:val="0"/>
                <w:lang w:val="it-IT" w:eastAsia="it-IT"/>
                <w14:ligatures w14:val="none"/>
              </w:rPr>
            </w:pPr>
          </w:p>
        </w:tc>
        <w:tc>
          <w:tcPr>
            <w:tcW w:w="910" w:type="dxa"/>
            <w:tcBorders>
              <w:top w:val="nil"/>
              <w:left w:val="single" w:sz="4" w:space="0" w:color="auto"/>
              <w:bottom w:val="single" w:sz="4" w:space="0" w:color="auto"/>
              <w:right w:val="single" w:sz="4" w:space="0" w:color="auto"/>
            </w:tcBorders>
            <w:noWrap/>
            <w:vAlign w:val="center"/>
            <w:hideMark/>
          </w:tcPr>
          <w:p w14:paraId="57275214"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x</w:t>
            </w:r>
          </w:p>
        </w:tc>
        <w:tc>
          <w:tcPr>
            <w:tcW w:w="910" w:type="dxa"/>
            <w:tcBorders>
              <w:top w:val="nil"/>
              <w:left w:val="single" w:sz="4" w:space="0" w:color="auto"/>
              <w:bottom w:val="single" w:sz="4" w:space="0" w:color="auto"/>
              <w:right w:val="single" w:sz="4" w:space="0" w:color="auto"/>
            </w:tcBorders>
            <w:noWrap/>
            <w:vAlign w:val="center"/>
            <w:hideMark/>
          </w:tcPr>
          <w:p w14:paraId="1A84BF35"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y</w:t>
            </w:r>
          </w:p>
        </w:tc>
        <w:tc>
          <w:tcPr>
            <w:tcW w:w="808" w:type="dxa"/>
            <w:tcBorders>
              <w:top w:val="nil"/>
              <w:left w:val="single" w:sz="4" w:space="0" w:color="auto"/>
              <w:bottom w:val="single" w:sz="4" w:space="0" w:color="auto"/>
              <w:right w:val="single" w:sz="4" w:space="0" w:color="auto"/>
            </w:tcBorders>
            <w:noWrap/>
            <w:vAlign w:val="center"/>
            <w:hideMark/>
          </w:tcPr>
          <w:p w14:paraId="71A803FB"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z</w:t>
            </w:r>
          </w:p>
        </w:tc>
        <w:tc>
          <w:tcPr>
            <w:tcW w:w="974" w:type="dxa"/>
            <w:tcBorders>
              <w:top w:val="nil"/>
              <w:left w:val="single" w:sz="4" w:space="0" w:color="auto"/>
              <w:bottom w:val="single" w:sz="4" w:space="0" w:color="auto"/>
              <w:right w:val="single" w:sz="4" w:space="0" w:color="auto"/>
            </w:tcBorders>
            <w:noWrap/>
            <w:vAlign w:val="center"/>
            <w:hideMark/>
          </w:tcPr>
          <w:p w14:paraId="55ADA912"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x</w:t>
            </w:r>
          </w:p>
        </w:tc>
        <w:tc>
          <w:tcPr>
            <w:tcW w:w="790" w:type="dxa"/>
            <w:tcBorders>
              <w:top w:val="nil"/>
              <w:left w:val="single" w:sz="4" w:space="0" w:color="auto"/>
              <w:bottom w:val="single" w:sz="4" w:space="0" w:color="auto"/>
              <w:right w:val="single" w:sz="4" w:space="0" w:color="auto"/>
            </w:tcBorders>
            <w:noWrap/>
            <w:vAlign w:val="center"/>
            <w:hideMark/>
          </w:tcPr>
          <w:p w14:paraId="023BFF2B"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y</w:t>
            </w:r>
          </w:p>
        </w:tc>
        <w:tc>
          <w:tcPr>
            <w:tcW w:w="864" w:type="dxa"/>
            <w:tcBorders>
              <w:top w:val="nil"/>
              <w:left w:val="single" w:sz="4" w:space="0" w:color="auto"/>
              <w:bottom w:val="single" w:sz="4" w:space="0" w:color="auto"/>
              <w:right w:val="single" w:sz="4" w:space="0" w:color="auto"/>
            </w:tcBorders>
            <w:noWrap/>
            <w:vAlign w:val="center"/>
            <w:hideMark/>
          </w:tcPr>
          <w:p w14:paraId="52B8D01D"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z</w:t>
            </w:r>
          </w:p>
        </w:tc>
      </w:tr>
      <w:tr w:rsidR="00FA07BD" w:rsidRPr="00FA5AA8" w14:paraId="071BFCDE" w14:textId="77777777" w:rsidTr="00FA5AA8">
        <w:trPr>
          <w:trHeight w:val="324"/>
        </w:trPr>
        <w:tc>
          <w:tcPr>
            <w:tcW w:w="440" w:type="dxa"/>
            <w:vMerge w:val="restart"/>
            <w:tcBorders>
              <w:top w:val="single" w:sz="4" w:space="0" w:color="auto"/>
              <w:left w:val="single" w:sz="4" w:space="0" w:color="auto"/>
              <w:bottom w:val="single" w:sz="4" w:space="0" w:color="auto"/>
              <w:right w:val="single" w:sz="4" w:space="0" w:color="auto"/>
            </w:tcBorders>
            <w:noWrap/>
            <w:textDirection w:val="btLr"/>
            <w:vAlign w:val="center"/>
            <w:hideMark/>
          </w:tcPr>
          <w:p w14:paraId="13B976CF"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Group</w:t>
            </w:r>
          </w:p>
        </w:tc>
        <w:tc>
          <w:tcPr>
            <w:tcW w:w="1893" w:type="dxa"/>
            <w:vMerge w:val="restart"/>
            <w:tcBorders>
              <w:top w:val="single" w:sz="4" w:space="0" w:color="auto"/>
              <w:left w:val="nil"/>
              <w:bottom w:val="single" w:sz="4" w:space="0" w:color="auto"/>
              <w:right w:val="single" w:sz="4" w:space="0" w:color="auto"/>
            </w:tcBorders>
            <w:vAlign w:val="center"/>
            <w:hideMark/>
          </w:tcPr>
          <w:p w14:paraId="4D0FAA15" w14:textId="77777777" w:rsidR="00FA07BD" w:rsidRPr="00FA5AA8" w:rsidRDefault="00FA07BD" w:rsidP="00FA07BD">
            <w:pPr>
              <w:spacing w:after="0" w:line="240" w:lineRule="auto"/>
              <w:jc w:val="center"/>
              <w:rPr>
                <w:rFonts w:ascii="Arial" w:eastAsia="Times New Roman" w:hAnsi="Arial" w:cs="Arial"/>
                <w:b/>
                <w:bCs/>
                <w:i/>
                <w:iCs/>
                <w:color w:val="000000"/>
                <w:kern w:val="0"/>
                <w:lang w:val="it-IT" w:eastAsia="it-IT"/>
                <w14:ligatures w14:val="none"/>
              </w:rPr>
            </w:pPr>
            <w:r w:rsidRPr="00FA5AA8">
              <w:rPr>
                <w:rFonts w:ascii="Arial" w:eastAsia="Times New Roman" w:hAnsi="Arial" w:cs="Arial"/>
                <w:b/>
                <w:bCs/>
                <w:i/>
                <w:iCs/>
                <w:color w:val="000000"/>
                <w:kern w:val="0"/>
                <w:lang w:val="it-IT" w:eastAsia="it-IT"/>
                <w14:ligatures w14:val="none"/>
              </w:rPr>
              <w:t>ccPAS PMv-M1</w:t>
            </w:r>
          </w:p>
        </w:tc>
        <w:tc>
          <w:tcPr>
            <w:tcW w:w="879" w:type="dxa"/>
            <w:tcBorders>
              <w:top w:val="single" w:sz="4" w:space="0" w:color="auto"/>
              <w:left w:val="single" w:sz="4" w:space="0" w:color="auto"/>
              <w:bottom w:val="single" w:sz="4" w:space="0" w:color="auto"/>
              <w:right w:val="single" w:sz="4" w:space="0" w:color="auto"/>
            </w:tcBorders>
            <w:vAlign w:val="center"/>
            <w:hideMark/>
          </w:tcPr>
          <w:p w14:paraId="6CFCBB06"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Mean</w:t>
            </w:r>
          </w:p>
        </w:tc>
        <w:tc>
          <w:tcPr>
            <w:tcW w:w="910" w:type="dxa"/>
            <w:tcBorders>
              <w:top w:val="nil"/>
              <w:left w:val="single" w:sz="4" w:space="0" w:color="auto"/>
              <w:bottom w:val="single" w:sz="4" w:space="0" w:color="auto"/>
              <w:right w:val="single" w:sz="4" w:space="0" w:color="auto"/>
            </w:tcBorders>
            <w:noWrap/>
            <w:vAlign w:val="center"/>
            <w:hideMark/>
          </w:tcPr>
          <w:p w14:paraId="369FB563"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-30.29</w:t>
            </w:r>
          </w:p>
        </w:tc>
        <w:tc>
          <w:tcPr>
            <w:tcW w:w="910" w:type="dxa"/>
            <w:tcBorders>
              <w:top w:val="nil"/>
              <w:left w:val="single" w:sz="4" w:space="0" w:color="auto"/>
              <w:bottom w:val="single" w:sz="4" w:space="0" w:color="auto"/>
              <w:right w:val="single" w:sz="4" w:space="0" w:color="auto"/>
            </w:tcBorders>
            <w:noWrap/>
            <w:vAlign w:val="center"/>
            <w:hideMark/>
          </w:tcPr>
          <w:p w14:paraId="27FE797F"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-21.47</w:t>
            </w:r>
          </w:p>
        </w:tc>
        <w:tc>
          <w:tcPr>
            <w:tcW w:w="808" w:type="dxa"/>
            <w:tcBorders>
              <w:top w:val="nil"/>
              <w:left w:val="single" w:sz="4" w:space="0" w:color="auto"/>
              <w:bottom w:val="single" w:sz="4" w:space="0" w:color="auto"/>
              <w:right w:val="single" w:sz="4" w:space="0" w:color="auto"/>
            </w:tcBorders>
            <w:noWrap/>
            <w:vAlign w:val="center"/>
            <w:hideMark/>
          </w:tcPr>
          <w:p w14:paraId="6887D181"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60.34</w:t>
            </w:r>
          </w:p>
        </w:tc>
        <w:tc>
          <w:tcPr>
            <w:tcW w:w="974" w:type="dxa"/>
            <w:tcBorders>
              <w:top w:val="nil"/>
              <w:left w:val="single" w:sz="4" w:space="0" w:color="auto"/>
              <w:bottom w:val="single" w:sz="4" w:space="0" w:color="auto"/>
              <w:right w:val="single" w:sz="4" w:space="0" w:color="auto"/>
            </w:tcBorders>
            <w:noWrap/>
            <w:vAlign w:val="center"/>
            <w:hideMark/>
          </w:tcPr>
          <w:p w14:paraId="3D7D2FEF"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-54.59</w:t>
            </w:r>
          </w:p>
        </w:tc>
        <w:tc>
          <w:tcPr>
            <w:tcW w:w="790" w:type="dxa"/>
            <w:tcBorders>
              <w:top w:val="nil"/>
              <w:left w:val="single" w:sz="4" w:space="0" w:color="auto"/>
              <w:bottom w:val="single" w:sz="4" w:space="0" w:color="auto"/>
              <w:right w:val="single" w:sz="4" w:space="0" w:color="auto"/>
            </w:tcBorders>
            <w:noWrap/>
            <w:vAlign w:val="center"/>
            <w:hideMark/>
          </w:tcPr>
          <w:p w14:paraId="06A4B726"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9.54</w:t>
            </w:r>
          </w:p>
        </w:tc>
        <w:tc>
          <w:tcPr>
            <w:tcW w:w="864" w:type="dxa"/>
            <w:tcBorders>
              <w:top w:val="nil"/>
              <w:left w:val="single" w:sz="4" w:space="0" w:color="auto"/>
              <w:bottom w:val="single" w:sz="4" w:space="0" w:color="auto"/>
              <w:right w:val="single" w:sz="4" w:space="0" w:color="auto"/>
            </w:tcBorders>
            <w:noWrap/>
            <w:vAlign w:val="center"/>
            <w:hideMark/>
          </w:tcPr>
          <w:p w14:paraId="7812DFAE"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23.70</w:t>
            </w:r>
          </w:p>
        </w:tc>
      </w:tr>
      <w:tr w:rsidR="00FA07BD" w:rsidRPr="00FA5AA8" w14:paraId="03F78E10"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57C07E6E"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tcBorders>
              <w:top w:val="single" w:sz="4" w:space="0" w:color="auto"/>
              <w:left w:val="nil"/>
              <w:bottom w:val="single" w:sz="4" w:space="0" w:color="auto"/>
              <w:right w:val="single" w:sz="4" w:space="0" w:color="auto"/>
            </w:tcBorders>
            <w:vAlign w:val="center"/>
            <w:hideMark/>
          </w:tcPr>
          <w:p w14:paraId="0EBF1B21" w14:textId="77777777" w:rsidR="00FA07BD" w:rsidRPr="00FA5AA8" w:rsidRDefault="00FA07BD" w:rsidP="00FA07BD">
            <w:pPr>
              <w:spacing w:after="0" w:line="240" w:lineRule="auto"/>
              <w:rPr>
                <w:rFonts w:ascii="Arial" w:eastAsia="Times New Roman" w:hAnsi="Arial" w:cs="Arial"/>
                <w:b/>
                <w:bCs/>
                <w:i/>
                <w:iCs/>
                <w:color w:val="000000"/>
                <w:kern w:val="0"/>
                <w:lang w:val="it-IT" w:eastAsia="it-IT"/>
                <w14:ligatures w14:val="none"/>
              </w:rPr>
            </w:pPr>
          </w:p>
        </w:tc>
        <w:tc>
          <w:tcPr>
            <w:tcW w:w="879" w:type="dxa"/>
            <w:tcBorders>
              <w:top w:val="single" w:sz="4" w:space="0" w:color="auto"/>
              <w:left w:val="single" w:sz="4" w:space="0" w:color="auto"/>
              <w:bottom w:val="single" w:sz="4" w:space="0" w:color="auto"/>
              <w:right w:val="single" w:sz="4" w:space="0" w:color="auto"/>
            </w:tcBorders>
            <w:vAlign w:val="center"/>
            <w:hideMark/>
          </w:tcPr>
          <w:p w14:paraId="54807A4F" w14:textId="77777777" w:rsidR="00FA07BD" w:rsidRPr="00FA5AA8" w:rsidRDefault="00FA07BD" w:rsidP="00FA07BD">
            <w:pPr>
              <w:spacing w:after="0" w:line="240" w:lineRule="auto"/>
              <w:jc w:val="center"/>
              <w:rPr>
                <w:rFonts w:ascii="Arial" w:eastAsia="Times New Roman" w:hAnsi="Arial" w:cs="Arial"/>
                <w:i/>
                <w:iCs/>
                <w:color w:val="000000"/>
                <w:kern w:val="0"/>
                <w:lang w:val="it-IT" w:eastAsia="it-IT"/>
                <w14:ligatures w14:val="none"/>
              </w:rPr>
            </w:pPr>
            <w:r w:rsidRPr="00FA5AA8">
              <w:rPr>
                <w:rFonts w:ascii="Arial" w:eastAsia="Times New Roman" w:hAnsi="Arial" w:cs="Arial"/>
                <w:i/>
                <w:iCs/>
                <w:color w:val="000000"/>
                <w:kern w:val="0"/>
                <w:lang w:val="it-IT" w:eastAsia="it-IT"/>
                <w14:ligatures w14:val="none"/>
              </w:rPr>
              <w:t>SD</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5FE100D0"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6.65</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55E91CC7"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5.91</w:t>
            </w:r>
          </w:p>
        </w:tc>
        <w:tc>
          <w:tcPr>
            <w:tcW w:w="808" w:type="dxa"/>
            <w:tcBorders>
              <w:top w:val="single" w:sz="4" w:space="0" w:color="auto"/>
              <w:left w:val="single" w:sz="4" w:space="0" w:color="auto"/>
              <w:bottom w:val="single" w:sz="4" w:space="0" w:color="auto"/>
              <w:right w:val="single" w:sz="4" w:space="0" w:color="auto"/>
            </w:tcBorders>
            <w:noWrap/>
            <w:vAlign w:val="center"/>
            <w:hideMark/>
          </w:tcPr>
          <w:p w14:paraId="6B01E9BD"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3.28</w:t>
            </w:r>
          </w:p>
        </w:tc>
        <w:tc>
          <w:tcPr>
            <w:tcW w:w="974" w:type="dxa"/>
            <w:tcBorders>
              <w:top w:val="single" w:sz="4" w:space="0" w:color="auto"/>
              <w:left w:val="single" w:sz="4" w:space="0" w:color="auto"/>
              <w:bottom w:val="single" w:sz="4" w:space="0" w:color="auto"/>
              <w:right w:val="single" w:sz="4" w:space="0" w:color="auto"/>
            </w:tcBorders>
            <w:noWrap/>
            <w:vAlign w:val="center"/>
            <w:hideMark/>
          </w:tcPr>
          <w:p w14:paraId="4370E3A2"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1.48</w:t>
            </w:r>
          </w:p>
        </w:tc>
        <w:tc>
          <w:tcPr>
            <w:tcW w:w="790" w:type="dxa"/>
            <w:tcBorders>
              <w:top w:val="single" w:sz="4" w:space="0" w:color="auto"/>
              <w:left w:val="single" w:sz="4" w:space="0" w:color="auto"/>
              <w:bottom w:val="single" w:sz="4" w:space="0" w:color="auto"/>
              <w:right w:val="single" w:sz="4" w:space="0" w:color="auto"/>
            </w:tcBorders>
            <w:noWrap/>
            <w:vAlign w:val="center"/>
            <w:hideMark/>
          </w:tcPr>
          <w:p w14:paraId="5CD98DF3"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0.72</w:t>
            </w:r>
          </w:p>
        </w:tc>
        <w:tc>
          <w:tcPr>
            <w:tcW w:w="864" w:type="dxa"/>
            <w:tcBorders>
              <w:top w:val="single" w:sz="4" w:space="0" w:color="auto"/>
              <w:left w:val="single" w:sz="4" w:space="0" w:color="auto"/>
              <w:bottom w:val="single" w:sz="4" w:space="0" w:color="auto"/>
              <w:right w:val="single" w:sz="4" w:space="0" w:color="auto"/>
            </w:tcBorders>
            <w:noWrap/>
            <w:vAlign w:val="center"/>
            <w:hideMark/>
          </w:tcPr>
          <w:p w14:paraId="212783CA"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1.63</w:t>
            </w:r>
          </w:p>
        </w:tc>
      </w:tr>
      <w:tr w:rsidR="00FA07BD" w:rsidRPr="00FA5AA8" w14:paraId="4F32C3F1"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4B11BFB2"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val="restart"/>
            <w:tcBorders>
              <w:top w:val="single" w:sz="4" w:space="0" w:color="auto"/>
              <w:left w:val="nil"/>
              <w:bottom w:val="single" w:sz="4" w:space="0" w:color="auto"/>
              <w:right w:val="single" w:sz="4" w:space="0" w:color="auto"/>
            </w:tcBorders>
            <w:vAlign w:val="center"/>
            <w:hideMark/>
          </w:tcPr>
          <w:p w14:paraId="02F3FF3D" w14:textId="77777777" w:rsidR="00FA07BD" w:rsidRPr="00FA5AA8" w:rsidRDefault="00FA07BD" w:rsidP="00FA07BD">
            <w:pPr>
              <w:spacing w:after="0" w:line="240" w:lineRule="auto"/>
              <w:jc w:val="center"/>
              <w:rPr>
                <w:rFonts w:ascii="Arial" w:eastAsia="Times New Roman" w:hAnsi="Arial" w:cs="Arial"/>
                <w:b/>
                <w:bCs/>
                <w:i/>
                <w:iCs/>
                <w:color w:val="000000"/>
                <w:kern w:val="0"/>
                <w:lang w:val="it-IT" w:eastAsia="it-IT"/>
                <w14:ligatures w14:val="none"/>
              </w:rPr>
            </w:pPr>
            <w:r w:rsidRPr="00FA5AA8">
              <w:rPr>
                <w:rFonts w:ascii="Arial" w:eastAsia="Times New Roman" w:hAnsi="Arial" w:cs="Arial"/>
                <w:b/>
                <w:bCs/>
                <w:i/>
                <w:iCs/>
                <w:color w:val="000000"/>
                <w:kern w:val="0"/>
                <w:lang w:val="it-IT" w:eastAsia="it-IT"/>
                <w14:ligatures w14:val="none"/>
              </w:rPr>
              <w:t>ccPAS M1-PMv</w:t>
            </w:r>
          </w:p>
        </w:tc>
        <w:tc>
          <w:tcPr>
            <w:tcW w:w="879" w:type="dxa"/>
            <w:tcBorders>
              <w:top w:val="single" w:sz="4" w:space="0" w:color="auto"/>
              <w:left w:val="single" w:sz="4" w:space="0" w:color="auto"/>
              <w:bottom w:val="single" w:sz="4" w:space="0" w:color="auto"/>
              <w:right w:val="single" w:sz="4" w:space="0" w:color="auto"/>
            </w:tcBorders>
            <w:vAlign w:val="center"/>
            <w:hideMark/>
          </w:tcPr>
          <w:p w14:paraId="65936607"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Mean</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62BE1474"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-28.49</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312384ED"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-18.48</w:t>
            </w:r>
          </w:p>
        </w:tc>
        <w:tc>
          <w:tcPr>
            <w:tcW w:w="808" w:type="dxa"/>
            <w:tcBorders>
              <w:top w:val="single" w:sz="4" w:space="0" w:color="auto"/>
              <w:left w:val="single" w:sz="4" w:space="0" w:color="auto"/>
              <w:bottom w:val="single" w:sz="4" w:space="0" w:color="auto"/>
              <w:right w:val="single" w:sz="4" w:space="0" w:color="auto"/>
            </w:tcBorders>
            <w:noWrap/>
            <w:vAlign w:val="center"/>
            <w:hideMark/>
          </w:tcPr>
          <w:p w14:paraId="3AAF4952"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60.92</w:t>
            </w:r>
          </w:p>
        </w:tc>
        <w:tc>
          <w:tcPr>
            <w:tcW w:w="974" w:type="dxa"/>
            <w:tcBorders>
              <w:top w:val="single" w:sz="4" w:space="0" w:color="auto"/>
              <w:left w:val="single" w:sz="4" w:space="0" w:color="auto"/>
              <w:bottom w:val="single" w:sz="4" w:space="0" w:color="auto"/>
              <w:right w:val="single" w:sz="4" w:space="0" w:color="auto"/>
            </w:tcBorders>
            <w:noWrap/>
            <w:vAlign w:val="center"/>
            <w:hideMark/>
          </w:tcPr>
          <w:p w14:paraId="719CA4BB"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-54.04</w:t>
            </w:r>
          </w:p>
        </w:tc>
        <w:tc>
          <w:tcPr>
            <w:tcW w:w="790" w:type="dxa"/>
            <w:tcBorders>
              <w:top w:val="single" w:sz="4" w:space="0" w:color="auto"/>
              <w:left w:val="single" w:sz="4" w:space="0" w:color="auto"/>
              <w:bottom w:val="single" w:sz="4" w:space="0" w:color="auto"/>
              <w:right w:val="single" w:sz="4" w:space="0" w:color="auto"/>
            </w:tcBorders>
            <w:noWrap/>
            <w:vAlign w:val="center"/>
            <w:hideMark/>
          </w:tcPr>
          <w:p w14:paraId="216880E3"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9.90</w:t>
            </w:r>
          </w:p>
        </w:tc>
        <w:tc>
          <w:tcPr>
            <w:tcW w:w="864" w:type="dxa"/>
            <w:tcBorders>
              <w:top w:val="single" w:sz="4" w:space="0" w:color="auto"/>
              <w:left w:val="single" w:sz="4" w:space="0" w:color="auto"/>
              <w:bottom w:val="single" w:sz="4" w:space="0" w:color="auto"/>
              <w:right w:val="single" w:sz="4" w:space="0" w:color="auto"/>
            </w:tcBorders>
            <w:noWrap/>
            <w:vAlign w:val="center"/>
            <w:hideMark/>
          </w:tcPr>
          <w:p w14:paraId="41254E1F"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24.52</w:t>
            </w:r>
          </w:p>
        </w:tc>
      </w:tr>
      <w:tr w:rsidR="00FA07BD" w:rsidRPr="00FA5AA8" w14:paraId="18280861"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6993D5BB"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tcBorders>
              <w:top w:val="single" w:sz="4" w:space="0" w:color="auto"/>
              <w:left w:val="nil"/>
              <w:bottom w:val="single" w:sz="4" w:space="0" w:color="auto"/>
              <w:right w:val="single" w:sz="4" w:space="0" w:color="auto"/>
            </w:tcBorders>
            <w:vAlign w:val="center"/>
            <w:hideMark/>
          </w:tcPr>
          <w:p w14:paraId="677B5753" w14:textId="77777777" w:rsidR="00FA07BD" w:rsidRPr="00FA5AA8" w:rsidRDefault="00FA07BD" w:rsidP="00FA07BD">
            <w:pPr>
              <w:spacing w:after="0" w:line="240" w:lineRule="auto"/>
              <w:rPr>
                <w:rFonts w:ascii="Arial" w:eastAsia="Times New Roman" w:hAnsi="Arial" w:cs="Arial"/>
                <w:b/>
                <w:bCs/>
                <w:i/>
                <w:iCs/>
                <w:color w:val="000000"/>
                <w:kern w:val="0"/>
                <w:lang w:val="it-IT" w:eastAsia="it-IT"/>
                <w14:ligatures w14:val="none"/>
              </w:rPr>
            </w:pPr>
          </w:p>
        </w:tc>
        <w:tc>
          <w:tcPr>
            <w:tcW w:w="879" w:type="dxa"/>
            <w:tcBorders>
              <w:top w:val="single" w:sz="4" w:space="0" w:color="auto"/>
              <w:left w:val="single" w:sz="4" w:space="0" w:color="auto"/>
              <w:bottom w:val="single" w:sz="4" w:space="0" w:color="auto"/>
              <w:right w:val="single" w:sz="4" w:space="0" w:color="auto"/>
            </w:tcBorders>
            <w:vAlign w:val="center"/>
            <w:hideMark/>
          </w:tcPr>
          <w:p w14:paraId="01D1F6AE" w14:textId="77777777" w:rsidR="00FA07BD" w:rsidRPr="00FA5AA8" w:rsidRDefault="00FA07BD" w:rsidP="00FA07BD">
            <w:pPr>
              <w:spacing w:after="0" w:line="240" w:lineRule="auto"/>
              <w:jc w:val="center"/>
              <w:rPr>
                <w:rFonts w:ascii="Arial" w:eastAsia="Times New Roman" w:hAnsi="Arial" w:cs="Arial"/>
                <w:i/>
                <w:iCs/>
                <w:color w:val="000000"/>
                <w:kern w:val="0"/>
                <w:lang w:val="it-IT" w:eastAsia="it-IT"/>
                <w14:ligatures w14:val="none"/>
              </w:rPr>
            </w:pPr>
            <w:r w:rsidRPr="00FA5AA8">
              <w:rPr>
                <w:rFonts w:ascii="Arial" w:eastAsia="Times New Roman" w:hAnsi="Arial" w:cs="Arial"/>
                <w:i/>
                <w:iCs/>
                <w:color w:val="000000"/>
                <w:kern w:val="0"/>
                <w:lang w:val="it-IT" w:eastAsia="it-IT"/>
                <w14:ligatures w14:val="none"/>
              </w:rPr>
              <w:t>SD</w:t>
            </w:r>
          </w:p>
        </w:tc>
        <w:tc>
          <w:tcPr>
            <w:tcW w:w="910" w:type="dxa"/>
            <w:tcBorders>
              <w:top w:val="single" w:sz="4" w:space="0" w:color="auto"/>
              <w:left w:val="single" w:sz="4" w:space="0" w:color="auto"/>
              <w:bottom w:val="nil"/>
              <w:right w:val="single" w:sz="4" w:space="0" w:color="auto"/>
            </w:tcBorders>
            <w:noWrap/>
            <w:vAlign w:val="center"/>
            <w:hideMark/>
          </w:tcPr>
          <w:p w14:paraId="6EF1176C"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4.84</w:t>
            </w:r>
          </w:p>
        </w:tc>
        <w:tc>
          <w:tcPr>
            <w:tcW w:w="910" w:type="dxa"/>
            <w:tcBorders>
              <w:top w:val="single" w:sz="4" w:space="0" w:color="auto"/>
              <w:left w:val="single" w:sz="4" w:space="0" w:color="auto"/>
              <w:bottom w:val="nil"/>
              <w:right w:val="single" w:sz="4" w:space="0" w:color="auto"/>
            </w:tcBorders>
            <w:noWrap/>
            <w:vAlign w:val="center"/>
            <w:hideMark/>
          </w:tcPr>
          <w:p w14:paraId="321C7C81"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6.01</w:t>
            </w:r>
          </w:p>
        </w:tc>
        <w:tc>
          <w:tcPr>
            <w:tcW w:w="808" w:type="dxa"/>
            <w:tcBorders>
              <w:top w:val="single" w:sz="4" w:space="0" w:color="auto"/>
              <w:left w:val="single" w:sz="4" w:space="0" w:color="auto"/>
              <w:bottom w:val="nil"/>
              <w:right w:val="single" w:sz="4" w:space="0" w:color="auto"/>
            </w:tcBorders>
            <w:noWrap/>
            <w:vAlign w:val="center"/>
            <w:hideMark/>
          </w:tcPr>
          <w:p w14:paraId="09E12B6C"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4.48</w:t>
            </w:r>
          </w:p>
        </w:tc>
        <w:tc>
          <w:tcPr>
            <w:tcW w:w="974" w:type="dxa"/>
            <w:tcBorders>
              <w:top w:val="single" w:sz="4" w:space="0" w:color="auto"/>
              <w:left w:val="single" w:sz="4" w:space="0" w:color="auto"/>
              <w:bottom w:val="nil"/>
              <w:right w:val="single" w:sz="4" w:space="0" w:color="auto"/>
            </w:tcBorders>
            <w:noWrap/>
            <w:vAlign w:val="center"/>
            <w:hideMark/>
          </w:tcPr>
          <w:p w14:paraId="1E4B7773"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1.19</w:t>
            </w:r>
          </w:p>
        </w:tc>
        <w:tc>
          <w:tcPr>
            <w:tcW w:w="790" w:type="dxa"/>
            <w:tcBorders>
              <w:top w:val="single" w:sz="4" w:space="0" w:color="auto"/>
              <w:left w:val="single" w:sz="4" w:space="0" w:color="auto"/>
              <w:bottom w:val="nil"/>
              <w:right w:val="single" w:sz="4" w:space="0" w:color="auto"/>
            </w:tcBorders>
            <w:noWrap/>
            <w:vAlign w:val="center"/>
            <w:hideMark/>
          </w:tcPr>
          <w:p w14:paraId="50322682"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1.05</w:t>
            </w:r>
          </w:p>
        </w:tc>
        <w:tc>
          <w:tcPr>
            <w:tcW w:w="864" w:type="dxa"/>
            <w:tcBorders>
              <w:top w:val="single" w:sz="4" w:space="0" w:color="auto"/>
              <w:left w:val="single" w:sz="4" w:space="0" w:color="auto"/>
              <w:bottom w:val="nil"/>
              <w:right w:val="single" w:sz="4" w:space="0" w:color="auto"/>
            </w:tcBorders>
            <w:noWrap/>
            <w:vAlign w:val="center"/>
            <w:hideMark/>
          </w:tcPr>
          <w:p w14:paraId="2EFC17C1"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1.10</w:t>
            </w:r>
          </w:p>
        </w:tc>
      </w:tr>
      <w:tr w:rsidR="00FA07BD" w:rsidRPr="00FA5AA8" w14:paraId="7EB24D8F"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52D62CBB"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tcBorders>
              <w:top w:val="nil"/>
              <w:left w:val="nil"/>
              <w:bottom w:val="nil"/>
              <w:right w:val="nil"/>
            </w:tcBorders>
            <w:noWrap/>
            <w:vAlign w:val="center"/>
            <w:hideMark/>
          </w:tcPr>
          <w:p w14:paraId="7D7EE450" w14:textId="77777777" w:rsidR="00FA07BD" w:rsidRPr="00FA5AA8" w:rsidRDefault="00FA07BD" w:rsidP="00FA07BD">
            <w:pPr>
              <w:spacing w:after="0" w:line="240" w:lineRule="auto"/>
              <w:jc w:val="center"/>
              <w:rPr>
                <w:rFonts w:ascii="Arial" w:eastAsia="Times New Roman" w:hAnsi="Arial" w:cs="Arial"/>
                <w:i/>
                <w:iCs/>
                <w:color w:val="000000"/>
                <w:kern w:val="0"/>
                <w:lang w:val="it-IT" w:eastAsia="it-IT"/>
                <w14:ligatures w14:val="none"/>
              </w:rPr>
            </w:pPr>
          </w:p>
        </w:tc>
        <w:tc>
          <w:tcPr>
            <w:tcW w:w="879" w:type="dxa"/>
            <w:tcBorders>
              <w:top w:val="nil"/>
              <w:left w:val="nil"/>
              <w:bottom w:val="nil"/>
              <w:right w:val="nil"/>
            </w:tcBorders>
            <w:noWrap/>
            <w:vAlign w:val="center"/>
            <w:hideMark/>
          </w:tcPr>
          <w:p w14:paraId="0809BDDD" w14:textId="77777777" w:rsidR="00FA07BD" w:rsidRPr="00FA5AA8" w:rsidRDefault="00FA07BD" w:rsidP="00FA07BD">
            <w:pPr>
              <w:spacing w:after="0" w:line="240" w:lineRule="auto"/>
              <w:jc w:val="center"/>
              <w:rPr>
                <w:rFonts w:ascii="Arial" w:eastAsia="Times New Roman" w:hAnsi="Arial" w:cs="Arial"/>
                <w:kern w:val="0"/>
                <w:lang w:val="it-IT" w:eastAsia="it-IT"/>
                <w14:ligatures w14:val="none"/>
              </w:rPr>
            </w:pPr>
          </w:p>
        </w:tc>
        <w:tc>
          <w:tcPr>
            <w:tcW w:w="2628" w:type="dxa"/>
            <w:gridSpan w:val="3"/>
            <w:tcBorders>
              <w:top w:val="single" w:sz="8" w:space="0" w:color="auto"/>
              <w:left w:val="single" w:sz="8" w:space="0" w:color="auto"/>
              <w:bottom w:val="single" w:sz="8" w:space="0" w:color="auto"/>
              <w:right w:val="nil"/>
            </w:tcBorders>
            <w:shd w:val="clear" w:color="000000" w:fill="D9E1F2"/>
            <w:noWrap/>
            <w:vAlign w:val="center"/>
            <w:hideMark/>
          </w:tcPr>
          <w:p w14:paraId="78C570DE"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M1</w:t>
            </w:r>
          </w:p>
        </w:tc>
        <w:tc>
          <w:tcPr>
            <w:tcW w:w="2629" w:type="dxa"/>
            <w:gridSpan w:val="3"/>
            <w:tcBorders>
              <w:top w:val="single" w:sz="8" w:space="0" w:color="auto"/>
              <w:left w:val="single" w:sz="8" w:space="0" w:color="auto"/>
              <w:bottom w:val="single" w:sz="8" w:space="0" w:color="auto"/>
              <w:right w:val="nil"/>
            </w:tcBorders>
            <w:shd w:val="clear" w:color="000000" w:fill="D9E1F2"/>
            <w:noWrap/>
            <w:vAlign w:val="center"/>
            <w:hideMark/>
          </w:tcPr>
          <w:p w14:paraId="4987ED95"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SMA</w:t>
            </w:r>
          </w:p>
        </w:tc>
      </w:tr>
      <w:tr w:rsidR="00FA07BD" w:rsidRPr="00FA5AA8" w14:paraId="22C032B2"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19565E63"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tcBorders>
              <w:top w:val="nil"/>
              <w:left w:val="nil"/>
              <w:bottom w:val="nil"/>
              <w:right w:val="nil"/>
            </w:tcBorders>
            <w:noWrap/>
            <w:vAlign w:val="center"/>
            <w:hideMark/>
          </w:tcPr>
          <w:p w14:paraId="216FC41F"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p>
        </w:tc>
        <w:tc>
          <w:tcPr>
            <w:tcW w:w="879" w:type="dxa"/>
            <w:tcBorders>
              <w:top w:val="nil"/>
              <w:left w:val="nil"/>
              <w:bottom w:val="nil"/>
              <w:right w:val="nil"/>
            </w:tcBorders>
            <w:noWrap/>
            <w:vAlign w:val="center"/>
            <w:hideMark/>
          </w:tcPr>
          <w:p w14:paraId="57C3B007" w14:textId="77777777" w:rsidR="00FA07BD" w:rsidRPr="00FA5AA8" w:rsidRDefault="00FA07BD" w:rsidP="00FA07BD">
            <w:pPr>
              <w:spacing w:after="0" w:line="240" w:lineRule="auto"/>
              <w:jc w:val="center"/>
              <w:rPr>
                <w:rFonts w:ascii="Arial" w:eastAsia="Times New Roman" w:hAnsi="Arial" w:cs="Arial"/>
                <w:kern w:val="0"/>
                <w:lang w:val="it-IT" w:eastAsia="it-IT"/>
                <w14:ligatures w14:val="none"/>
              </w:rPr>
            </w:pPr>
          </w:p>
        </w:tc>
        <w:tc>
          <w:tcPr>
            <w:tcW w:w="910" w:type="dxa"/>
            <w:tcBorders>
              <w:top w:val="nil"/>
              <w:left w:val="single" w:sz="4" w:space="0" w:color="auto"/>
              <w:bottom w:val="single" w:sz="4" w:space="0" w:color="auto"/>
              <w:right w:val="single" w:sz="4" w:space="0" w:color="auto"/>
            </w:tcBorders>
            <w:noWrap/>
            <w:vAlign w:val="center"/>
            <w:hideMark/>
          </w:tcPr>
          <w:p w14:paraId="0944E36C"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x</w:t>
            </w:r>
          </w:p>
        </w:tc>
        <w:tc>
          <w:tcPr>
            <w:tcW w:w="910" w:type="dxa"/>
            <w:tcBorders>
              <w:top w:val="nil"/>
              <w:left w:val="single" w:sz="4" w:space="0" w:color="auto"/>
              <w:bottom w:val="single" w:sz="4" w:space="0" w:color="auto"/>
              <w:right w:val="single" w:sz="4" w:space="0" w:color="auto"/>
            </w:tcBorders>
            <w:noWrap/>
            <w:vAlign w:val="center"/>
            <w:hideMark/>
          </w:tcPr>
          <w:p w14:paraId="32D568C6"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y</w:t>
            </w:r>
          </w:p>
        </w:tc>
        <w:tc>
          <w:tcPr>
            <w:tcW w:w="808" w:type="dxa"/>
            <w:tcBorders>
              <w:top w:val="nil"/>
              <w:left w:val="single" w:sz="4" w:space="0" w:color="auto"/>
              <w:bottom w:val="single" w:sz="4" w:space="0" w:color="auto"/>
              <w:right w:val="single" w:sz="4" w:space="0" w:color="auto"/>
            </w:tcBorders>
            <w:noWrap/>
            <w:vAlign w:val="center"/>
            <w:hideMark/>
          </w:tcPr>
          <w:p w14:paraId="402132CB"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z</w:t>
            </w:r>
          </w:p>
        </w:tc>
        <w:tc>
          <w:tcPr>
            <w:tcW w:w="974" w:type="dxa"/>
            <w:tcBorders>
              <w:top w:val="nil"/>
              <w:left w:val="single" w:sz="4" w:space="0" w:color="auto"/>
              <w:bottom w:val="single" w:sz="4" w:space="0" w:color="auto"/>
              <w:right w:val="single" w:sz="4" w:space="0" w:color="auto"/>
            </w:tcBorders>
            <w:noWrap/>
            <w:vAlign w:val="center"/>
            <w:hideMark/>
          </w:tcPr>
          <w:p w14:paraId="54A67ECB"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x</w:t>
            </w:r>
          </w:p>
        </w:tc>
        <w:tc>
          <w:tcPr>
            <w:tcW w:w="790" w:type="dxa"/>
            <w:tcBorders>
              <w:top w:val="nil"/>
              <w:left w:val="single" w:sz="4" w:space="0" w:color="auto"/>
              <w:bottom w:val="single" w:sz="4" w:space="0" w:color="auto"/>
              <w:right w:val="single" w:sz="4" w:space="0" w:color="auto"/>
            </w:tcBorders>
            <w:noWrap/>
            <w:vAlign w:val="center"/>
            <w:hideMark/>
          </w:tcPr>
          <w:p w14:paraId="125B24EA"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y</w:t>
            </w:r>
          </w:p>
        </w:tc>
        <w:tc>
          <w:tcPr>
            <w:tcW w:w="864" w:type="dxa"/>
            <w:tcBorders>
              <w:top w:val="nil"/>
              <w:left w:val="single" w:sz="4" w:space="0" w:color="auto"/>
              <w:bottom w:val="single" w:sz="4" w:space="0" w:color="auto"/>
              <w:right w:val="single" w:sz="4" w:space="0" w:color="auto"/>
            </w:tcBorders>
            <w:noWrap/>
            <w:vAlign w:val="center"/>
            <w:hideMark/>
          </w:tcPr>
          <w:p w14:paraId="4DA3DF74" w14:textId="77777777" w:rsidR="00FA07BD" w:rsidRPr="00FA5AA8" w:rsidRDefault="00FA07BD" w:rsidP="00FA07BD">
            <w:pPr>
              <w:spacing w:after="0" w:line="240" w:lineRule="auto"/>
              <w:jc w:val="center"/>
              <w:rPr>
                <w:rFonts w:ascii="Arial" w:eastAsia="Times New Roman" w:hAnsi="Arial" w:cs="Arial"/>
                <w:b/>
                <w:bCs/>
                <w:color w:val="000000"/>
                <w:kern w:val="0"/>
                <w:lang w:val="it-IT" w:eastAsia="it-IT"/>
                <w14:ligatures w14:val="none"/>
              </w:rPr>
            </w:pPr>
            <w:r w:rsidRPr="00FA5AA8">
              <w:rPr>
                <w:rFonts w:ascii="Arial" w:eastAsia="Times New Roman" w:hAnsi="Arial" w:cs="Arial"/>
                <w:b/>
                <w:bCs/>
                <w:color w:val="000000"/>
                <w:kern w:val="0"/>
                <w:lang w:val="it-IT" w:eastAsia="it-IT"/>
                <w14:ligatures w14:val="none"/>
              </w:rPr>
              <w:t>z</w:t>
            </w:r>
          </w:p>
        </w:tc>
      </w:tr>
      <w:tr w:rsidR="00FA07BD" w:rsidRPr="00FA5AA8" w14:paraId="5BAA0A84"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42658A11"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val="restart"/>
            <w:tcBorders>
              <w:top w:val="single" w:sz="4" w:space="0" w:color="auto"/>
              <w:left w:val="nil"/>
              <w:bottom w:val="single" w:sz="4" w:space="0" w:color="auto"/>
              <w:right w:val="single" w:sz="4" w:space="0" w:color="auto"/>
            </w:tcBorders>
            <w:vAlign w:val="center"/>
            <w:hideMark/>
          </w:tcPr>
          <w:p w14:paraId="4C6E78E1" w14:textId="77777777" w:rsidR="00FA07BD" w:rsidRPr="00FA5AA8" w:rsidRDefault="00FA07BD" w:rsidP="00FA07BD">
            <w:pPr>
              <w:spacing w:after="0" w:line="240" w:lineRule="auto"/>
              <w:jc w:val="center"/>
              <w:rPr>
                <w:rFonts w:ascii="Arial" w:eastAsia="Times New Roman" w:hAnsi="Arial" w:cs="Arial"/>
                <w:b/>
                <w:bCs/>
                <w:i/>
                <w:iCs/>
                <w:color w:val="000000"/>
                <w:kern w:val="0"/>
                <w:lang w:val="it-IT" w:eastAsia="it-IT"/>
                <w14:ligatures w14:val="none"/>
              </w:rPr>
            </w:pPr>
            <w:r w:rsidRPr="00FA5AA8">
              <w:rPr>
                <w:rFonts w:ascii="Arial" w:eastAsia="Times New Roman" w:hAnsi="Arial" w:cs="Arial"/>
                <w:b/>
                <w:bCs/>
                <w:i/>
                <w:iCs/>
                <w:color w:val="000000"/>
                <w:kern w:val="0"/>
                <w:lang w:val="it-IT" w:eastAsia="it-IT"/>
                <w14:ligatures w14:val="none"/>
              </w:rPr>
              <w:t>ccPAS SMA-M1</w:t>
            </w:r>
          </w:p>
        </w:tc>
        <w:tc>
          <w:tcPr>
            <w:tcW w:w="879" w:type="dxa"/>
            <w:tcBorders>
              <w:top w:val="single" w:sz="4" w:space="0" w:color="auto"/>
              <w:left w:val="single" w:sz="4" w:space="0" w:color="auto"/>
              <w:bottom w:val="single" w:sz="4" w:space="0" w:color="auto"/>
              <w:right w:val="single" w:sz="4" w:space="0" w:color="auto"/>
            </w:tcBorders>
            <w:vAlign w:val="center"/>
            <w:hideMark/>
          </w:tcPr>
          <w:p w14:paraId="45202D40"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Mean</w:t>
            </w:r>
          </w:p>
        </w:tc>
        <w:tc>
          <w:tcPr>
            <w:tcW w:w="910" w:type="dxa"/>
            <w:tcBorders>
              <w:top w:val="nil"/>
              <w:left w:val="single" w:sz="4" w:space="0" w:color="auto"/>
              <w:bottom w:val="single" w:sz="4" w:space="0" w:color="auto"/>
              <w:right w:val="single" w:sz="4" w:space="0" w:color="auto"/>
            </w:tcBorders>
            <w:noWrap/>
            <w:vAlign w:val="center"/>
            <w:hideMark/>
          </w:tcPr>
          <w:p w14:paraId="7E74BE19"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-32.97</w:t>
            </w:r>
          </w:p>
        </w:tc>
        <w:tc>
          <w:tcPr>
            <w:tcW w:w="910" w:type="dxa"/>
            <w:tcBorders>
              <w:top w:val="nil"/>
              <w:left w:val="single" w:sz="4" w:space="0" w:color="auto"/>
              <w:bottom w:val="single" w:sz="4" w:space="0" w:color="auto"/>
              <w:right w:val="single" w:sz="4" w:space="0" w:color="auto"/>
            </w:tcBorders>
            <w:noWrap/>
            <w:vAlign w:val="center"/>
            <w:hideMark/>
          </w:tcPr>
          <w:p w14:paraId="5FADBAB8"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-20.57</w:t>
            </w:r>
          </w:p>
        </w:tc>
        <w:tc>
          <w:tcPr>
            <w:tcW w:w="808" w:type="dxa"/>
            <w:tcBorders>
              <w:top w:val="nil"/>
              <w:left w:val="single" w:sz="4" w:space="0" w:color="auto"/>
              <w:bottom w:val="single" w:sz="4" w:space="0" w:color="auto"/>
              <w:right w:val="single" w:sz="4" w:space="0" w:color="auto"/>
            </w:tcBorders>
            <w:noWrap/>
            <w:vAlign w:val="center"/>
            <w:hideMark/>
          </w:tcPr>
          <w:p w14:paraId="26E10594"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59.87</w:t>
            </w:r>
          </w:p>
        </w:tc>
        <w:tc>
          <w:tcPr>
            <w:tcW w:w="974" w:type="dxa"/>
            <w:tcBorders>
              <w:top w:val="nil"/>
              <w:left w:val="single" w:sz="4" w:space="0" w:color="auto"/>
              <w:bottom w:val="single" w:sz="4" w:space="0" w:color="auto"/>
              <w:right w:val="single" w:sz="4" w:space="0" w:color="auto"/>
            </w:tcBorders>
            <w:noWrap/>
            <w:vAlign w:val="center"/>
            <w:hideMark/>
          </w:tcPr>
          <w:p w14:paraId="219FC55A"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-2.97</w:t>
            </w:r>
          </w:p>
        </w:tc>
        <w:tc>
          <w:tcPr>
            <w:tcW w:w="790" w:type="dxa"/>
            <w:tcBorders>
              <w:top w:val="nil"/>
              <w:left w:val="single" w:sz="4" w:space="0" w:color="auto"/>
              <w:bottom w:val="single" w:sz="4" w:space="0" w:color="auto"/>
              <w:right w:val="single" w:sz="4" w:space="0" w:color="auto"/>
            </w:tcBorders>
            <w:noWrap/>
            <w:vAlign w:val="center"/>
            <w:hideMark/>
          </w:tcPr>
          <w:p w14:paraId="0962C539"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-7.04</w:t>
            </w:r>
          </w:p>
        </w:tc>
        <w:tc>
          <w:tcPr>
            <w:tcW w:w="864" w:type="dxa"/>
            <w:tcBorders>
              <w:top w:val="nil"/>
              <w:left w:val="single" w:sz="4" w:space="0" w:color="auto"/>
              <w:bottom w:val="single" w:sz="4" w:space="0" w:color="auto"/>
              <w:right w:val="single" w:sz="4" w:space="0" w:color="auto"/>
            </w:tcBorders>
            <w:noWrap/>
            <w:vAlign w:val="center"/>
            <w:hideMark/>
          </w:tcPr>
          <w:p w14:paraId="2D34BFAD"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62.68</w:t>
            </w:r>
          </w:p>
        </w:tc>
      </w:tr>
      <w:tr w:rsidR="00FA07BD" w:rsidRPr="00FA5AA8" w14:paraId="5812B157"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25624C69"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tcBorders>
              <w:top w:val="single" w:sz="4" w:space="0" w:color="auto"/>
              <w:left w:val="nil"/>
              <w:bottom w:val="single" w:sz="4" w:space="0" w:color="auto"/>
              <w:right w:val="single" w:sz="4" w:space="0" w:color="auto"/>
            </w:tcBorders>
            <w:vAlign w:val="center"/>
            <w:hideMark/>
          </w:tcPr>
          <w:p w14:paraId="471A258C" w14:textId="77777777" w:rsidR="00FA07BD" w:rsidRPr="00FA5AA8" w:rsidRDefault="00FA07BD" w:rsidP="00FA07BD">
            <w:pPr>
              <w:spacing w:after="0" w:line="240" w:lineRule="auto"/>
              <w:rPr>
                <w:rFonts w:ascii="Arial" w:eastAsia="Times New Roman" w:hAnsi="Arial" w:cs="Arial"/>
                <w:b/>
                <w:bCs/>
                <w:i/>
                <w:iCs/>
                <w:color w:val="000000"/>
                <w:kern w:val="0"/>
                <w:lang w:val="it-IT" w:eastAsia="it-IT"/>
                <w14:ligatures w14:val="none"/>
              </w:rPr>
            </w:pPr>
          </w:p>
        </w:tc>
        <w:tc>
          <w:tcPr>
            <w:tcW w:w="879" w:type="dxa"/>
            <w:tcBorders>
              <w:top w:val="single" w:sz="4" w:space="0" w:color="auto"/>
              <w:left w:val="single" w:sz="4" w:space="0" w:color="auto"/>
              <w:bottom w:val="single" w:sz="4" w:space="0" w:color="auto"/>
              <w:right w:val="single" w:sz="4" w:space="0" w:color="auto"/>
            </w:tcBorders>
            <w:vAlign w:val="center"/>
            <w:hideMark/>
          </w:tcPr>
          <w:p w14:paraId="511F37B0" w14:textId="77777777" w:rsidR="00FA07BD" w:rsidRPr="00FA5AA8" w:rsidRDefault="00FA07BD" w:rsidP="00FA07BD">
            <w:pPr>
              <w:spacing w:after="0" w:line="240" w:lineRule="auto"/>
              <w:jc w:val="center"/>
              <w:rPr>
                <w:rFonts w:ascii="Arial" w:eastAsia="Times New Roman" w:hAnsi="Arial" w:cs="Arial"/>
                <w:i/>
                <w:iCs/>
                <w:color w:val="000000"/>
                <w:kern w:val="0"/>
                <w:lang w:val="it-IT" w:eastAsia="it-IT"/>
                <w14:ligatures w14:val="none"/>
              </w:rPr>
            </w:pPr>
            <w:r w:rsidRPr="00FA5AA8">
              <w:rPr>
                <w:rFonts w:ascii="Arial" w:eastAsia="Times New Roman" w:hAnsi="Arial" w:cs="Arial"/>
                <w:i/>
                <w:iCs/>
                <w:color w:val="000000"/>
                <w:kern w:val="0"/>
                <w:lang w:val="it-IT" w:eastAsia="it-IT"/>
                <w14:ligatures w14:val="none"/>
              </w:rPr>
              <w:t>SD</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35A82DE2"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5.10</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0FF513DE"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4.46</w:t>
            </w:r>
          </w:p>
        </w:tc>
        <w:tc>
          <w:tcPr>
            <w:tcW w:w="808" w:type="dxa"/>
            <w:tcBorders>
              <w:top w:val="single" w:sz="4" w:space="0" w:color="auto"/>
              <w:left w:val="single" w:sz="4" w:space="0" w:color="auto"/>
              <w:bottom w:val="single" w:sz="4" w:space="0" w:color="auto"/>
              <w:right w:val="single" w:sz="4" w:space="0" w:color="auto"/>
            </w:tcBorders>
            <w:noWrap/>
            <w:vAlign w:val="center"/>
            <w:hideMark/>
          </w:tcPr>
          <w:p w14:paraId="4807DA2E"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4.82</w:t>
            </w:r>
          </w:p>
        </w:tc>
        <w:tc>
          <w:tcPr>
            <w:tcW w:w="974" w:type="dxa"/>
            <w:tcBorders>
              <w:top w:val="single" w:sz="4" w:space="0" w:color="auto"/>
              <w:left w:val="single" w:sz="4" w:space="0" w:color="auto"/>
              <w:bottom w:val="single" w:sz="4" w:space="0" w:color="auto"/>
              <w:right w:val="single" w:sz="4" w:space="0" w:color="auto"/>
            </w:tcBorders>
            <w:noWrap/>
            <w:vAlign w:val="center"/>
            <w:hideMark/>
          </w:tcPr>
          <w:p w14:paraId="7049E8D4"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1.36</w:t>
            </w:r>
          </w:p>
        </w:tc>
        <w:tc>
          <w:tcPr>
            <w:tcW w:w="790" w:type="dxa"/>
            <w:tcBorders>
              <w:top w:val="single" w:sz="4" w:space="0" w:color="auto"/>
              <w:left w:val="single" w:sz="4" w:space="0" w:color="auto"/>
              <w:bottom w:val="single" w:sz="4" w:space="0" w:color="auto"/>
              <w:right w:val="single" w:sz="4" w:space="0" w:color="auto"/>
            </w:tcBorders>
            <w:noWrap/>
            <w:vAlign w:val="center"/>
            <w:hideMark/>
          </w:tcPr>
          <w:p w14:paraId="5E761037"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1.04</w:t>
            </w:r>
          </w:p>
        </w:tc>
        <w:tc>
          <w:tcPr>
            <w:tcW w:w="864" w:type="dxa"/>
            <w:tcBorders>
              <w:top w:val="single" w:sz="4" w:space="0" w:color="auto"/>
              <w:left w:val="single" w:sz="4" w:space="0" w:color="auto"/>
              <w:bottom w:val="single" w:sz="4" w:space="0" w:color="auto"/>
              <w:right w:val="single" w:sz="4" w:space="0" w:color="auto"/>
            </w:tcBorders>
            <w:noWrap/>
            <w:vAlign w:val="center"/>
            <w:hideMark/>
          </w:tcPr>
          <w:p w14:paraId="7258E9EA"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2.44</w:t>
            </w:r>
          </w:p>
        </w:tc>
      </w:tr>
      <w:tr w:rsidR="00FA07BD" w:rsidRPr="00FA5AA8" w14:paraId="4B49C96E"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602A2FD8"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val="restart"/>
            <w:tcBorders>
              <w:top w:val="single" w:sz="4" w:space="0" w:color="auto"/>
              <w:left w:val="nil"/>
              <w:bottom w:val="single" w:sz="4" w:space="0" w:color="auto"/>
              <w:right w:val="single" w:sz="4" w:space="0" w:color="auto"/>
            </w:tcBorders>
            <w:vAlign w:val="center"/>
            <w:hideMark/>
          </w:tcPr>
          <w:p w14:paraId="4D7A581F" w14:textId="77777777" w:rsidR="00FA07BD" w:rsidRPr="00FA5AA8" w:rsidRDefault="00FA07BD" w:rsidP="00FA07BD">
            <w:pPr>
              <w:spacing w:after="0" w:line="240" w:lineRule="auto"/>
              <w:jc w:val="center"/>
              <w:rPr>
                <w:rFonts w:ascii="Arial" w:eastAsia="Times New Roman" w:hAnsi="Arial" w:cs="Arial"/>
                <w:b/>
                <w:bCs/>
                <w:i/>
                <w:iCs/>
                <w:color w:val="000000"/>
                <w:kern w:val="0"/>
                <w:lang w:val="it-IT" w:eastAsia="it-IT"/>
                <w14:ligatures w14:val="none"/>
              </w:rPr>
            </w:pPr>
            <w:r w:rsidRPr="00FA5AA8">
              <w:rPr>
                <w:rFonts w:ascii="Arial" w:eastAsia="Times New Roman" w:hAnsi="Arial" w:cs="Arial"/>
                <w:b/>
                <w:bCs/>
                <w:i/>
                <w:iCs/>
                <w:color w:val="000000"/>
                <w:kern w:val="0"/>
                <w:lang w:val="it-IT" w:eastAsia="it-IT"/>
                <w14:ligatures w14:val="none"/>
              </w:rPr>
              <w:t>ccPAS M1-SMA</w:t>
            </w:r>
          </w:p>
        </w:tc>
        <w:tc>
          <w:tcPr>
            <w:tcW w:w="879" w:type="dxa"/>
            <w:tcBorders>
              <w:top w:val="single" w:sz="4" w:space="0" w:color="auto"/>
              <w:left w:val="single" w:sz="4" w:space="0" w:color="auto"/>
              <w:bottom w:val="single" w:sz="4" w:space="0" w:color="auto"/>
              <w:right w:val="single" w:sz="4" w:space="0" w:color="auto"/>
            </w:tcBorders>
            <w:vAlign w:val="center"/>
            <w:hideMark/>
          </w:tcPr>
          <w:p w14:paraId="69937141"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Mean</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586CBC34"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-31.07</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5E7CFED1"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-19.87</w:t>
            </w:r>
          </w:p>
        </w:tc>
        <w:tc>
          <w:tcPr>
            <w:tcW w:w="808" w:type="dxa"/>
            <w:tcBorders>
              <w:top w:val="single" w:sz="4" w:space="0" w:color="auto"/>
              <w:left w:val="single" w:sz="4" w:space="0" w:color="auto"/>
              <w:bottom w:val="single" w:sz="4" w:space="0" w:color="auto"/>
              <w:right w:val="single" w:sz="4" w:space="0" w:color="auto"/>
            </w:tcBorders>
            <w:noWrap/>
            <w:vAlign w:val="center"/>
            <w:hideMark/>
          </w:tcPr>
          <w:p w14:paraId="7C486F4A"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59.09</w:t>
            </w:r>
          </w:p>
        </w:tc>
        <w:tc>
          <w:tcPr>
            <w:tcW w:w="974" w:type="dxa"/>
            <w:tcBorders>
              <w:top w:val="single" w:sz="4" w:space="0" w:color="auto"/>
              <w:left w:val="single" w:sz="4" w:space="0" w:color="auto"/>
              <w:bottom w:val="single" w:sz="4" w:space="0" w:color="auto"/>
              <w:right w:val="single" w:sz="4" w:space="0" w:color="auto"/>
            </w:tcBorders>
            <w:noWrap/>
            <w:vAlign w:val="center"/>
            <w:hideMark/>
          </w:tcPr>
          <w:p w14:paraId="01E26226"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-3.92</w:t>
            </w:r>
          </w:p>
        </w:tc>
        <w:tc>
          <w:tcPr>
            <w:tcW w:w="790" w:type="dxa"/>
            <w:tcBorders>
              <w:top w:val="single" w:sz="4" w:space="0" w:color="auto"/>
              <w:left w:val="single" w:sz="4" w:space="0" w:color="auto"/>
              <w:bottom w:val="single" w:sz="4" w:space="0" w:color="auto"/>
              <w:right w:val="single" w:sz="4" w:space="0" w:color="auto"/>
            </w:tcBorders>
            <w:noWrap/>
            <w:vAlign w:val="center"/>
            <w:hideMark/>
          </w:tcPr>
          <w:p w14:paraId="64DBED72"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-6.30</w:t>
            </w:r>
          </w:p>
        </w:tc>
        <w:tc>
          <w:tcPr>
            <w:tcW w:w="864" w:type="dxa"/>
            <w:tcBorders>
              <w:top w:val="single" w:sz="4" w:space="0" w:color="auto"/>
              <w:left w:val="single" w:sz="4" w:space="0" w:color="auto"/>
              <w:bottom w:val="single" w:sz="4" w:space="0" w:color="auto"/>
              <w:right w:val="single" w:sz="4" w:space="0" w:color="auto"/>
            </w:tcBorders>
            <w:noWrap/>
            <w:vAlign w:val="center"/>
            <w:hideMark/>
          </w:tcPr>
          <w:p w14:paraId="64311D9C" w14:textId="77777777" w:rsidR="00FA07BD" w:rsidRPr="00FA5AA8" w:rsidRDefault="00FA07BD" w:rsidP="00FA07BD">
            <w:pPr>
              <w:spacing w:after="0" w:line="240" w:lineRule="auto"/>
              <w:jc w:val="center"/>
              <w:rPr>
                <w:rFonts w:ascii="Arial" w:eastAsia="Times New Roman" w:hAnsi="Arial" w:cs="Arial"/>
                <w:color w:val="000000"/>
                <w:kern w:val="0"/>
                <w:lang w:val="it-IT" w:eastAsia="it-IT"/>
                <w14:ligatures w14:val="none"/>
              </w:rPr>
            </w:pPr>
            <w:r w:rsidRPr="00FA5AA8">
              <w:rPr>
                <w:rFonts w:ascii="Arial" w:eastAsia="Times New Roman" w:hAnsi="Arial" w:cs="Arial"/>
                <w:color w:val="000000"/>
                <w:kern w:val="0"/>
                <w:lang w:val="it-IT" w:eastAsia="it-IT"/>
                <w14:ligatures w14:val="none"/>
              </w:rPr>
              <w:t>64.44</w:t>
            </w:r>
          </w:p>
        </w:tc>
      </w:tr>
      <w:tr w:rsidR="00FA07BD" w:rsidRPr="00FA5AA8" w14:paraId="161A4C0E" w14:textId="77777777" w:rsidTr="00FA5AA8">
        <w:trPr>
          <w:trHeight w:val="324"/>
        </w:trPr>
        <w:tc>
          <w:tcPr>
            <w:tcW w:w="440" w:type="dxa"/>
            <w:vMerge/>
            <w:tcBorders>
              <w:top w:val="single" w:sz="4" w:space="0" w:color="auto"/>
              <w:left w:val="single" w:sz="4" w:space="0" w:color="auto"/>
              <w:bottom w:val="single" w:sz="4" w:space="0" w:color="auto"/>
              <w:right w:val="single" w:sz="4" w:space="0" w:color="auto"/>
            </w:tcBorders>
            <w:vAlign w:val="center"/>
            <w:hideMark/>
          </w:tcPr>
          <w:p w14:paraId="68C1600B" w14:textId="77777777" w:rsidR="00FA07BD" w:rsidRPr="00FA5AA8" w:rsidRDefault="00FA07BD" w:rsidP="00FA07BD">
            <w:pPr>
              <w:spacing w:after="0" w:line="240" w:lineRule="auto"/>
              <w:rPr>
                <w:rFonts w:ascii="Arial" w:eastAsia="Times New Roman" w:hAnsi="Arial" w:cs="Arial"/>
                <w:color w:val="000000"/>
                <w:kern w:val="0"/>
                <w:lang w:val="it-IT" w:eastAsia="it-IT"/>
                <w14:ligatures w14:val="none"/>
              </w:rPr>
            </w:pPr>
          </w:p>
        </w:tc>
        <w:tc>
          <w:tcPr>
            <w:tcW w:w="1893" w:type="dxa"/>
            <w:vMerge/>
            <w:tcBorders>
              <w:top w:val="single" w:sz="4" w:space="0" w:color="auto"/>
              <w:left w:val="nil"/>
              <w:bottom w:val="single" w:sz="4" w:space="0" w:color="auto"/>
              <w:right w:val="single" w:sz="4" w:space="0" w:color="auto"/>
            </w:tcBorders>
            <w:vAlign w:val="center"/>
            <w:hideMark/>
          </w:tcPr>
          <w:p w14:paraId="5D8E7317" w14:textId="77777777" w:rsidR="00FA07BD" w:rsidRPr="00FA5AA8" w:rsidRDefault="00FA07BD" w:rsidP="00FA07BD">
            <w:pPr>
              <w:spacing w:after="0" w:line="240" w:lineRule="auto"/>
              <w:rPr>
                <w:rFonts w:ascii="Arial" w:eastAsia="Times New Roman" w:hAnsi="Arial" w:cs="Arial"/>
                <w:b/>
                <w:bCs/>
                <w:i/>
                <w:iCs/>
                <w:color w:val="000000"/>
                <w:kern w:val="0"/>
                <w:lang w:val="it-IT" w:eastAsia="it-IT"/>
                <w14:ligatures w14:val="none"/>
              </w:rPr>
            </w:pPr>
          </w:p>
        </w:tc>
        <w:tc>
          <w:tcPr>
            <w:tcW w:w="879" w:type="dxa"/>
            <w:tcBorders>
              <w:top w:val="single" w:sz="4" w:space="0" w:color="auto"/>
              <w:left w:val="single" w:sz="4" w:space="0" w:color="auto"/>
              <w:bottom w:val="single" w:sz="4" w:space="0" w:color="auto"/>
              <w:right w:val="single" w:sz="4" w:space="0" w:color="auto"/>
            </w:tcBorders>
            <w:vAlign w:val="center"/>
            <w:hideMark/>
          </w:tcPr>
          <w:p w14:paraId="3CE2252E" w14:textId="77777777" w:rsidR="00FA07BD" w:rsidRPr="00FA5AA8" w:rsidRDefault="00FA07BD" w:rsidP="00FA07BD">
            <w:pPr>
              <w:spacing w:after="0" w:line="240" w:lineRule="auto"/>
              <w:jc w:val="center"/>
              <w:rPr>
                <w:rFonts w:ascii="Arial" w:eastAsia="Times New Roman" w:hAnsi="Arial" w:cs="Arial"/>
                <w:i/>
                <w:iCs/>
                <w:color w:val="000000"/>
                <w:kern w:val="0"/>
                <w:lang w:val="it-IT" w:eastAsia="it-IT"/>
                <w14:ligatures w14:val="none"/>
              </w:rPr>
            </w:pPr>
            <w:r w:rsidRPr="00FA5AA8">
              <w:rPr>
                <w:rFonts w:ascii="Arial" w:eastAsia="Times New Roman" w:hAnsi="Arial" w:cs="Arial"/>
                <w:i/>
                <w:iCs/>
                <w:color w:val="000000"/>
                <w:kern w:val="0"/>
                <w:lang w:val="it-IT" w:eastAsia="it-IT"/>
                <w14:ligatures w14:val="none"/>
              </w:rPr>
              <w:t>SD</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4AB917CC"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5.34</w:t>
            </w:r>
          </w:p>
        </w:tc>
        <w:tc>
          <w:tcPr>
            <w:tcW w:w="910" w:type="dxa"/>
            <w:tcBorders>
              <w:top w:val="single" w:sz="4" w:space="0" w:color="auto"/>
              <w:left w:val="single" w:sz="4" w:space="0" w:color="auto"/>
              <w:bottom w:val="single" w:sz="4" w:space="0" w:color="auto"/>
              <w:right w:val="single" w:sz="4" w:space="0" w:color="auto"/>
            </w:tcBorders>
            <w:noWrap/>
            <w:vAlign w:val="center"/>
            <w:hideMark/>
          </w:tcPr>
          <w:p w14:paraId="39D2CEE4"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5.28</w:t>
            </w:r>
          </w:p>
        </w:tc>
        <w:tc>
          <w:tcPr>
            <w:tcW w:w="808" w:type="dxa"/>
            <w:tcBorders>
              <w:top w:val="single" w:sz="4" w:space="0" w:color="auto"/>
              <w:left w:val="single" w:sz="4" w:space="0" w:color="auto"/>
              <w:bottom w:val="single" w:sz="4" w:space="0" w:color="auto"/>
              <w:right w:val="single" w:sz="4" w:space="0" w:color="auto"/>
            </w:tcBorders>
            <w:noWrap/>
            <w:vAlign w:val="center"/>
            <w:hideMark/>
          </w:tcPr>
          <w:p w14:paraId="6757DC3D"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4.86</w:t>
            </w:r>
          </w:p>
        </w:tc>
        <w:tc>
          <w:tcPr>
            <w:tcW w:w="974" w:type="dxa"/>
            <w:tcBorders>
              <w:top w:val="single" w:sz="4" w:space="0" w:color="auto"/>
              <w:left w:val="single" w:sz="4" w:space="0" w:color="auto"/>
              <w:bottom w:val="single" w:sz="4" w:space="0" w:color="auto"/>
              <w:right w:val="single" w:sz="4" w:space="0" w:color="auto"/>
            </w:tcBorders>
            <w:noWrap/>
            <w:vAlign w:val="center"/>
            <w:hideMark/>
          </w:tcPr>
          <w:p w14:paraId="30A90114"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1.46</w:t>
            </w:r>
          </w:p>
        </w:tc>
        <w:tc>
          <w:tcPr>
            <w:tcW w:w="790" w:type="dxa"/>
            <w:tcBorders>
              <w:top w:val="single" w:sz="4" w:space="0" w:color="auto"/>
              <w:left w:val="single" w:sz="4" w:space="0" w:color="auto"/>
              <w:bottom w:val="single" w:sz="4" w:space="0" w:color="auto"/>
              <w:right w:val="single" w:sz="4" w:space="0" w:color="auto"/>
            </w:tcBorders>
            <w:noWrap/>
            <w:vAlign w:val="center"/>
            <w:hideMark/>
          </w:tcPr>
          <w:p w14:paraId="5E9B2BD7"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1.74</w:t>
            </w:r>
          </w:p>
        </w:tc>
        <w:tc>
          <w:tcPr>
            <w:tcW w:w="864" w:type="dxa"/>
            <w:tcBorders>
              <w:top w:val="single" w:sz="4" w:space="0" w:color="auto"/>
              <w:left w:val="single" w:sz="4" w:space="0" w:color="auto"/>
              <w:bottom w:val="single" w:sz="4" w:space="0" w:color="auto"/>
              <w:right w:val="single" w:sz="4" w:space="0" w:color="auto"/>
            </w:tcBorders>
            <w:noWrap/>
            <w:vAlign w:val="center"/>
            <w:hideMark/>
          </w:tcPr>
          <w:p w14:paraId="01EDAD34" w14:textId="77777777" w:rsidR="00FA07BD" w:rsidRPr="00FA5AA8" w:rsidRDefault="00FA07BD" w:rsidP="00FA07BD">
            <w:pPr>
              <w:spacing w:after="0" w:line="240" w:lineRule="auto"/>
              <w:jc w:val="center"/>
              <w:rPr>
                <w:rFonts w:ascii="Arial" w:eastAsia="Times New Roman" w:hAnsi="Arial" w:cs="Arial"/>
                <w:iCs/>
                <w:color w:val="000000"/>
                <w:kern w:val="0"/>
                <w:lang w:val="it-IT" w:eastAsia="it-IT"/>
                <w14:ligatures w14:val="none"/>
              </w:rPr>
            </w:pPr>
            <w:r w:rsidRPr="00FA5AA8">
              <w:rPr>
                <w:rFonts w:ascii="Arial" w:eastAsia="Times New Roman" w:hAnsi="Arial" w:cs="Arial"/>
                <w:iCs/>
                <w:color w:val="000000"/>
                <w:kern w:val="0"/>
                <w:lang w:val="it-IT" w:eastAsia="it-IT"/>
                <w14:ligatures w14:val="none"/>
              </w:rPr>
              <w:t>2.58</w:t>
            </w:r>
          </w:p>
        </w:tc>
      </w:tr>
    </w:tbl>
    <w:p w14:paraId="4F5F9612" w14:textId="5B892BB2" w:rsidR="00FA07BD" w:rsidRPr="00FA5AA8" w:rsidRDefault="00011D21" w:rsidP="00FA5AA8">
      <w:pPr>
        <w:spacing w:line="360" w:lineRule="auto"/>
        <w:rPr>
          <w:rFonts w:ascii="Arial" w:hAnsi="Arial" w:cs="Arial"/>
          <w:lang w:val="en-US"/>
        </w:rPr>
      </w:pPr>
      <w:r w:rsidRPr="00FA5AA8">
        <w:rPr>
          <w:rFonts w:ascii="Arial" w:hAnsi="Arial" w:cs="Arial"/>
          <w:b/>
          <w:bCs/>
          <w:lang w:val="en-US"/>
        </w:rPr>
        <w:t>Table S1</w:t>
      </w:r>
      <w:r w:rsidRPr="00FA5AA8">
        <w:rPr>
          <w:rFonts w:ascii="Arial" w:hAnsi="Arial" w:cs="Arial"/>
          <w:lang w:val="en-US"/>
        </w:rPr>
        <w:t xml:space="preserve"> – </w:t>
      </w:r>
      <w:proofErr w:type="spellStart"/>
      <w:r w:rsidRPr="00FA5AA8">
        <w:rPr>
          <w:rFonts w:ascii="Arial" w:hAnsi="Arial" w:cs="Arial"/>
          <w:lang w:val="en-US"/>
        </w:rPr>
        <w:t>Talairach</w:t>
      </w:r>
      <w:proofErr w:type="spellEnd"/>
      <w:r w:rsidRPr="00FA5AA8">
        <w:rPr>
          <w:rFonts w:ascii="Arial" w:hAnsi="Arial" w:cs="Arial"/>
          <w:lang w:val="en-US"/>
        </w:rPr>
        <w:t xml:space="preserve"> coordinates of the stimulated sites across the four groups.</w:t>
      </w:r>
    </w:p>
    <w:p w14:paraId="5B0FC1D0" w14:textId="77777777" w:rsidR="00FA5AA8" w:rsidRDefault="00FA5AA8" w:rsidP="35F05C04">
      <w:pPr>
        <w:spacing w:line="360" w:lineRule="auto"/>
        <w:rPr>
          <w:rFonts w:ascii="Arial" w:eastAsia="Calibri Light" w:hAnsi="Arial" w:cs="Arial"/>
          <w:bCs/>
          <w:i/>
          <w:lang w:val="en-US"/>
        </w:rPr>
      </w:pPr>
    </w:p>
    <w:p w14:paraId="7BC9D05D" w14:textId="0A9040B9" w:rsidR="00C91B8D" w:rsidRPr="00FA5AA8" w:rsidRDefault="00457BD0" w:rsidP="35F05C04">
      <w:pPr>
        <w:spacing w:line="360" w:lineRule="auto"/>
        <w:rPr>
          <w:rFonts w:ascii="Arial" w:eastAsia="Calibri Light" w:hAnsi="Arial" w:cs="Arial"/>
          <w:bCs/>
          <w:i/>
          <w:lang w:val="en-US"/>
        </w:rPr>
      </w:pPr>
      <w:r w:rsidRPr="00FA5AA8">
        <w:rPr>
          <w:rFonts w:ascii="Arial" w:eastAsia="Calibri Light" w:hAnsi="Arial" w:cs="Arial"/>
          <w:bCs/>
          <w:i/>
          <w:lang w:val="en-US"/>
        </w:rPr>
        <w:t xml:space="preserve">Data analysis </w:t>
      </w:r>
    </w:p>
    <w:p w14:paraId="772B5E60" w14:textId="614008D5" w:rsidR="00FF38B2" w:rsidRPr="00FA5AA8" w:rsidRDefault="002D4DA4" w:rsidP="00457BD0">
      <w:pPr>
        <w:spacing w:line="360" w:lineRule="auto"/>
        <w:ind w:firstLine="708"/>
        <w:rPr>
          <w:rFonts w:ascii="Arial" w:hAnsi="Arial" w:cs="Arial"/>
          <w:lang w:val="en-US"/>
        </w:rPr>
      </w:pPr>
      <w:r w:rsidRPr="00FA5AA8">
        <w:rPr>
          <w:rFonts w:ascii="Arial" w:hAnsi="Arial" w:cs="Arial"/>
          <w:lang w:val="en-US"/>
        </w:rPr>
        <w:t>Using a MATLAB script</w:t>
      </w:r>
      <w:r w:rsidR="00BE1583" w:rsidRPr="00FA5AA8">
        <w:rPr>
          <w:rFonts w:ascii="Arial" w:hAnsi="Arial" w:cs="Arial"/>
          <w:lang w:val="en-US"/>
        </w:rPr>
        <w:t>,</w:t>
      </w:r>
      <w:r w:rsidRPr="00FA5AA8">
        <w:rPr>
          <w:rFonts w:ascii="Arial" w:hAnsi="Arial" w:cs="Arial"/>
          <w:lang w:val="en-US"/>
        </w:rPr>
        <w:t xml:space="preserve"> </w:t>
      </w:r>
      <w:r w:rsidR="00C86328" w:rsidRPr="00FA5AA8">
        <w:rPr>
          <w:rFonts w:ascii="Arial" w:hAnsi="Arial" w:cs="Arial"/>
          <w:lang w:val="en-US"/>
        </w:rPr>
        <w:t>MEPs were</w:t>
      </w:r>
      <w:r w:rsidR="00382C15" w:rsidRPr="00FA5AA8">
        <w:rPr>
          <w:rFonts w:ascii="Arial" w:hAnsi="Arial" w:cs="Arial"/>
          <w:lang w:val="en-US"/>
        </w:rPr>
        <w:t xml:space="preserve"> collected by extracting</w:t>
      </w:r>
      <w:r w:rsidR="00C86328" w:rsidRPr="00FA5AA8">
        <w:rPr>
          <w:rFonts w:ascii="Arial" w:hAnsi="Arial" w:cs="Arial"/>
          <w:lang w:val="en-US"/>
        </w:rPr>
        <w:t xml:space="preserve"> peak-to-peak EMG amplitude (in mV)</w:t>
      </w:r>
      <w:r w:rsidR="002330AA" w:rsidRPr="00FA5AA8">
        <w:rPr>
          <w:rFonts w:ascii="Arial" w:hAnsi="Arial" w:cs="Arial"/>
          <w:lang w:val="en-US"/>
        </w:rPr>
        <w:t xml:space="preserve"> in a </w:t>
      </w:r>
      <w:r w:rsidR="001A3F8A" w:rsidRPr="00FA5AA8">
        <w:rPr>
          <w:rFonts w:ascii="Arial" w:hAnsi="Arial" w:cs="Arial"/>
          <w:lang w:val="en-US"/>
        </w:rPr>
        <w:t xml:space="preserve">time </w:t>
      </w:r>
      <w:r w:rsidR="002330AA" w:rsidRPr="00FA5AA8">
        <w:rPr>
          <w:rFonts w:ascii="Arial" w:hAnsi="Arial" w:cs="Arial"/>
          <w:lang w:val="en-US"/>
        </w:rPr>
        <w:t xml:space="preserve">window </w:t>
      </w:r>
      <w:r w:rsidR="001A3F8A" w:rsidRPr="00FA5AA8">
        <w:rPr>
          <w:rFonts w:ascii="Arial" w:hAnsi="Arial" w:cs="Arial"/>
          <w:lang w:val="en-US"/>
        </w:rPr>
        <w:t xml:space="preserve">of </w:t>
      </w:r>
      <w:r w:rsidR="002330AA" w:rsidRPr="00FA5AA8">
        <w:rPr>
          <w:rFonts w:ascii="Arial" w:hAnsi="Arial" w:cs="Arial"/>
          <w:lang w:val="en-US"/>
        </w:rPr>
        <w:t>60 ms, beginning 15 ms after the</w:t>
      </w:r>
      <w:r w:rsidR="00BE1583" w:rsidRPr="00FA5AA8">
        <w:rPr>
          <w:rFonts w:ascii="Arial" w:hAnsi="Arial" w:cs="Arial"/>
          <w:lang w:val="en-US"/>
        </w:rPr>
        <w:t xml:space="preserve"> second TMS pulse</w:t>
      </w:r>
      <w:r w:rsidR="00457BD0" w:rsidRPr="00FA5AA8">
        <w:rPr>
          <w:rFonts w:ascii="Arial" w:hAnsi="Arial" w:cs="Arial"/>
          <w:lang w:val="en-US"/>
        </w:rPr>
        <w:t>.</w:t>
      </w:r>
      <w:r w:rsidR="00C86328" w:rsidRPr="00FA5AA8">
        <w:rPr>
          <w:rFonts w:ascii="Arial" w:hAnsi="Arial" w:cs="Arial"/>
          <w:lang w:val="en-US"/>
        </w:rPr>
        <w:t xml:space="preserve"> </w:t>
      </w:r>
      <w:r w:rsidR="00457BD0" w:rsidRPr="00FA5AA8">
        <w:rPr>
          <w:rFonts w:ascii="Arial" w:hAnsi="Arial" w:cs="Arial"/>
          <w:lang w:val="en-US"/>
        </w:rPr>
        <w:t>W</w:t>
      </w:r>
      <w:r w:rsidR="009141E3" w:rsidRPr="00FA5AA8">
        <w:rPr>
          <w:rFonts w:ascii="Arial" w:hAnsi="Arial" w:cs="Arial"/>
          <w:lang w:val="en-US"/>
        </w:rPr>
        <w:t xml:space="preserve">e excluded the MEPs </w:t>
      </w:r>
      <w:r w:rsidR="001A3F8A" w:rsidRPr="00FA5AA8">
        <w:rPr>
          <w:rFonts w:ascii="Arial" w:hAnsi="Arial" w:cs="Arial"/>
          <w:lang w:val="en-US"/>
        </w:rPr>
        <w:t xml:space="preserve">recorded in trials showing a muscular </w:t>
      </w:r>
      <w:proofErr w:type="spellStart"/>
      <w:r w:rsidR="001A3F8A" w:rsidRPr="00FA5AA8">
        <w:rPr>
          <w:rFonts w:ascii="Arial" w:hAnsi="Arial" w:cs="Arial"/>
          <w:lang w:val="en-US"/>
        </w:rPr>
        <w:t>preactivation</w:t>
      </w:r>
      <w:proofErr w:type="spellEnd"/>
      <w:r w:rsidR="001A3F8A" w:rsidRPr="00FA5AA8">
        <w:rPr>
          <w:rFonts w:ascii="Arial" w:hAnsi="Arial" w:cs="Arial"/>
          <w:lang w:val="en-US"/>
        </w:rPr>
        <w:t xml:space="preserve"> defined as trials </w:t>
      </w:r>
      <w:r w:rsidR="009141E3" w:rsidRPr="00FA5AA8">
        <w:rPr>
          <w:rFonts w:ascii="Arial" w:hAnsi="Arial" w:cs="Arial"/>
          <w:lang w:val="en-US"/>
        </w:rPr>
        <w:t>with a</w:t>
      </w:r>
      <w:r w:rsidR="001A3F8A" w:rsidRPr="00FA5AA8">
        <w:rPr>
          <w:rFonts w:ascii="Arial" w:hAnsi="Arial" w:cs="Arial"/>
          <w:lang w:val="en-US"/>
        </w:rPr>
        <w:t>n</w:t>
      </w:r>
      <w:r w:rsidR="009141E3" w:rsidRPr="00FA5AA8">
        <w:rPr>
          <w:rFonts w:ascii="Arial" w:hAnsi="Arial" w:cs="Arial"/>
          <w:lang w:val="en-US"/>
        </w:rPr>
        <w:t xml:space="preserve"> EMG activity </w:t>
      </w:r>
      <w:r w:rsidR="009141E3" w:rsidRPr="00FA5AA8">
        <w:rPr>
          <w:rFonts w:ascii="Arial" w:hAnsi="Arial" w:cs="Arial"/>
          <w:lang w:val="en-US"/>
        </w:rPr>
        <w:lastRenderedPageBreak/>
        <w:t xml:space="preserve">deviating </w:t>
      </w:r>
      <w:r w:rsidR="001A3F8A" w:rsidRPr="00FA5AA8">
        <w:rPr>
          <w:rFonts w:ascii="Arial" w:hAnsi="Arial" w:cs="Arial"/>
          <w:lang w:val="en-US"/>
        </w:rPr>
        <w:t xml:space="preserve">more than </w:t>
      </w:r>
      <w:r w:rsidR="009141E3" w:rsidRPr="00FA5AA8">
        <w:rPr>
          <w:rFonts w:ascii="Arial" w:hAnsi="Arial" w:cs="Arial"/>
          <w:lang w:val="en-US"/>
        </w:rPr>
        <w:t>2SD from the participant’s rectified mean</w:t>
      </w:r>
      <w:r w:rsidR="001A3F8A" w:rsidRPr="00FA5AA8">
        <w:rPr>
          <w:rFonts w:ascii="Arial" w:hAnsi="Arial" w:cs="Arial"/>
          <w:lang w:val="en-US"/>
        </w:rPr>
        <w:t xml:space="preserve"> in a time window of</w:t>
      </w:r>
      <w:r w:rsidR="00772B0C" w:rsidRPr="00FA5AA8">
        <w:rPr>
          <w:rFonts w:ascii="Arial" w:hAnsi="Arial" w:cs="Arial"/>
          <w:lang w:val="en-US"/>
        </w:rPr>
        <w:t xml:space="preserve"> 100 ms</w:t>
      </w:r>
      <w:r w:rsidR="001A3F8A" w:rsidRPr="00FA5AA8">
        <w:rPr>
          <w:rFonts w:ascii="Arial" w:hAnsi="Arial" w:cs="Arial"/>
          <w:lang w:val="en-US"/>
        </w:rPr>
        <w:t xml:space="preserve"> before the TMS pulse eliciting the MEP</w:t>
      </w:r>
      <w:r w:rsidR="009141E3" w:rsidRPr="00FA5AA8">
        <w:rPr>
          <w:rFonts w:ascii="Arial" w:hAnsi="Arial" w:cs="Arial"/>
          <w:lang w:val="en-US"/>
        </w:rPr>
        <w:t xml:space="preserve">. </w:t>
      </w:r>
      <w:r w:rsidR="00C86328" w:rsidRPr="00FA5AA8">
        <w:rPr>
          <w:rFonts w:ascii="Arial" w:hAnsi="Arial" w:cs="Arial"/>
          <w:lang w:val="en-US"/>
        </w:rPr>
        <w:t>MEPs were averaged after being divided into 6 epochs of 15 trials each. Mean MEPs were analy</w:t>
      </w:r>
      <w:r w:rsidR="00457BD0" w:rsidRPr="00FA5AA8">
        <w:rPr>
          <w:rFonts w:ascii="Arial" w:hAnsi="Arial" w:cs="Arial"/>
          <w:lang w:val="en-US"/>
        </w:rPr>
        <w:t>ze</w:t>
      </w:r>
      <w:r w:rsidR="00C86328" w:rsidRPr="00FA5AA8">
        <w:rPr>
          <w:rFonts w:ascii="Arial" w:hAnsi="Arial" w:cs="Arial"/>
          <w:lang w:val="en-US"/>
        </w:rPr>
        <w:t>d with a GLM</w:t>
      </w:r>
      <w:r w:rsidR="00097360" w:rsidRPr="00FA5AA8">
        <w:rPr>
          <w:rFonts w:ascii="Arial" w:hAnsi="Arial" w:cs="Arial"/>
          <w:lang w:val="en-US"/>
        </w:rPr>
        <w:t xml:space="preserve"> with within-subjects factor </w:t>
      </w:r>
      <w:r w:rsidR="00456D07" w:rsidRPr="00FA5AA8">
        <w:rPr>
          <w:rFonts w:ascii="Arial" w:hAnsi="Arial" w:cs="Arial"/>
          <w:lang w:val="en-US"/>
        </w:rPr>
        <w:t>E</w:t>
      </w:r>
      <w:r w:rsidR="00097360" w:rsidRPr="00FA5AA8">
        <w:rPr>
          <w:rFonts w:ascii="Arial" w:hAnsi="Arial" w:cs="Arial"/>
          <w:lang w:val="en-US"/>
        </w:rPr>
        <w:t xml:space="preserve">poch (6 levels) and </w:t>
      </w:r>
      <w:r w:rsidR="00344A76" w:rsidRPr="00FA5AA8">
        <w:rPr>
          <w:rFonts w:ascii="Arial" w:hAnsi="Arial" w:cs="Arial"/>
          <w:lang w:val="en-US"/>
        </w:rPr>
        <w:t>between-subject factors Area (2 levels: PMv and SMA) and Direction (2 levels: Forward and Reverse).</w:t>
      </w:r>
      <w:r w:rsidR="00013574" w:rsidRPr="00FA5AA8">
        <w:rPr>
          <w:rFonts w:ascii="Arial" w:hAnsi="Arial" w:cs="Arial"/>
          <w:lang w:val="en-US"/>
        </w:rPr>
        <w:t xml:space="preserve"> </w:t>
      </w:r>
      <w:r w:rsidR="00457BD0" w:rsidRPr="00FA5AA8">
        <w:rPr>
          <w:rFonts w:ascii="Arial" w:hAnsi="Arial" w:cs="Arial"/>
          <w:lang w:val="en-US"/>
        </w:rPr>
        <w:t xml:space="preserve">Post-hoc analysis was carried out using the </w:t>
      </w:r>
      <w:r w:rsidR="00097360" w:rsidRPr="00FA5AA8">
        <w:rPr>
          <w:rFonts w:ascii="Arial" w:hAnsi="Arial" w:cs="Arial"/>
          <w:lang w:val="en-US"/>
        </w:rPr>
        <w:t>Duncan’s post-hoc test</w:t>
      </w:r>
      <w:r w:rsidR="00013574" w:rsidRPr="00FA5AA8">
        <w:rPr>
          <w:rFonts w:ascii="Arial" w:hAnsi="Arial" w:cs="Arial"/>
          <w:lang w:val="en-US"/>
        </w:rPr>
        <w:t xml:space="preserve"> (see main text and Figure 1</w:t>
      </w:r>
      <w:r w:rsidR="00424A9C" w:rsidRPr="00FA5AA8">
        <w:rPr>
          <w:rFonts w:ascii="Arial" w:hAnsi="Arial" w:cs="Arial"/>
          <w:lang w:val="en-US"/>
        </w:rPr>
        <w:t>c</w:t>
      </w:r>
      <w:r w:rsidR="00013574" w:rsidRPr="00FA5AA8">
        <w:rPr>
          <w:rFonts w:ascii="Arial" w:hAnsi="Arial" w:cs="Arial"/>
          <w:lang w:val="en-US"/>
        </w:rPr>
        <w:t>)</w:t>
      </w:r>
      <w:r w:rsidR="00097360" w:rsidRPr="00FA5AA8">
        <w:rPr>
          <w:rFonts w:ascii="Arial" w:hAnsi="Arial" w:cs="Arial"/>
          <w:lang w:val="en-US"/>
        </w:rPr>
        <w:t>.</w:t>
      </w:r>
    </w:p>
    <w:p w14:paraId="5FF0F89E" w14:textId="7DAB8800" w:rsidR="00CB409C" w:rsidRPr="00FA5AA8" w:rsidRDefault="00FF38B2" w:rsidP="00457BD0">
      <w:pPr>
        <w:spacing w:line="360" w:lineRule="auto"/>
        <w:ind w:firstLine="708"/>
        <w:rPr>
          <w:rFonts w:ascii="Arial" w:hAnsi="Arial" w:cs="Arial"/>
          <w:lang w:val="en-US"/>
        </w:rPr>
      </w:pPr>
      <w:r w:rsidRPr="00FA5AA8">
        <w:rPr>
          <w:rFonts w:ascii="Arial" w:hAnsi="Arial" w:cs="Arial"/>
          <w:lang w:val="en-US"/>
        </w:rPr>
        <w:t xml:space="preserve">As an index of </w:t>
      </w:r>
      <w:r w:rsidR="005E4821" w:rsidRPr="00FA5AA8">
        <w:rPr>
          <w:rFonts w:ascii="Arial" w:hAnsi="Arial" w:cs="Arial"/>
          <w:lang w:val="en-US"/>
        </w:rPr>
        <w:t>behavioral</w:t>
      </w:r>
      <w:r w:rsidRPr="00FA5AA8">
        <w:rPr>
          <w:rFonts w:ascii="Arial" w:hAnsi="Arial" w:cs="Arial"/>
          <w:lang w:val="en-US"/>
        </w:rPr>
        <w:t xml:space="preserve"> </w:t>
      </w:r>
      <w:r w:rsidR="00424A9C" w:rsidRPr="00FA5AA8">
        <w:rPr>
          <w:rFonts w:ascii="Arial" w:hAnsi="Arial" w:cs="Arial"/>
          <w:lang w:val="en-US"/>
        </w:rPr>
        <w:t>performance,</w:t>
      </w:r>
      <w:r w:rsidR="005E4821" w:rsidRPr="00FA5AA8">
        <w:rPr>
          <w:rFonts w:ascii="Arial" w:hAnsi="Arial" w:cs="Arial"/>
          <w:lang w:val="en-US"/>
        </w:rPr>
        <w:t xml:space="preserve"> the Inverse Efficacy was computed as the ratio between </w:t>
      </w:r>
      <w:r w:rsidR="00457BD0" w:rsidRPr="00FA5AA8">
        <w:rPr>
          <w:rFonts w:ascii="Arial" w:hAnsi="Arial" w:cs="Arial"/>
          <w:lang w:val="en-US"/>
        </w:rPr>
        <w:t xml:space="preserve">mean </w:t>
      </w:r>
      <w:r w:rsidR="005E4821" w:rsidRPr="00FA5AA8">
        <w:rPr>
          <w:rFonts w:ascii="Arial" w:hAnsi="Arial" w:cs="Arial"/>
          <w:lang w:val="en-US"/>
        </w:rPr>
        <w:t>reaction times and accuracy</w:t>
      </w:r>
      <w:r w:rsidR="00013574" w:rsidRPr="00FA5AA8">
        <w:rPr>
          <w:rFonts w:ascii="Arial" w:hAnsi="Arial" w:cs="Arial"/>
          <w:lang w:val="en-US"/>
        </w:rPr>
        <w:t xml:space="preserve"> for </w:t>
      </w:r>
      <w:r w:rsidR="005E4821" w:rsidRPr="00FA5AA8">
        <w:rPr>
          <w:rFonts w:ascii="Arial" w:hAnsi="Arial" w:cs="Arial"/>
          <w:lang w:val="en-US"/>
        </w:rPr>
        <w:t>each participant. This index was then submitted to a</w:t>
      </w:r>
      <w:r w:rsidR="00097360" w:rsidRPr="00FA5AA8">
        <w:rPr>
          <w:rFonts w:ascii="Arial" w:hAnsi="Arial" w:cs="Arial"/>
          <w:lang w:val="en-US"/>
        </w:rPr>
        <w:t xml:space="preserve"> </w:t>
      </w:r>
      <w:r w:rsidR="00013574" w:rsidRPr="00FA5AA8">
        <w:rPr>
          <w:rFonts w:ascii="Arial" w:hAnsi="Arial" w:cs="Arial"/>
          <w:lang w:val="en-US"/>
        </w:rPr>
        <w:t>GLM within-subjects factor Session (3 levels) and between-subject factors Area (2 levels: PMv and SMA) and Direction (2 levels: Forward and Reverse)</w:t>
      </w:r>
      <w:r w:rsidR="005E4821" w:rsidRPr="00FA5AA8">
        <w:rPr>
          <w:rFonts w:ascii="Arial" w:hAnsi="Arial" w:cs="Arial"/>
          <w:lang w:val="en-US"/>
        </w:rPr>
        <w:t xml:space="preserve">. </w:t>
      </w:r>
      <w:r w:rsidR="00457BD0" w:rsidRPr="00FA5AA8">
        <w:rPr>
          <w:rFonts w:ascii="Arial" w:hAnsi="Arial" w:cs="Arial"/>
          <w:lang w:val="en-US"/>
        </w:rPr>
        <w:t>R</w:t>
      </w:r>
      <w:r w:rsidR="00EA1C8F" w:rsidRPr="00FA5AA8">
        <w:rPr>
          <w:rFonts w:ascii="Arial" w:hAnsi="Arial" w:cs="Arial"/>
          <w:lang w:val="en-US"/>
        </w:rPr>
        <w:t xml:space="preserve">esults are reported in </w:t>
      </w:r>
      <w:r w:rsidR="00122EAA" w:rsidRPr="00FA5AA8">
        <w:rPr>
          <w:rFonts w:ascii="Arial" w:hAnsi="Arial" w:cs="Arial"/>
          <w:lang w:val="en-US"/>
        </w:rPr>
        <w:t>main text.</w:t>
      </w:r>
    </w:p>
    <w:p w14:paraId="2B2497D4" w14:textId="45EA8EF9" w:rsidR="00E75D82" w:rsidRPr="00FA5AA8" w:rsidRDefault="3CDCC652" w:rsidP="35F05C04">
      <w:pPr>
        <w:spacing w:line="360" w:lineRule="auto"/>
        <w:ind w:firstLine="708"/>
        <w:rPr>
          <w:rFonts w:ascii="Arial" w:hAnsi="Arial" w:cs="Arial"/>
          <w:lang w:val="en-US"/>
        </w:rPr>
      </w:pPr>
      <w:r w:rsidRPr="00FA5AA8">
        <w:rPr>
          <w:rFonts w:ascii="Arial" w:hAnsi="Arial" w:cs="Arial"/>
          <w:lang w:val="en-US"/>
        </w:rPr>
        <w:t xml:space="preserve">To </w:t>
      </w:r>
      <w:r w:rsidR="06046320" w:rsidRPr="00FA5AA8">
        <w:rPr>
          <w:rFonts w:ascii="Arial" w:hAnsi="Arial" w:cs="Arial"/>
          <w:lang w:val="en-US"/>
        </w:rPr>
        <w:t>explore the</w:t>
      </w:r>
      <w:r w:rsidR="6DF09864" w:rsidRPr="00FA5AA8">
        <w:rPr>
          <w:rFonts w:ascii="Arial" w:hAnsi="Arial" w:cs="Arial"/>
          <w:lang w:val="en-US"/>
        </w:rPr>
        <w:t xml:space="preserve"> </w:t>
      </w:r>
      <w:r w:rsidR="2297C408" w:rsidRPr="00FA5AA8">
        <w:rPr>
          <w:rFonts w:ascii="Arial" w:hAnsi="Arial" w:cs="Arial"/>
          <w:lang w:val="en-US"/>
        </w:rPr>
        <w:t>relation</w:t>
      </w:r>
      <w:r w:rsidRPr="00FA5AA8">
        <w:rPr>
          <w:rFonts w:ascii="Arial" w:hAnsi="Arial" w:cs="Arial"/>
          <w:lang w:val="en-US"/>
        </w:rPr>
        <w:t>ship</w:t>
      </w:r>
      <w:r w:rsidR="2297C408" w:rsidRPr="00FA5AA8">
        <w:rPr>
          <w:rFonts w:ascii="Arial" w:hAnsi="Arial" w:cs="Arial"/>
          <w:lang w:val="en-US"/>
        </w:rPr>
        <w:t xml:space="preserve"> between </w:t>
      </w:r>
      <w:r w:rsidR="2CE55A2D" w:rsidRPr="00FA5AA8">
        <w:rPr>
          <w:rFonts w:ascii="Arial" w:hAnsi="Arial" w:cs="Arial"/>
          <w:lang w:val="en-US"/>
        </w:rPr>
        <w:t>behavioral</w:t>
      </w:r>
      <w:r w:rsidRPr="00FA5AA8">
        <w:rPr>
          <w:rFonts w:ascii="Arial" w:hAnsi="Arial" w:cs="Arial"/>
          <w:lang w:val="en-US"/>
        </w:rPr>
        <w:t xml:space="preserve"> improvement</w:t>
      </w:r>
      <w:r w:rsidR="2CE55A2D" w:rsidRPr="00FA5AA8">
        <w:rPr>
          <w:rFonts w:ascii="Arial" w:hAnsi="Arial" w:cs="Arial"/>
          <w:lang w:val="en-US"/>
        </w:rPr>
        <w:t xml:space="preserve"> </w:t>
      </w:r>
      <w:r w:rsidRPr="00FA5AA8">
        <w:rPr>
          <w:rFonts w:ascii="Arial" w:hAnsi="Arial" w:cs="Arial"/>
          <w:lang w:val="en-US"/>
        </w:rPr>
        <w:t xml:space="preserve">and </w:t>
      </w:r>
      <w:r w:rsidR="2CE55A2D" w:rsidRPr="00FA5AA8">
        <w:rPr>
          <w:rFonts w:ascii="Arial" w:hAnsi="Arial" w:cs="Arial"/>
          <w:lang w:val="en-US"/>
        </w:rPr>
        <w:t>the modulation of corticospinal excitability observed during ccPAS (</w:t>
      </w:r>
      <w:r w:rsidR="00424A9C" w:rsidRPr="00FA5AA8">
        <w:rPr>
          <w:rFonts w:ascii="Arial" w:eastAsiaTheme="majorEastAsia" w:hAnsi="Arial" w:cs="Arial"/>
          <w:lang w:val="en-US"/>
        </w:rPr>
        <w:t>see main text Fig.1c</w:t>
      </w:r>
      <w:r w:rsidR="2CE55A2D" w:rsidRPr="00FA5AA8">
        <w:rPr>
          <w:rFonts w:ascii="Arial" w:hAnsi="Arial" w:cs="Arial"/>
          <w:lang w:val="en-US"/>
        </w:rPr>
        <w:t xml:space="preserve">) </w:t>
      </w:r>
      <w:r w:rsidR="7342A511" w:rsidRPr="00FA5AA8">
        <w:rPr>
          <w:rFonts w:ascii="Arial" w:hAnsi="Arial" w:cs="Arial"/>
          <w:lang w:val="en-US"/>
        </w:rPr>
        <w:t xml:space="preserve">a GLM was ran </w:t>
      </w:r>
      <w:r w:rsidR="00B8300D" w:rsidRPr="00FA5AA8">
        <w:rPr>
          <w:rFonts w:ascii="Arial" w:hAnsi="Arial" w:cs="Arial"/>
          <w:lang w:val="en-US"/>
        </w:rPr>
        <w:t>with</w:t>
      </w:r>
      <w:r w:rsidR="7342A511" w:rsidRPr="00FA5AA8">
        <w:rPr>
          <w:rFonts w:ascii="Arial" w:hAnsi="Arial" w:cs="Arial"/>
          <w:lang w:val="en-US"/>
        </w:rPr>
        <w:t xml:space="preserve"> behavioral improvement </w:t>
      </w:r>
      <w:r w:rsidR="00B8300D" w:rsidRPr="00FA5AA8">
        <w:rPr>
          <w:rFonts w:ascii="Arial" w:hAnsi="Arial" w:cs="Arial"/>
          <w:lang w:val="en-US"/>
        </w:rPr>
        <w:t xml:space="preserve">following ccPAS </w:t>
      </w:r>
      <w:r w:rsidR="7342A511" w:rsidRPr="00FA5AA8">
        <w:rPr>
          <w:rFonts w:ascii="Arial" w:hAnsi="Arial" w:cs="Arial"/>
          <w:lang w:val="en-US"/>
        </w:rPr>
        <w:t>(</w:t>
      </w:r>
      <w:r w:rsidR="148757B8" w:rsidRPr="00FA5AA8">
        <w:rPr>
          <w:rFonts w:ascii="Arial" w:hAnsi="Arial" w:cs="Arial"/>
          <w:lang w:val="en-US"/>
        </w:rPr>
        <w:t xml:space="preserve">IE </w:t>
      </w:r>
      <w:r w:rsidR="7342A511" w:rsidRPr="00FA5AA8">
        <w:rPr>
          <w:rFonts w:ascii="Arial" w:hAnsi="Arial" w:cs="Arial"/>
          <w:lang w:val="en-US"/>
        </w:rPr>
        <w:t>at</w:t>
      </w:r>
      <w:r w:rsidR="148757B8" w:rsidRPr="00FA5AA8">
        <w:rPr>
          <w:rFonts w:ascii="Arial" w:hAnsi="Arial" w:cs="Arial"/>
          <w:lang w:val="en-US"/>
        </w:rPr>
        <w:t xml:space="preserve"> </w:t>
      </w:r>
      <w:r w:rsidR="49D3CA20" w:rsidRPr="00FA5AA8">
        <w:rPr>
          <w:rFonts w:ascii="Arial" w:hAnsi="Arial" w:cs="Arial"/>
          <w:lang w:val="en-US"/>
        </w:rPr>
        <w:t>T</w:t>
      </w:r>
      <w:r w:rsidR="148757B8" w:rsidRPr="00FA5AA8">
        <w:rPr>
          <w:rFonts w:ascii="Arial" w:hAnsi="Arial" w:cs="Arial"/>
          <w:lang w:val="en-US"/>
        </w:rPr>
        <w:t>0</w:t>
      </w:r>
      <w:r w:rsidR="7342A511" w:rsidRPr="00FA5AA8">
        <w:rPr>
          <w:rFonts w:ascii="Arial" w:hAnsi="Arial" w:cs="Arial"/>
          <w:lang w:val="en-US"/>
        </w:rPr>
        <w:t xml:space="preserve"> – IE at </w:t>
      </w:r>
      <w:r w:rsidR="148757B8" w:rsidRPr="00FA5AA8">
        <w:rPr>
          <w:rFonts w:ascii="Arial" w:hAnsi="Arial" w:cs="Arial"/>
          <w:lang w:val="en-US"/>
        </w:rPr>
        <w:t xml:space="preserve">pre) </w:t>
      </w:r>
      <w:r w:rsidR="00B8300D" w:rsidRPr="00FA5AA8">
        <w:rPr>
          <w:rFonts w:ascii="Arial" w:hAnsi="Arial" w:cs="Arial"/>
          <w:lang w:val="en-US"/>
        </w:rPr>
        <w:t xml:space="preserve">as dependent variable and </w:t>
      </w:r>
      <w:r w:rsidR="4D1BE3CA" w:rsidRPr="00FA5AA8">
        <w:rPr>
          <w:rFonts w:ascii="Arial" w:hAnsi="Arial" w:cs="Arial"/>
          <w:lang w:val="en-US"/>
        </w:rPr>
        <w:t>the</w:t>
      </w:r>
      <w:r w:rsidR="65EB2F80" w:rsidRPr="00FA5AA8">
        <w:rPr>
          <w:rFonts w:ascii="Arial" w:hAnsi="Arial" w:cs="Arial"/>
          <w:lang w:val="en-US"/>
        </w:rPr>
        <w:t xml:space="preserve"> full factorial combination of the</w:t>
      </w:r>
      <w:r w:rsidR="4D1BE3CA" w:rsidRPr="00FA5AA8">
        <w:rPr>
          <w:rFonts w:ascii="Arial" w:hAnsi="Arial" w:cs="Arial"/>
          <w:lang w:val="en-US"/>
        </w:rPr>
        <w:t xml:space="preserve"> </w:t>
      </w:r>
      <w:r w:rsidR="65EB2F80" w:rsidRPr="00FA5AA8">
        <w:rPr>
          <w:rFonts w:ascii="Arial" w:hAnsi="Arial" w:cs="Arial"/>
          <w:lang w:val="en-US"/>
        </w:rPr>
        <w:t xml:space="preserve">categorical </w:t>
      </w:r>
      <w:r w:rsidR="00B8300D" w:rsidRPr="00FA5AA8">
        <w:rPr>
          <w:rFonts w:ascii="Arial" w:hAnsi="Arial" w:cs="Arial"/>
          <w:lang w:val="en-US"/>
        </w:rPr>
        <w:t>variable</w:t>
      </w:r>
      <w:r w:rsidR="25397FC4" w:rsidRPr="00FA5AA8">
        <w:rPr>
          <w:rFonts w:ascii="Arial" w:hAnsi="Arial" w:cs="Arial"/>
          <w:lang w:val="en-US"/>
        </w:rPr>
        <w:t xml:space="preserve"> Area </w:t>
      </w:r>
      <w:r w:rsidR="4D1BE3CA" w:rsidRPr="00FA5AA8">
        <w:rPr>
          <w:rFonts w:ascii="Arial" w:hAnsi="Arial" w:cs="Arial"/>
          <w:lang w:val="en-US"/>
        </w:rPr>
        <w:t>and Direction and the</w:t>
      </w:r>
      <w:r w:rsidR="65EB2F80" w:rsidRPr="00FA5AA8">
        <w:rPr>
          <w:rFonts w:ascii="Arial" w:hAnsi="Arial" w:cs="Arial"/>
          <w:lang w:val="en-US"/>
        </w:rPr>
        <w:t xml:space="preserve"> continuous </w:t>
      </w:r>
      <w:r w:rsidR="00B8300D" w:rsidRPr="00FA5AA8">
        <w:rPr>
          <w:rFonts w:ascii="Arial" w:hAnsi="Arial" w:cs="Arial"/>
          <w:lang w:val="en-US"/>
        </w:rPr>
        <w:t xml:space="preserve">variable </w:t>
      </w:r>
      <w:r w:rsidR="65EB2F80" w:rsidRPr="00FA5AA8">
        <w:rPr>
          <w:rFonts w:ascii="Arial" w:hAnsi="Arial" w:cs="Arial"/>
          <w:lang w:val="en-US"/>
        </w:rPr>
        <w:t xml:space="preserve">MEP size </w:t>
      </w:r>
      <w:r w:rsidR="4D1BE3CA" w:rsidRPr="00FA5AA8">
        <w:rPr>
          <w:rFonts w:ascii="Arial" w:hAnsi="Arial" w:cs="Arial"/>
          <w:lang w:val="en-US"/>
        </w:rPr>
        <w:t>modulation</w:t>
      </w:r>
      <w:r w:rsidR="65EB2F80" w:rsidRPr="00FA5AA8">
        <w:rPr>
          <w:rFonts w:ascii="Arial" w:hAnsi="Arial" w:cs="Arial"/>
          <w:lang w:val="en-US"/>
        </w:rPr>
        <w:t xml:space="preserve"> </w:t>
      </w:r>
      <w:r w:rsidR="4D1BE3CA" w:rsidRPr="00FA5AA8">
        <w:rPr>
          <w:rFonts w:ascii="Arial" w:hAnsi="Arial" w:cs="Arial"/>
          <w:lang w:val="en-US"/>
        </w:rPr>
        <w:t>(</w:t>
      </w:r>
      <w:r w:rsidR="63F12FE7" w:rsidRPr="00FA5AA8">
        <w:rPr>
          <w:rFonts w:ascii="Arial" w:hAnsi="Arial" w:cs="Arial"/>
          <w:lang w:val="en-US"/>
        </w:rPr>
        <w:t>MEP amplitude at last Epoch – MEP amplitude at first Epoch)</w:t>
      </w:r>
      <w:r w:rsidR="00B8300D" w:rsidRPr="00FA5AA8">
        <w:rPr>
          <w:rFonts w:ascii="Arial" w:hAnsi="Arial" w:cs="Arial"/>
          <w:lang w:val="en-US"/>
        </w:rPr>
        <w:t xml:space="preserve"> as predictors</w:t>
      </w:r>
      <w:r w:rsidR="63F12FE7" w:rsidRPr="00FA5AA8">
        <w:rPr>
          <w:rFonts w:ascii="Arial" w:hAnsi="Arial" w:cs="Arial"/>
          <w:lang w:val="en-US"/>
        </w:rPr>
        <w:t>.</w:t>
      </w:r>
      <w:r w:rsidR="00457BD0" w:rsidRPr="00FA5AA8">
        <w:rPr>
          <w:rFonts w:ascii="Arial" w:hAnsi="Arial" w:cs="Arial"/>
          <w:lang w:val="en-US"/>
        </w:rPr>
        <w:t xml:space="preserve"> The results are reported in main text.</w:t>
      </w:r>
    </w:p>
    <w:p w14:paraId="0E8D7984" w14:textId="647B717A" w:rsidR="00457BD0" w:rsidRPr="00FA5AA8" w:rsidRDefault="00457BD0" w:rsidP="00457BD0">
      <w:pPr>
        <w:spacing w:after="0" w:line="360" w:lineRule="auto"/>
        <w:rPr>
          <w:rFonts w:ascii="Arial" w:eastAsiaTheme="majorEastAsia" w:hAnsi="Arial" w:cs="Arial"/>
          <w:lang w:val="en-US"/>
        </w:rPr>
      </w:pPr>
    </w:p>
    <w:p w14:paraId="6EBD3BD2" w14:textId="7A869782" w:rsidR="00457BD0" w:rsidRPr="00FA5AA8" w:rsidRDefault="00CD188A" w:rsidP="00457BD0">
      <w:pPr>
        <w:spacing w:after="0" w:line="360" w:lineRule="auto"/>
        <w:rPr>
          <w:rFonts w:ascii="Arial" w:eastAsiaTheme="majorEastAsia" w:hAnsi="Arial" w:cs="Arial"/>
          <w:b/>
          <w:lang w:val="en-US"/>
        </w:rPr>
      </w:pPr>
      <w:r w:rsidRPr="00FA5AA8">
        <w:rPr>
          <w:rFonts w:ascii="Arial" w:eastAsiaTheme="majorEastAsia" w:hAnsi="Arial" w:cs="Arial"/>
          <w:b/>
          <w:lang w:val="en-US"/>
        </w:rPr>
        <w:t xml:space="preserve">Supplementary </w:t>
      </w:r>
      <w:r w:rsidR="00457BD0" w:rsidRPr="00FA5AA8">
        <w:rPr>
          <w:rFonts w:ascii="Arial" w:eastAsiaTheme="majorEastAsia" w:hAnsi="Arial" w:cs="Arial"/>
          <w:b/>
          <w:lang w:val="en-US"/>
        </w:rPr>
        <w:t xml:space="preserve">Results </w:t>
      </w:r>
    </w:p>
    <w:p w14:paraId="1538F475" w14:textId="77777777" w:rsidR="00457BD0" w:rsidRPr="00FA5AA8" w:rsidRDefault="00457BD0" w:rsidP="00457BD0">
      <w:pPr>
        <w:spacing w:line="360" w:lineRule="auto"/>
        <w:rPr>
          <w:rFonts w:ascii="Arial" w:hAnsi="Arial" w:cs="Arial"/>
          <w:i/>
          <w:iCs/>
          <w:lang w:val="en-US"/>
        </w:rPr>
      </w:pPr>
      <w:r w:rsidRPr="00FA5AA8">
        <w:rPr>
          <w:rFonts w:ascii="Arial" w:hAnsi="Arial" w:cs="Arial"/>
          <w:i/>
          <w:iCs/>
          <w:lang w:val="en-US"/>
        </w:rPr>
        <w:t>Relationship between physiological and behavioral correlates of ccPAS</w:t>
      </w:r>
    </w:p>
    <w:p w14:paraId="7B8BACB4" w14:textId="1D224D77" w:rsidR="00B8300D" w:rsidRPr="00FA5AA8" w:rsidRDefault="00457BD0" w:rsidP="35F05C04">
      <w:pPr>
        <w:spacing w:after="0" w:line="360" w:lineRule="auto"/>
        <w:ind w:firstLine="708"/>
        <w:rPr>
          <w:rFonts w:ascii="Arial" w:eastAsiaTheme="majorEastAsia" w:hAnsi="Arial" w:cs="Arial"/>
          <w:lang w:val="en-US"/>
        </w:rPr>
      </w:pPr>
      <w:r w:rsidRPr="00FA5AA8">
        <w:rPr>
          <w:rFonts w:ascii="Arial" w:eastAsiaTheme="majorEastAsia" w:hAnsi="Arial" w:cs="Arial"/>
          <w:lang w:val="en-US"/>
        </w:rPr>
        <w:t xml:space="preserve">The GLM </w:t>
      </w:r>
      <w:r w:rsidR="00DE3146" w:rsidRPr="00FA5AA8">
        <w:rPr>
          <w:rFonts w:ascii="Arial" w:eastAsiaTheme="majorEastAsia" w:hAnsi="Arial" w:cs="Arial"/>
          <w:lang w:val="en-US"/>
        </w:rPr>
        <w:t>revealed a Direction*MEP interaction (</w:t>
      </w:r>
      <w:r w:rsidR="00DE3146" w:rsidRPr="00FA5AA8">
        <w:rPr>
          <w:rFonts w:ascii="Arial" w:eastAsia="Calibri Light" w:hAnsi="Arial" w:cs="Arial"/>
          <w:lang w:val="en-US"/>
        </w:rPr>
        <w:t>F</w:t>
      </w:r>
      <w:r w:rsidR="00DE3146" w:rsidRPr="00FA5AA8">
        <w:rPr>
          <w:rFonts w:ascii="Arial" w:eastAsia="Calibri Light" w:hAnsi="Arial" w:cs="Arial"/>
          <w:vertAlign w:val="subscript"/>
          <w:lang w:val="en-US"/>
        </w:rPr>
        <w:t>1,</w:t>
      </w:r>
      <w:r w:rsidR="00DE3146" w:rsidRPr="00FA5AA8">
        <w:rPr>
          <w:rFonts w:ascii="Arial" w:eastAsiaTheme="majorEastAsia" w:hAnsi="Arial" w:cs="Arial"/>
          <w:vertAlign w:val="subscript"/>
          <w:lang w:val="en-US"/>
        </w:rPr>
        <w:t>52</w:t>
      </w:r>
      <w:r w:rsidR="00312606" w:rsidRPr="00FA5AA8">
        <w:rPr>
          <w:rFonts w:ascii="Arial" w:eastAsiaTheme="majorEastAsia" w:hAnsi="Arial" w:cs="Arial"/>
          <w:vertAlign w:val="subscript"/>
          <w:lang w:val="en-US"/>
        </w:rPr>
        <w:t xml:space="preserve"> </w:t>
      </w:r>
      <w:r w:rsidR="00DE3146" w:rsidRPr="00FA5AA8">
        <w:rPr>
          <w:rFonts w:ascii="Arial" w:eastAsia="Calibri Light" w:hAnsi="Arial" w:cs="Arial"/>
          <w:lang w:val="en-US"/>
        </w:rPr>
        <w:t>=</w:t>
      </w:r>
      <w:r w:rsidR="00312606" w:rsidRPr="00FA5AA8">
        <w:rPr>
          <w:rFonts w:ascii="Arial" w:eastAsia="Calibri Light" w:hAnsi="Arial" w:cs="Arial"/>
          <w:lang w:val="en-US"/>
        </w:rPr>
        <w:t xml:space="preserve"> </w:t>
      </w:r>
      <w:r w:rsidR="00DE3146" w:rsidRPr="00FA5AA8">
        <w:rPr>
          <w:rFonts w:ascii="Arial" w:eastAsiaTheme="majorEastAsia" w:hAnsi="Arial" w:cs="Arial"/>
          <w:lang w:val="en-US"/>
        </w:rPr>
        <w:t>4.27</w:t>
      </w:r>
      <w:r w:rsidR="00DE3146" w:rsidRPr="00FA5AA8">
        <w:rPr>
          <w:rFonts w:ascii="Arial" w:eastAsia="Calibri Light" w:hAnsi="Arial" w:cs="Arial"/>
          <w:lang w:val="en-US"/>
        </w:rPr>
        <w:t xml:space="preserve">; </w:t>
      </w:r>
      <w:r w:rsidR="00DE3146" w:rsidRPr="00FA5AA8">
        <w:rPr>
          <w:rFonts w:ascii="Arial" w:eastAsia="Calibri Light" w:hAnsi="Arial" w:cs="Arial"/>
          <w:i/>
          <w:iCs/>
          <w:lang w:val="en-US"/>
        </w:rPr>
        <w:t>p</w:t>
      </w:r>
      <w:r w:rsidR="00312606" w:rsidRPr="00FA5AA8">
        <w:rPr>
          <w:rFonts w:ascii="Arial" w:eastAsia="Calibri Light" w:hAnsi="Arial" w:cs="Arial"/>
          <w:i/>
          <w:iCs/>
          <w:lang w:val="en-US"/>
        </w:rPr>
        <w:t xml:space="preserve"> </w:t>
      </w:r>
      <w:r w:rsidR="00DE3146" w:rsidRPr="00FA5AA8">
        <w:rPr>
          <w:rFonts w:ascii="Arial" w:eastAsia="Calibri Light" w:hAnsi="Arial" w:cs="Arial"/>
          <w:i/>
          <w:iCs/>
          <w:lang w:val="en-US"/>
        </w:rPr>
        <w:t>=</w:t>
      </w:r>
      <w:r w:rsidR="00312606" w:rsidRPr="00FA5AA8">
        <w:rPr>
          <w:rFonts w:ascii="Arial" w:eastAsia="Calibri Light" w:hAnsi="Arial" w:cs="Arial"/>
          <w:i/>
          <w:iCs/>
          <w:lang w:val="en-US"/>
        </w:rPr>
        <w:t xml:space="preserve"> </w:t>
      </w:r>
      <w:r w:rsidR="00DE3146" w:rsidRPr="00FA5AA8">
        <w:rPr>
          <w:rFonts w:ascii="Arial" w:eastAsia="Calibri Light" w:hAnsi="Arial" w:cs="Arial"/>
          <w:lang w:val="en-US"/>
        </w:rPr>
        <w:t>0.044;</w:t>
      </w:r>
      <w:r w:rsidR="0060437D" w:rsidRPr="00FA5AA8">
        <w:rPr>
          <w:rFonts w:ascii="Arial" w:eastAsia="Calibri Light" w:hAnsi="Arial" w:cs="Arial"/>
          <w:lang w:val="en-US"/>
        </w:rPr>
        <w:t xml:space="preserve"> </w:t>
      </w:r>
      <w:r w:rsidR="0060437D" w:rsidRPr="00FA5AA8">
        <w:rPr>
          <w:rFonts w:ascii="Arial" w:eastAsia="Calibri Light" w:hAnsi="Arial" w:cs="Arial"/>
          <w:i/>
          <w:iCs/>
          <w:lang w:val="en-US"/>
        </w:rPr>
        <w:t>η</w:t>
      </w:r>
      <w:r w:rsidR="0060437D" w:rsidRPr="00FA5AA8">
        <w:rPr>
          <w:rFonts w:ascii="Arial" w:eastAsia="Calibri Light" w:hAnsi="Arial" w:cs="Arial"/>
          <w:i/>
          <w:iCs/>
          <w:vertAlign w:val="subscript"/>
          <w:lang w:val="en-US"/>
        </w:rPr>
        <w:t>p</w:t>
      </w:r>
      <w:r w:rsidR="0060437D"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60437D" w:rsidRPr="00FA5AA8">
        <w:rPr>
          <w:rFonts w:ascii="Arial" w:eastAsia="Calibri Light" w:hAnsi="Arial" w:cs="Arial"/>
          <w:lang w:val="en-US"/>
        </w:rPr>
        <w:t>=</w:t>
      </w:r>
      <w:r w:rsidR="00312606" w:rsidRPr="00FA5AA8">
        <w:rPr>
          <w:rFonts w:ascii="Arial" w:eastAsia="Calibri Light" w:hAnsi="Arial" w:cs="Arial"/>
          <w:lang w:val="en-US"/>
        </w:rPr>
        <w:t xml:space="preserve"> </w:t>
      </w:r>
      <w:r w:rsidR="0060437D" w:rsidRPr="00FA5AA8">
        <w:rPr>
          <w:rFonts w:ascii="Arial" w:eastAsia="Calibri Light" w:hAnsi="Arial" w:cs="Arial"/>
          <w:lang w:val="en-US"/>
        </w:rPr>
        <w:t>0.76</w:t>
      </w:r>
      <w:r w:rsidR="00DE3146" w:rsidRPr="00FA5AA8">
        <w:rPr>
          <w:rFonts w:ascii="Arial" w:eastAsiaTheme="majorEastAsia" w:hAnsi="Arial" w:cs="Arial"/>
          <w:lang w:val="en-US"/>
        </w:rPr>
        <w:t xml:space="preserve">) </w:t>
      </w:r>
      <w:r w:rsidR="0038787D" w:rsidRPr="00FA5AA8">
        <w:rPr>
          <w:rFonts w:ascii="Arial" w:eastAsiaTheme="majorEastAsia" w:hAnsi="Arial" w:cs="Arial"/>
          <w:lang w:val="en-US"/>
        </w:rPr>
        <w:t xml:space="preserve">in the context of a non-fully significant model </w:t>
      </w:r>
      <w:r w:rsidR="00FD5AF7" w:rsidRPr="00FA5AA8">
        <w:rPr>
          <w:rFonts w:ascii="Arial" w:eastAsiaTheme="majorEastAsia" w:hAnsi="Arial" w:cs="Arial"/>
          <w:lang w:val="en-US"/>
        </w:rPr>
        <w:t>(</w:t>
      </w:r>
      <w:r w:rsidR="00FD5AF7" w:rsidRPr="00FA5AA8">
        <w:rPr>
          <w:rFonts w:ascii="Arial" w:eastAsia="Calibri Light" w:hAnsi="Arial" w:cs="Arial"/>
          <w:lang w:val="en-US"/>
        </w:rPr>
        <w:t>F</w:t>
      </w:r>
      <w:r w:rsidR="000C5272" w:rsidRPr="00FA5AA8">
        <w:rPr>
          <w:rFonts w:ascii="Arial" w:eastAsia="Calibri Light" w:hAnsi="Arial" w:cs="Arial"/>
          <w:vertAlign w:val="subscript"/>
          <w:lang w:val="en-US"/>
        </w:rPr>
        <w:t>7</w:t>
      </w:r>
      <w:r w:rsidR="00FD5AF7" w:rsidRPr="00FA5AA8">
        <w:rPr>
          <w:rFonts w:ascii="Arial" w:eastAsia="Calibri Light" w:hAnsi="Arial" w:cs="Arial"/>
          <w:vertAlign w:val="subscript"/>
          <w:lang w:val="en-US"/>
        </w:rPr>
        <w:t>,</w:t>
      </w:r>
      <w:r w:rsidR="00FD5AF7" w:rsidRPr="00FA5AA8">
        <w:rPr>
          <w:rFonts w:ascii="Arial" w:eastAsiaTheme="majorEastAsia" w:hAnsi="Arial" w:cs="Arial"/>
          <w:vertAlign w:val="subscript"/>
          <w:lang w:val="en-US"/>
        </w:rPr>
        <w:t>5</w:t>
      </w:r>
      <w:r w:rsidR="000C5272" w:rsidRPr="00FA5AA8">
        <w:rPr>
          <w:rFonts w:ascii="Arial" w:eastAsiaTheme="majorEastAsia" w:hAnsi="Arial" w:cs="Arial"/>
          <w:vertAlign w:val="subscript"/>
          <w:lang w:val="en-US"/>
        </w:rPr>
        <w:t>2</w:t>
      </w:r>
      <w:r w:rsidR="00312606" w:rsidRPr="00FA5AA8">
        <w:rPr>
          <w:rFonts w:ascii="Arial" w:eastAsiaTheme="majorEastAsia" w:hAnsi="Arial" w:cs="Arial"/>
          <w:vertAlign w:val="subscript"/>
          <w:lang w:val="en-US"/>
        </w:rPr>
        <w:t xml:space="preserve"> </w:t>
      </w:r>
      <w:r w:rsidR="00FD5AF7" w:rsidRPr="00FA5AA8">
        <w:rPr>
          <w:rFonts w:ascii="Arial" w:eastAsia="Calibri Light" w:hAnsi="Arial" w:cs="Arial"/>
          <w:lang w:val="en-US"/>
        </w:rPr>
        <w:t>=</w:t>
      </w:r>
      <w:r w:rsidR="00312606" w:rsidRPr="00FA5AA8">
        <w:rPr>
          <w:rFonts w:ascii="Arial" w:eastAsia="Calibri Light" w:hAnsi="Arial" w:cs="Arial"/>
          <w:lang w:val="en-US"/>
        </w:rPr>
        <w:t xml:space="preserve"> </w:t>
      </w:r>
      <w:r w:rsidR="00854043" w:rsidRPr="00FA5AA8">
        <w:rPr>
          <w:rFonts w:ascii="Arial" w:eastAsiaTheme="majorEastAsia" w:hAnsi="Arial" w:cs="Arial"/>
          <w:lang w:val="en-US"/>
        </w:rPr>
        <w:t>1.31</w:t>
      </w:r>
      <w:r w:rsidR="00FD5AF7" w:rsidRPr="00FA5AA8">
        <w:rPr>
          <w:rFonts w:ascii="Arial" w:eastAsia="Calibri Light" w:hAnsi="Arial" w:cs="Arial"/>
          <w:lang w:val="en-US"/>
        </w:rPr>
        <w:t xml:space="preserve">; </w:t>
      </w:r>
      <w:r w:rsidR="00DE3146" w:rsidRPr="00FA5AA8">
        <w:rPr>
          <w:rFonts w:ascii="Arial" w:eastAsiaTheme="majorEastAsia" w:hAnsi="Arial" w:cs="Arial"/>
          <w:i/>
          <w:iCs/>
          <w:lang w:val="en-US"/>
        </w:rPr>
        <w:t>p</w:t>
      </w:r>
      <w:r w:rsidR="00312606" w:rsidRPr="00FA5AA8">
        <w:rPr>
          <w:rFonts w:ascii="Arial" w:eastAsiaTheme="majorEastAsia" w:hAnsi="Arial" w:cs="Arial"/>
          <w:i/>
          <w:iCs/>
          <w:lang w:val="en-US"/>
        </w:rPr>
        <w:t xml:space="preserve"> </w:t>
      </w:r>
      <w:r w:rsidR="00DE3146"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DE3146" w:rsidRPr="00FA5AA8">
        <w:rPr>
          <w:rFonts w:ascii="Arial" w:eastAsiaTheme="majorEastAsia" w:hAnsi="Arial" w:cs="Arial"/>
          <w:lang w:val="en-US"/>
        </w:rPr>
        <w:t>0.26</w:t>
      </w:r>
      <w:r w:rsidR="00012E8C" w:rsidRPr="00FA5AA8">
        <w:rPr>
          <w:rFonts w:ascii="Arial" w:eastAsia="Calibri Light" w:hAnsi="Arial" w:cs="Arial"/>
          <w:lang w:val="en-US"/>
        </w:rPr>
        <w:t xml:space="preserve">; </w:t>
      </w:r>
      <w:r w:rsidR="00530BF0" w:rsidRPr="00FA5AA8">
        <w:rPr>
          <w:rFonts w:ascii="Arial" w:eastAsia="Calibri Light" w:hAnsi="Arial" w:cs="Arial"/>
          <w:i/>
          <w:iCs/>
          <w:lang w:val="en-US"/>
        </w:rPr>
        <w:t>η</w:t>
      </w:r>
      <w:r w:rsidR="00530BF0" w:rsidRPr="00FA5AA8">
        <w:rPr>
          <w:rFonts w:ascii="Arial" w:eastAsia="Calibri Light" w:hAnsi="Arial" w:cs="Arial"/>
          <w:i/>
          <w:iCs/>
          <w:vertAlign w:val="subscript"/>
          <w:lang w:val="en-US"/>
        </w:rPr>
        <w:t>p</w:t>
      </w:r>
      <w:r w:rsidR="00530BF0"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0C5272" w:rsidRPr="00FA5AA8">
        <w:rPr>
          <w:rFonts w:ascii="Arial" w:eastAsia="Calibri Light" w:hAnsi="Arial" w:cs="Arial"/>
          <w:lang w:val="en-US"/>
        </w:rPr>
        <w:t>=</w:t>
      </w:r>
      <w:r w:rsidR="00312606" w:rsidRPr="00FA5AA8">
        <w:rPr>
          <w:rFonts w:ascii="Arial" w:eastAsia="Calibri Light" w:hAnsi="Arial" w:cs="Arial"/>
          <w:lang w:val="en-US"/>
        </w:rPr>
        <w:t xml:space="preserve"> </w:t>
      </w:r>
      <w:r w:rsidR="000C5272" w:rsidRPr="00FA5AA8">
        <w:rPr>
          <w:rFonts w:ascii="Arial" w:eastAsia="Calibri Light" w:hAnsi="Arial" w:cs="Arial"/>
          <w:lang w:val="en-US"/>
        </w:rPr>
        <w:t xml:space="preserve">0.15; </w:t>
      </w:r>
      <w:r w:rsidR="00012E8C" w:rsidRPr="00FA5AA8">
        <w:rPr>
          <w:rFonts w:ascii="Arial" w:eastAsiaTheme="majorEastAsia" w:hAnsi="Arial" w:cs="Arial"/>
          <w:vertAlign w:val="subscript"/>
          <w:lang w:val="en-US"/>
        </w:rPr>
        <w:t>adj</w:t>
      </w:r>
      <w:r w:rsidR="00012E8C" w:rsidRPr="00FA5AA8">
        <w:rPr>
          <w:rFonts w:ascii="Arial" w:eastAsiaTheme="majorEastAsia" w:hAnsi="Arial" w:cs="Arial"/>
          <w:lang w:val="en-US"/>
        </w:rPr>
        <w:t>R</w:t>
      </w:r>
      <w:r w:rsidR="00012E8C" w:rsidRPr="00FA5AA8">
        <w:rPr>
          <w:rFonts w:ascii="Arial" w:eastAsiaTheme="majorEastAsia" w:hAnsi="Arial" w:cs="Arial"/>
          <w:vertAlign w:val="superscript"/>
          <w:lang w:val="en-US"/>
        </w:rPr>
        <w:t>2</w:t>
      </w:r>
      <w:r w:rsidR="00312606" w:rsidRPr="00FA5AA8">
        <w:rPr>
          <w:rFonts w:ascii="Arial" w:eastAsiaTheme="majorEastAsia" w:hAnsi="Arial" w:cs="Arial"/>
          <w:vertAlign w:val="superscript"/>
          <w:lang w:val="en-US"/>
        </w:rPr>
        <w:t xml:space="preserve"> </w:t>
      </w:r>
      <w:r w:rsidR="00012E8C"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012E8C" w:rsidRPr="00FA5AA8">
        <w:rPr>
          <w:rFonts w:ascii="Arial" w:eastAsiaTheme="majorEastAsia" w:hAnsi="Arial" w:cs="Arial"/>
          <w:lang w:val="en-US"/>
        </w:rPr>
        <w:t>0.036</w:t>
      </w:r>
      <w:r w:rsidR="00DE3146" w:rsidRPr="00FA5AA8">
        <w:rPr>
          <w:rFonts w:ascii="Arial" w:eastAsiaTheme="majorEastAsia" w:hAnsi="Arial" w:cs="Arial"/>
          <w:lang w:val="en-US"/>
        </w:rPr>
        <w:t>)</w:t>
      </w:r>
      <w:r w:rsidR="0060437D" w:rsidRPr="00FA5AA8">
        <w:rPr>
          <w:rFonts w:ascii="Arial" w:eastAsiaTheme="majorEastAsia" w:hAnsi="Arial" w:cs="Arial"/>
          <w:lang w:val="en-US"/>
        </w:rPr>
        <w:t>.</w:t>
      </w:r>
      <w:r w:rsidR="00DE3146" w:rsidRPr="00FA5AA8">
        <w:rPr>
          <w:rFonts w:ascii="Arial" w:eastAsiaTheme="majorEastAsia" w:hAnsi="Arial" w:cs="Arial"/>
          <w:lang w:val="en-US"/>
        </w:rPr>
        <w:t xml:space="preserve"> </w:t>
      </w:r>
      <w:r w:rsidR="0060437D" w:rsidRPr="00FA5AA8">
        <w:rPr>
          <w:rFonts w:ascii="Arial" w:eastAsiaTheme="majorEastAsia" w:hAnsi="Arial" w:cs="Arial"/>
          <w:lang w:val="en-US"/>
        </w:rPr>
        <w:t>T</w:t>
      </w:r>
      <w:r w:rsidR="00DE3146" w:rsidRPr="00FA5AA8">
        <w:rPr>
          <w:rFonts w:ascii="Arial" w:eastAsiaTheme="majorEastAsia" w:hAnsi="Arial" w:cs="Arial"/>
          <w:lang w:val="en-US"/>
        </w:rPr>
        <w:t xml:space="preserve">hus, a </w:t>
      </w:r>
      <w:r w:rsidR="00D8445E" w:rsidRPr="00FA5AA8">
        <w:rPr>
          <w:rFonts w:ascii="Arial" w:eastAsiaTheme="majorEastAsia" w:hAnsi="Arial" w:cs="Arial"/>
          <w:lang w:val="en-US"/>
        </w:rPr>
        <w:t xml:space="preserve">second </w:t>
      </w:r>
      <w:r w:rsidR="0038787D" w:rsidRPr="00FA5AA8">
        <w:rPr>
          <w:rFonts w:ascii="Arial" w:eastAsiaTheme="majorEastAsia" w:hAnsi="Arial" w:cs="Arial"/>
          <w:lang w:val="en-US"/>
        </w:rPr>
        <w:t xml:space="preserve">model was ran </w:t>
      </w:r>
      <w:r w:rsidR="000835D4" w:rsidRPr="00FA5AA8">
        <w:rPr>
          <w:rFonts w:ascii="Arial" w:eastAsiaTheme="majorEastAsia" w:hAnsi="Arial" w:cs="Arial"/>
          <w:lang w:val="en-US"/>
        </w:rPr>
        <w:t>narrowing the predictors to</w:t>
      </w:r>
      <w:r w:rsidR="00DE3146" w:rsidRPr="00FA5AA8">
        <w:rPr>
          <w:rFonts w:ascii="Arial" w:eastAsiaTheme="majorEastAsia" w:hAnsi="Arial" w:cs="Arial"/>
          <w:lang w:val="en-US"/>
        </w:rPr>
        <w:t xml:space="preserve"> </w:t>
      </w:r>
      <w:r w:rsidR="004C0898" w:rsidRPr="00FA5AA8">
        <w:rPr>
          <w:rFonts w:ascii="Arial" w:eastAsiaTheme="majorEastAsia" w:hAnsi="Arial" w:cs="Arial"/>
          <w:lang w:val="en-US"/>
        </w:rPr>
        <w:t>Direction (forward, reverse) and MEP modulation (last-first Epoch)</w:t>
      </w:r>
      <w:r w:rsidR="00DE3146" w:rsidRPr="00FA5AA8">
        <w:rPr>
          <w:rFonts w:ascii="Arial" w:eastAsiaTheme="majorEastAsia" w:hAnsi="Arial" w:cs="Arial"/>
          <w:lang w:val="en-US"/>
        </w:rPr>
        <w:t xml:space="preserve">, </w:t>
      </w:r>
      <w:r w:rsidR="00B8300D" w:rsidRPr="00FA5AA8">
        <w:rPr>
          <w:rFonts w:ascii="Arial" w:eastAsiaTheme="majorEastAsia" w:hAnsi="Arial" w:cs="Arial"/>
          <w:lang w:val="en-US"/>
        </w:rPr>
        <w:t xml:space="preserve">and </w:t>
      </w:r>
      <w:r w:rsidR="00DE3146" w:rsidRPr="00FA5AA8">
        <w:rPr>
          <w:rFonts w:ascii="Arial" w:eastAsiaTheme="majorEastAsia" w:hAnsi="Arial" w:cs="Arial"/>
          <w:lang w:val="en-US"/>
        </w:rPr>
        <w:t>resulting in a significant model (</w:t>
      </w:r>
      <w:r w:rsidR="00DA3F7C" w:rsidRPr="00FA5AA8">
        <w:rPr>
          <w:rFonts w:ascii="Arial" w:eastAsia="Calibri Light" w:hAnsi="Arial" w:cs="Arial"/>
          <w:lang w:val="en-US"/>
        </w:rPr>
        <w:t>F</w:t>
      </w:r>
      <w:r w:rsidR="001A666A" w:rsidRPr="00FA5AA8">
        <w:rPr>
          <w:rFonts w:ascii="Arial" w:eastAsia="Calibri Light" w:hAnsi="Arial" w:cs="Arial"/>
          <w:vertAlign w:val="subscript"/>
          <w:lang w:val="en-US"/>
        </w:rPr>
        <w:t>3</w:t>
      </w:r>
      <w:r w:rsidR="00DA3F7C" w:rsidRPr="00FA5AA8">
        <w:rPr>
          <w:rFonts w:ascii="Arial" w:eastAsia="Calibri Light" w:hAnsi="Arial" w:cs="Arial"/>
          <w:vertAlign w:val="subscript"/>
          <w:lang w:val="en-US"/>
        </w:rPr>
        <w:t>,</w:t>
      </w:r>
      <w:r w:rsidR="00DA3F7C" w:rsidRPr="00FA5AA8">
        <w:rPr>
          <w:rFonts w:ascii="Arial" w:eastAsiaTheme="majorEastAsia" w:hAnsi="Arial" w:cs="Arial"/>
          <w:vertAlign w:val="subscript"/>
          <w:lang w:val="en-US"/>
        </w:rPr>
        <w:t>5</w:t>
      </w:r>
      <w:r w:rsidR="001A666A" w:rsidRPr="00FA5AA8">
        <w:rPr>
          <w:rFonts w:ascii="Arial" w:eastAsiaTheme="majorEastAsia" w:hAnsi="Arial" w:cs="Arial"/>
          <w:vertAlign w:val="subscript"/>
          <w:lang w:val="en-US"/>
        </w:rPr>
        <w:t>6</w:t>
      </w:r>
      <w:r w:rsidR="00312606" w:rsidRPr="00FA5AA8">
        <w:rPr>
          <w:rFonts w:ascii="Arial" w:eastAsiaTheme="majorEastAsia" w:hAnsi="Arial" w:cs="Arial"/>
          <w:vertAlign w:val="subscript"/>
          <w:lang w:val="en-US"/>
        </w:rPr>
        <w:t xml:space="preserve"> </w:t>
      </w:r>
      <w:r w:rsidR="00DA3F7C" w:rsidRPr="00FA5AA8">
        <w:rPr>
          <w:rFonts w:ascii="Arial" w:eastAsia="Calibri Light" w:hAnsi="Arial" w:cs="Arial"/>
          <w:lang w:val="en-US"/>
        </w:rPr>
        <w:t>=</w:t>
      </w:r>
      <w:r w:rsidR="00312606" w:rsidRPr="00FA5AA8">
        <w:rPr>
          <w:rFonts w:ascii="Arial" w:eastAsia="Calibri Light" w:hAnsi="Arial" w:cs="Arial"/>
          <w:lang w:val="en-US"/>
        </w:rPr>
        <w:t xml:space="preserve"> </w:t>
      </w:r>
      <w:r w:rsidR="004E7936" w:rsidRPr="00FA5AA8">
        <w:rPr>
          <w:rFonts w:ascii="Arial" w:eastAsiaTheme="majorEastAsia" w:hAnsi="Arial" w:cs="Arial"/>
          <w:lang w:val="en-US"/>
        </w:rPr>
        <w:t>2.99</w:t>
      </w:r>
      <w:r w:rsidR="00DA3F7C" w:rsidRPr="00FA5AA8">
        <w:rPr>
          <w:rFonts w:ascii="Arial" w:eastAsia="Calibri Light" w:hAnsi="Arial" w:cs="Arial"/>
          <w:lang w:val="en-US"/>
        </w:rPr>
        <w:t xml:space="preserve">; </w:t>
      </w:r>
      <w:r w:rsidR="004E7936" w:rsidRPr="00FA5AA8">
        <w:rPr>
          <w:rFonts w:ascii="Arial" w:eastAsiaTheme="majorEastAsia" w:hAnsi="Arial" w:cs="Arial"/>
          <w:i/>
          <w:iCs/>
          <w:lang w:val="en-US"/>
        </w:rPr>
        <w:t>p</w:t>
      </w:r>
      <w:r w:rsidR="00312606" w:rsidRPr="00FA5AA8">
        <w:rPr>
          <w:rFonts w:ascii="Arial" w:eastAsiaTheme="majorEastAsia" w:hAnsi="Arial" w:cs="Arial"/>
          <w:i/>
          <w:iCs/>
          <w:lang w:val="en-US"/>
        </w:rPr>
        <w:t xml:space="preserve"> </w:t>
      </w:r>
      <w:r w:rsidR="004E7936"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4E7936" w:rsidRPr="00FA5AA8">
        <w:rPr>
          <w:rFonts w:ascii="Arial" w:eastAsiaTheme="majorEastAsia" w:hAnsi="Arial" w:cs="Arial"/>
          <w:lang w:val="en-US"/>
        </w:rPr>
        <w:t>0.038</w:t>
      </w:r>
      <w:r w:rsidR="00DA3F7C" w:rsidRPr="00FA5AA8">
        <w:rPr>
          <w:rFonts w:ascii="Arial" w:eastAsia="Calibri Light" w:hAnsi="Arial" w:cs="Arial"/>
          <w:lang w:val="en-US"/>
        </w:rPr>
        <w:t xml:space="preserve">; </w:t>
      </w:r>
      <w:r w:rsidR="00530BF0" w:rsidRPr="00FA5AA8">
        <w:rPr>
          <w:rFonts w:ascii="Arial" w:eastAsia="Calibri Light" w:hAnsi="Arial" w:cs="Arial"/>
          <w:i/>
          <w:iCs/>
          <w:lang w:val="en-US"/>
        </w:rPr>
        <w:t>η</w:t>
      </w:r>
      <w:r w:rsidR="00530BF0" w:rsidRPr="00FA5AA8">
        <w:rPr>
          <w:rFonts w:ascii="Arial" w:eastAsia="Calibri Light" w:hAnsi="Arial" w:cs="Arial"/>
          <w:i/>
          <w:iCs/>
          <w:vertAlign w:val="subscript"/>
          <w:lang w:val="en-US"/>
        </w:rPr>
        <w:t>p</w:t>
      </w:r>
      <w:r w:rsidR="00530BF0"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DA3F7C" w:rsidRPr="00FA5AA8">
        <w:rPr>
          <w:rFonts w:ascii="Arial" w:eastAsia="Calibri Light" w:hAnsi="Arial" w:cs="Arial"/>
          <w:lang w:val="en-US"/>
        </w:rPr>
        <w:t>=</w:t>
      </w:r>
      <w:r w:rsidR="00312606" w:rsidRPr="00FA5AA8">
        <w:rPr>
          <w:rFonts w:ascii="Arial" w:eastAsia="Calibri Light" w:hAnsi="Arial" w:cs="Arial"/>
          <w:lang w:val="en-US"/>
        </w:rPr>
        <w:t xml:space="preserve"> </w:t>
      </w:r>
      <w:r w:rsidR="00DA3F7C" w:rsidRPr="00FA5AA8">
        <w:rPr>
          <w:rFonts w:ascii="Arial" w:eastAsia="Calibri Light" w:hAnsi="Arial" w:cs="Arial"/>
          <w:lang w:val="en-US"/>
        </w:rPr>
        <w:t>0.</w:t>
      </w:r>
      <w:r w:rsidR="004E7936" w:rsidRPr="00FA5AA8">
        <w:rPr>
          <w:rFonts w:ascii="Arial" w:eastAsia="Calibri Light" w:hAnsi="Arial" w:cs="Arial"/>
          <w:lang w:val="en-US"/>
        </w:rPr>
        <w:t>14</w:t>
      </w:r>
      <w:r w:rsidR="00012E8C" w:rsidRPr="00FA5AA8">
        <w:rPr>
          <w:rFonts w:ascii="Arial" w:eastAsia="Calibri Light" w:hAnsi="Arial" w:cs="Arial"/>
          <w:lang w:val="en-US"/>
        </w:rPr>
        <w:t xml:space="preserve">; </w:t>
      </w:r>
      <w:r w:rsidR="00012E8C" w:rsidRPr="00FA5AA8">
        <w:rPr>
          <w:rFonts w:ascii="Arial" w:eastAsiaTheme="majorEastAsia" w:hAnsi="Arial" w:cs="Arial"/>
          <w:vertAlign w:val="subscript"/>
          <w:lang w:val="en-US"/>
        </w:rPr>
        <w:t>adj</w:t>
      </w:r>
      <w:r w:rsidR="00012E8C" w:rsidRPr="00FA5AA8">
        <w:rPr>
          <w:rFonts w:ascii="Arial" w:eastAsiaTheme="majorEastAsia" w:hAnsi="Arial" w:cs="Arial"/>
          <w:lang w:val="en-US"/>
        </w:rPr>
        <w:t>R</w:t>
      </w:r>
      <w:r w:rsidR="00012E8C" w:rsidRPr="00FA5AA8">
        <w:rPr>
          <w:rFonts w:ascii="Arial" w:eastAsiaTheme="majorEastAsia" w:hAnsi="Arial" w:cs="Arial"/>
          <w:vertAlign w:val="superscript"/>
          <w:lang w:val="en-US"/>
        </w:rPr>
        <w:t>2</w:t>
      </w:r>
      <w:r w:rsidR="00312606" w:rsidRPr="00FA5AA8">
        <w:rPr>
          <w:rFonts w:ascii="Arial" w:eastAsiaTheme="majorEastAsia" w:hAnsi="Arial" w:cs="Arial"/>
          <w:vertAlign w:val="superscript"/>
          <w:lang w:val="en-US"/>
        </w:rPr>
        <w:t xml:space="preserve"> </w:t>
      </w:r>
      <w:r w:rsidR="00012E8C"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012E8C" w:rsidRPr="00FA5AA8">
        <w:rPr>
          <w:rFonts w:ascii="Arial" w:eastAsiaTheme="majorEastAsia" w:hAnsi="Arial" w:cs="Arial"/>
          <w:lang w:val="en-US"/>
        </w:rPr>
        <w:t>0.092</w:t>
      </w:r>
      <w:r w:rsidR="00DE3146" w:rsidRPr="00FA5AA8">
        <w:rPr>
          <w:rFonts w:ascii="Arial" w:eastAsiaTheme="majorEastAsia" w:hAnsi="Arial" w:cs="Arial"/>
          <w:lang w:val="en-US"/>
        </w:rPr>
        <w:t xml:space="preserve">) driven by </w:t>
      </w:r>
      <w:r w:rsidR="000C5272" w:rsidRPr="00FA5AA8">
        <w:rPr>
          <w:rFonts w:ascii="Arial" w:eastAsiaTheme="majorEastAsia" w:hAnsi="Arial" w:cs="Arial"/>
          <w:lang w:val="en-US"/>
        </w:rPr>
        <w:t>the</w:t>
      </w:r>
      <w:r w:rsidR="00DE3146" w:rsidRPr="00FA5AA8">
        <w:rPr>
          <w:rFonts w:ascii="Arial" w:eastAsiaTheme="majorEastAsia" w:hAnsi="Arial" w:cs="Arial"/>
          <w:lang w:val="en-US"/>
        </w:rPr>
        <w:t xml:space="preserve"> Direction*MEP interaction (</w:t>
      </w:r>
      <w:r w:rsidR="00DE3146" w:rsidRPr="00FA5AA8">
        <w:rPr>
          <w:rFonts w:ascii="Arial" w:eastAsia="Calibri Light" w:hAnsi="Arial" w:cs="Arial"/>
          <w:lang w:val="en-US"/>
        </w:rPr>
        <w:t>F</w:t>
      </w:r>
      <w:r w:rsidR="00DE3146" w:rsidRPr="00FA5AA8">
        <w:rPr>
          <w:rFonts w:ascii="Arial" w:eastAsia="Calibri Light" w:hAnsi="Arial" w:cs="Arial"/>
          <w:vertAlign w:val="subscript"/>
          <w:lang w:val="en-US"/>
        </w:rPr>
        <w:t>1,</w:t>
      </w:r>
      <w:r w:rsidR="00DE3146" w:rsidRPr="00FA5AA8">
        <w:rPr>
          <w:rFonts w:ascii="Arial" w:eastAsiaTheme="majorEastAsia" w:hAnsi="Arial" w:cs="Arial"/>
          <w:vertAlign w:val="subscript"/>
          <w:lang w:val="en-US"/>
        </w:rPr>
        <w:t>56</w:t>
      </w:r>
      <w:r w:rsidR="00312606" w:rsidRPr="00FA5AA8">
        <w:rPr>
          <w:rFonts w:ascii="Arial" w:eastAsiaTheme="majorEastAsia" w:hAnsi="Arial" w:cs="Arial"/>
          <w:vertAlign w:val="subscript"/>
          <w:lang w:val="en-US"/>
        </w:rPr>
        <w:t xml:space="preserve"> </w:t>
      </w:r>
      <w:r w:rsidR="00DE3146" w:rsidRPr="00FA5AA8">
        <w:rPr>
          <w:rFonts w:ascii="Arial" w:eastAsia="Calibri Light" w:hAnsi="Arial" w:cs="Arial"/>
          <w:lang w:val="en-US"/>
        </w:rPr>
        <w:t>=</w:t>
      </w:r>
      <w:r w:rsidR="00312606" w:rsidRPr="00FA5AA8">
        <w:rPr>
          <w:rFonts w:ascii="Arial" w:eastAsia="Calibri Light" w:hAnsi="Arial" w:cs="Arial"/>
          <w:lang w:val="en-US"/>
        </w:rPr>
        <w:t xml:space="preserve"> </w:t>
      </w:r>
      <w:r w:rsidR="00DE3146" w:rsidRPr="00FA5AA8">
        <w:rPr>
          <w:rFonts w:ascii="Arial" w:eastAsiaTheme="majorEastAsia" w:hAnsi="Arial" w:cs="Arial"/>
          <w:lang w:val="en-US"/>
        </w:rPr>
        <w:t>6.39</w:t>
      </w:r>
      <w:r w:rsidR="00DE3146" w:rsidRPr="00FA5AA8">
        <w:rPr>
          <w:rFonts w:ascii="Arial" w:eastAsia="Calibri Light" w:hAnsi="Arial" w:cs="Arial"/>
          <w:lang w:val="en-US"/>
        </w:rPr>
        <w:t xml:space="preserve">; </w:t>
      </w:r>
      <w:r w:rsidR="00DE3146" w:rsidRPr="00FA5AA8">
        <w:rPr>
          <w:rFonts w:ascii="Arial" w:eastAsia="Calibri Light" w:hAnsi="Arial" w:cs="Arial"/>
          <w:i/>
          <w:iCs/>
          <w:lang w:val="en-US"/>
        </w:rPr>
        <w:t>p</w:t>
      </w:r>
      <w:r w:rsidR="00312606" w:rsidRPr="00FA5AA8">
        <w:rPr>
          <w:rFonts w:ascii="Arial" w:eastAsia="Calibri Light" w:hAnsi="Arial" w:cs="Arial"/>
          <w:i/>
          <w:iCs/>
          <w:lang w:val="en-US"/>
        </w:rPr>
        <w:t xml:space="preserve"> </w:t>
      </w:r>
      <w:r w:rsidR="00DE3146" w:rsidRPr="00FA5AA8">
        <w:rPr>
          <w:rFonts w:ascii="Arial" w:eastAsia="Calibri Light" w:hAnsi="Arial" w:cs="Arial"/>
          <w:i/>
          <w:iCs/>
          <w:lang w:val="en-US"/>
        </w:rPr>
        <w:t>=</w:t>
      </w:r>
      <w:r w:rsidR="00312606" w:rsidRPr="00FA5AA8">
        <w:rPr>
          <w:rFonts w:ascii="Arial" w:eastAsia="Calibri Light" w:hAnsi="Arial" w:cs="Arial"/>
          <w:i/>
          <w:iCs/>
          <w:lang w:val="en-US"/>
        </w:rPr>
        <w:t xml:space="preserve"> </w:t>
      </w:r>
      <w:r w:rsidR="00DE3146" w:rsidRPr="00FA5AA8">
        <w:rPr>
          <w:rFonts w:ascii="Arial" w:eastAsia="Calibri Light" w:hAnsi="Arial" w:cs="Arial"/>
          <w:lang w:val="en-US"/>
        </w:rPr>
        <w:t>0.014;</w:t>
      </w:r>
      <w:r w:rsidR="00BE474B" w:rsidRPr="00FA5AA8">
        <w:rPr>
          <w:rFonts w:ascii="Arial" w:eastAsia="Calibri Light" w:hAnsi="Arial" w:cs="Arial"/>
          <w:lang w:val="en-US"/>
        </w:rPr>
        <w:t xml:space="preserve"> </w:t>
      </w:r>
      <w:r w:rsidR="00530BF0" w:rsidRPr="00FA5AA8">
        <w:rPr>
          <w:rFonts w:ascii="Arial" w:eastAsia="Calibri Light" w:hAnsi="Arial" w:cs="Arial"/>
          <w:i/>
          <w:iCs/>
          <w:lang w:val="en-US"/>
        </w:rPr>
        <w:t>η</w:t>
      </w:r>
      <w:r w:rsidR="00530BF0" w:rsidRPr="00FA5AA8">
        <w:rPr>
          <w:rFonts w:ascii="Arial" w:eastAsia="Calibri Light" w:hAnsi="Arial" w:cs="Arial"/>
          <w:i/>
          <w:iCs/>
          <w:vertAlign w:val="subscript"/>
          <w:lang w:val="en-US"/>
        </w:rPr>
        <w:t>p</w:t>
      </w:r>
      <w:r w:rsidR="00530BF0"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BE474B" w:rsidRPr="00FA5AA8">
        <w:rPr>
          <w:rFonts w:ascii="Arial" w:eastAsia="Calibri Light" w:hAnsi="Arial" w:cs="Arial"/>
          <w:lang w:val="en-US"/>
        </w:rPr>
        <w:t>=</w:t>
      </w:r>
      <w:r w:rsidR="00312606" w:rsidRPr="00FA5AA8">
        <w:rPr>
          <w:rFonts w:ascii="Arial" w:eastAsia="Calibri Light" w:hAnsi="Arial" w:cs="Arial"/>
          <w:lang w:val="en-US"/>
        </w:rPr>
        <w:t xml:space="preserve"> </w:t>
      </w:r>
      <w:r w:rsidR="00BE474B" w:rsidRPr="00FA5AA8">
        <w:rPr>
          <w:rFonts w:ascii="Arial" w:eastAsia="Calibri Light" w:hAnsi="Arial" w:cs="Arial"/>
          <w:lang w:val="en-US"/>
        </w:rPr>
        <w:t>0.10</w:t>
      </w:r>
      <w:r w:rsidR="00DE3146" w:rsidRPr="00FA5AA8">
        <w:rPr>
          <w:rFonts w:ascii="Arial" w:eastAsiaTheme="majorEastAsia" w:hAnsi="Arial" w:cs="Arial"/>
          <w:lang w:val="en-US"/>
        </w:rPr>
        <w:t xml:space="preserve">). </w:t>
      </w:r>
      <w:r w:rsidR="00D8445E" w:rsidRPr="00FA5AA8">
        <w:rPr>
          <w:rFonts w:ascii="Arial" w:eastAsiaTheme="majorEastAsia" w:hAnsi="Arial" w:cs="Arial"/>
          <w:lang w:val="en-US"/>
        </w:rPr>
        <w:t>Specifically, t</w:t>
      </w:r>
      <w:r w:rsidR="00DE3146" w:rsidRPr="00FA5AA8">
        <w:rPr>
          <w:rFonts w:ascii="Arial" w:eastAsiaTheme="majorEastAsia" w:hAnsi="Arial" w:cs="Arial"/>
          <w:lang w:val="en-US"/>
        </w:rPr>
        <w:t>he extent of</w:t>
      </w:r>
      <w:r w:rsidR="00D8445E" w:rsidRPr="00FA5AA8">
        <w:rPr>
          <w:rFonts w:ascii="Arial" w:eastAsiaTheme="majorEastAsia" w:hAnsi="Arial" w:cs="Arial"/>
          <w:lang w:val="en-US"/>
        </w:rPr>
        <w:t xml:space="preserve"> physiological</w:t>
      </w:r>
      <w:r w:rsidR="00DE3146" w:rsidRPr="00FA5AA8">
        <w:rPr>
          <w:rFonts w:ascii="Arial" w:eastAsiaTheme="majorEastAsia" w:hAnsi="Arial" w:cs="Arial"/>
          <w:lang w:val="en-US"/>
        </w:rPr>
        <w:t xml:space="preserve"> modulation significantly predicted behavior in the forward (</w:t>
      </w:r>
      <w:r w:rsidR="00A63806" w:rsidRPr="00FA5AA8">
        <w:rPr>
          <w:rFonts w:ascii="Arial" w:eastAsiaTheme="majorEastAsia" w:hAnsi="Arial" w:cs="Arial"/>
          <w:lang w:val="en-US"/>
        </w:rPr>
        <w:t>β</w:t>
      </w:r>
      <w:r w:rsidR="00312606" w:rsidRPr="00FA5AA8">
        <w:rPr>
          <w:rFonts w:ascii="Arial" w:eastAsiaTheme="majorEastAsia" w:hAnsi="Arial" w:cs="Arial"/>
          <w:lang w:val="en-US"/>
        </w:rPr>
        <w:t xml:space="preserve"> </w:t>
      </w:r>
      <w:r w:rsidR="003A6EAA"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3A6EAA" w:rsidRPr="00FA5AA8">
        <w:rPr>
          <w:rFonts w:ascii="Arial" w:eastAsiaTheme="majorEastAsia" w:hAnsi="Arial" w:cs="Arial"/>
          <w:lang w:val="en-US"/>
        </w:rPr>
        <w:t xml:space="preserve">58.65; </w:t>
      </w:r>
      <w:r w:rsidR="00DE3146" w:rsidRPr="00FA5AA8">
        <w:rPr>
          <w:rFonts w:ascii="Arial" w:eastAsiaTheme="majorEastAsia" w:hAnsi="Arial" w:cs="Arial"/>
          <w:i/>
          <w:iCs/>
          <w:lang w:val="en-US"/>
        </w:rPr>
        <w:t>p</w:t>
      </w:r>
      <w:r w:rsidR="00312606" w:rsidRPr="00FA5AA8">
        <w:rPr>
          <w:rFonts w:ascii="Arial" w:eastAsiaTheme="majorEastAsia" w:hAnsi="Arial" w:cs="Arial"/>
          <w:i/>
          <w:iCs/>
          <w:lang w:val="en-US"/>
        </w:rPr>
        <w:t xml:space="preserve"> </w:t>
      </w:r>
      <w:r w:rsidR="00DE3146"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DE3146" w:rsidRPr="00FA5AA8">
        <w:rPr>
          <w:rFonts w:ascii="Arial" w:eastAsiaTheme="majorEastAsia" w:hAnsi="Arial" w:cs="Arial"/>
          <w:lang w:val="en-US"/>
        </w:rPr>
        <w:t>0.004</w:t>
      </w:r>
      <w:r w:rsidR="003A6EAA" w:rsidRPr="00FA5AA8">
        <w:rPr>
          <w:rFonts w:ascii="Arial" w:eastAsiaTheme="majorEastAsia" w:hAnsi="Arial" w:cs="Arial"/>
          <w:lang w:val="en-US"/>
        </w:rPr>
        <w:t xml:space="preserve">; </w:t>
      </w:r>
      <w:r w:rsidR="00530BF0" w:rsidRPr="00FA5AA8">
        <w:rPr>
          <w:rFonts w:ascii="Arial" w:eastAsia="Calibri Light" w:hAnsi="Arial" w:cs="Arial"/>
          <w:i/>
          <w:iCs/>
          <w:lang w:val="en-US"/>
        </w:rPr>
        <w:t>η</w:t>
      </w:r>
      <w:r w:rsidR="00530BF0" w:rsidRPr="00FA5AA8">
        <w:rPr>
          <w:rFonts w:ascii="Arial" w:eastAsia="Calibri Light" w:hAnsi="Arial" w:cs="Arial"/>
          <w:i/>
          <w:iCs/>
          <w:vertAlign w:val="subscript"/>
          <w:lang w:val="en-US"/>
        </w:rPr>
        <w:t>p</w:t>
      </w:r>
      <w:r w:rsidR="00530BF0"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3A6EAA" w:rsidRPr="00FA5AA8">
        <w:rPr>
          <w:rFonts w:ascii="Arial" w:eastAsia="Calibri Light" w:hAnsi="Arial" w:cs="Arial"/>
          <w:lang w:val="en-US"/>
        </w:rPr>
        <w:t>=</w:t>
      </w:r>
      <w:r w:rsidR="00312606" w:rsidRPr="00FA5AA8">
        <w:rPr>
          <w:rFonts w:ascii="Arial" w:eastAsia="Calibri Light" w:hAnsi="Arial" w:cs="Arial"/>
          <w:lang w:val="en-US"/>
        </w:rPr>
        <w:t xml:space="preserve"> </w:t>
      </w:r>
      <w:r w:rsidR="003A6EAA" w:rsidRPr="00FA5AA8">
        <w:rPr>
          <w:rFonts w:ascii="Arial" w:eastAsia="Calibri Light" w:hAnsi="Arial" w:cs="Arial"/>
          <w:lang w:val="en-US"/>
        </w:rPr>
        <w:t>0.</w:t>
      </w:r>
      <w:r w:rsidR="00AF01AE" w:rsidRPr="00FA5AA8">
        <w:rPr>
          <w:rFonts w:ascii="Arial" w:eastAsia="Calibri Light" w:hAnsi="Arial" w:cs="Arial"/>
          <w:lang w:val="en-US"/>
        </w:rPr>
        <w:t>14</w:t>
      </w:r>
      <w:r w:rsidR="003A6EAA" w:rsidRPr="00FA5AA8">
        <w:rPr>
          <w:rFonts w:ascii="Arial" w:eastAsia="Calibri Light" w:hAnsi="Arial" w:cs="Arial"/>
          <w:lang w:val="en-US"/>
        </w:rPr>
        <w:t>;</w:t>
      </w:r>
      <w:r w:rsidR="00DE3146" w:rsidRPr="00FA5AA8">
        <w:rPr>
          <w:rFonts w:ascii="Arial" w:eastAsiaTheme="majorEastAsia" w:hAnsi="Arial" w:cs="Arial"/>
          <w:lang w:val="en-US"/>
        </w:rPr>
        <w:t xml:space="preserve"> </w:t>
      </w:r>
      <w:r w:rsidR="001A666A" w:rsidRPr="00FA5AA8">
        <w:rPr>
          <w:rFonts w:ascii="Arial" w:eastAsiaTheme="majorEastAsia" w:hAnsi="Arial" w:cs="Arial"/>
          <w:lang w:val="en-US"/>
        </w:rPr>
        <w:t xml:space="preserve">see main text </w:t>
      </w:r>
      <w:r w:rsidR="00DE3146" w:rsidRPr="00FA5AA8">
        <w:rPr>
          <w:rFonts w:ascii="Arial" w:eastAsiaTheme="majorEastAsia" w:hAnsi="Arial" w:cs="Arial"/>
          <w:lang w:val="en-US"/>
        </w:rPr>
        <w:t>Fig.1</w:t>
      </w:r>
      <w:r w:rsidR="00424A9C" w:rsidRPr="00FA5AA8">
        <w:rPr>
          <w:rFonts w:ascii="Arial" w:eastAsiaTheme="majorEastAsia" w:hAnsi="Arial" w:cs="Arial"/>
          <w:lang w:val="en-US"/>
        </w:rPr>
        <w:t>b</w:t>
      </w:r>
      <w:r w:rsidR="00DE3146" w:rsidRPr="00FA5AA8">
        <w:rPr>
          <w:rFonts w:ascii="Arial" w:eastAsiaTheme="majorEastAsia" w:hAnsi="Arial" w:cs="Arial"/>
          <w:lang w:val="en-US"/>
        </w:rPr>
        <w:t>), but not in the reverse ccPAS groups (</w:t>
      </w:r>
      <w:r w:rsidR="00A63806" w:rsidRPr="00FA5AA8">
        <w:rPr>
          <w:rFonts w:ascii="Arial" w:eastAsiaTheme="majorEastAsia" w:hAnsi="Arial" w:cs="Arial"/>
          <w:lang w:val="en-US"/>
        </w:rPr>
        <w:t>β</w:t>
      </w:r>
      <w:r w:rsidR="00312606" w:rsidRPr="00FA5AA8">
        <w:rPr>
          <w:rFonts w:ascii="Arial" w:eastAsiaTheme="majorEastAsia" w:hAnsi="Arial" w:cs="Arial"/>
          <w:lang w:val="en-US"/>
        </w:rPr>
        <w:t xml:space="preserve"> </w:t>
      </w:r>
      <w:r w:rsidR="00AF01AE"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3325ED" w:rsidRPr="00FA5AA8">
        <w:rPr>
          <w:rFonts w:ascii="Arial" w:eastAsiaTheme="majorEastAsia" w:hAnsi="Arial" w:cs="Arial"/>
          <w:lang w:val="en-US"/>
        </w:rPr>
        <w:t>2.91</w:t>
      </w:r>
      <w:r w:rsidR="00AF01AE" w:rsidRPr="00FA5AA8">
        <w:rPr>
          <w:rFonts w:ascii="Arial" w:eastAsiaTheme="majorEastAsia" w:hAnsi="Arial" w:cs="Arial"/>
          <w:lang w:val="en-US"/>
        </w:rPr>
        <w:t xml:space="preserve">; </w:t>
      </w:r>
      <w:r w:rsidR="00AF01AE" w:rsidRPr="00FA5AA8">
        <w:rPr>
          <w:rFonts w:ascii="Arial" w:eastAsiaTheme="majorEastAsia" w:hAnsi="Arial" w:cs="Arial"/>
          <w:i/>
          <w:iCs/>
          <w:lang w:val="en-US"/>
        </w:rPr>
        <w:t>p</w:t>
      </w:r>
      <w:r w:rsidR="00312606" w:rsidRPr="00FA5AA8">
        <w:rPr>
          <w:rFonts w:ascii="Arial" w:eastAsiaTheme="majorEastAsia" w:hAnsi="Arial" w:cs="Arial"/>
          <w:i/>
          <w:iCs/>
          <w:lang w:val="en-US"/>
        </w:rPr>
        <w:t xml:space="preserve"> </w:t>
      </w:r>
      <w:r w:rsidR="00AF01AE" w:rsidRPr="00FA5AA8">
        <w:rPr>
          <w:rFonts w:ascii="Arial" w:eastAsiaTheme="majorEastAsia" w:hAnsi="Arial" w:cs="Arial"/>
          <w:lang w:val="en-US"/>
        </w:rPr>
        <w:t>=</w:t>
      </w:r>
      <w:r w:rsidR="00312606" w:rsidRPr="00FA5AA8">
        <w:rPr>
          <w:rFonts w:ascii="Arial" w:eastAsiaTheme="majorEastAsia" w:hAnsi="Arial" w:cs="Arial"/>
          <w:lang w:val="en-US"/>
        </w:rPr>
        <w:t xml:space="preserve"> </w:t>
      </w:r>
      <w:r w:rsidR="00AF01AE" w:rsidRPr="00FA5AA8">
        <w:rPr>
          <w:rFonts w:ascii="Arial" w:eastAsiaTheme="majorEastAsia" w:hAnsi="Arial" w:cs="Arial"/>
          <w:lang w:val="en-US"/>
        </w:rPr>
        <w:t xml:space="preserve">0.77; </w:t>
      </w:r>
      <w:r w:rsidR="00530BF0" w:rsidRPr="00FA5AA8">
        <w:rPr>
          <w:rFonts w:ascii="Arial" w:eastAsia="Calibri Light" w:hAnsi="Arial" w:cs="Arial"/>
          <w:i/>
          <w:iCs/>
          <w:lang w:val="en-US"/>
        </w:rPr>
        <w:t>η</w:t>
      </w:r>
      <w:r w:rsidR="00530BF0" w:rsidRPr="00FA5AA8">
        <w:rPr>
          <w:rFonts w:ascii="Arial" w:eastAsia="Calibri Light" w:hAnsi="Arial" w:cs="Arial"/>
          <w:i/>
          <w:iCs/>
          <w:vertAlign w:val="subscript"/>
          <w:lang w:val="en-US"/>
        </w:rPr>
        <w:t>p</w:t>
      </w:r>
      <w:r w:rsidR="00530BF0" w:rsidRPr="00FA5AA8">
        <w:rPr>
          <w:rFonts w:ascii="Arial" w:eastAsia="Calibri Light" w:hAnsi="Arial" w:cs="Arial"/>
          <w:vertAlign w:val="superscript"/>
          <w:lang w:val="en-US"/>
        </w:rPr>
        <w:t>2</w:t>
      </w:r>
      <w:r w:rsidR="00312606" w:rsidRPr="00FA5AA8">
        <w:rPr>
          <w:rFonts w:ascii="Arial" w:eastAsia="Calibri Light" w:hAnsi="Arial" w:cs="Arial"/>
          <w:vertAlign w:val="superscript"/>
          <w:lang w:val="en-US"/>
        </w:rPr>
        <w:t xml:space="preserve"> </w:t>
      </w:r>
      <w:r w:rsidR="00AF01AE" w:rsidRPr="00FA5AA8">
        <w:rPr>
          <w:rFonts w:ascii="Arial" w:eastAsia="Calibri Light" w:hAnsi="Arial" w:cs="Arial"/>
          <w:lang w:val="en-US"/>
        </w:rPr>
        <w:t>=</w:t>
      </w:r>
      <w:r w:rsidR="00312606" w:rsidRPr="00FA5AA8">
        <w:rPr>
          <w:rFonts w:ascii="Arial" w:eastAsia="Calibri Light" w:hAnsi="Arial" w:cs="Arial"/>
          <w:lang w:val="en-US"/>
        </w:rPr>
        <w:t xml:space="preserve"> </w:t>
      </w:r>
      <w:r w:rsidR="00AF01AE" w:rsidRPr="00FA5AA8">
        <w:rPr>
          <w:rFonts w:ascii="Arial" w:eastAsia="Calibri Light" w:hAnsi="Arial" w:cs="Arial"/>
          <w:lang w:val="en-US"/>
        </w:rPr>
        <w:t>0.</w:t>
      </w:r>
      <w:r w:rsidR="00A63806" w:rsidRPr="00FA5AA8">
        <w:rPr>
          <w:rFonts w:ascii="Arial" w:eastAsia="Calibri Light" w:hAnsi="Arial" w:cs="Arial"/>
          <w:lang w:val="en-US"/>
        </w:rPr>
        <w:t>002</w:t>
      </w:r>
      <w:r w:rsidR="00DE3146" w:rsidRPr="00FA5AA8">
        <w:rPr>
          <w:rFonts w:ascii="Arial" w:eastAsiaTheme="majorEastAsia" w:hAnsi="Arial" w:cs="Arial"/>
          <w:lang w:val="en-US"/>
        </w:rPr>
        <w:t>).</w:t>
      </w:r>
      <w:r w:rsidR="00B8300D" w:rsidRPr="00FA5AA8">
        <w:rPr>
          <w:rFonts w:ascii="Arial" w:eastAsiaTheme="majorEastAsia" w:hAnsi="Arial" w:cs="Arial"/>
          <w:lang w:val="en-US"/>
        </w:rPr>
        <w:t xml:space="preserve"> These results indicate that </w:t>
      </w:r>
      <w:r w:rsidR="00B8300D" w:rsidRPr="00FA5AA8">
        <w:rPr>
          <w:rFonts w:ascii="Arial" w:eastAsia="Calibri Light" w:hAnsi="Arial" w:cs="Arial"/>
          <w:lang w:val="en-US"/>
        </w:rPr>
        <w:t xml:space="preserve">greater ccPAS-induced MEP facilitations predicted </w:t>
      </w:r>
      <w:r w:rsidR="00B8300D" w:rsidRPr="00FA5AA8">
        <w:rPr>
          <w:rFonts w:ascii="Arial" w:eastAsiaTheme="majorEastAsia" w:hAnsi="Arial" w:cs="Arial"/>
          <w:lang w:val="en-US"/>
        </w:rPr>
        <w:t xml:space="preserve">reduced performance gains in the </w:t>
      </w:r>
      <w:proofErr w:type="spellStart"/>
      <w:r w:rsidR="00B8300D" w:rsidRPr="00FA5AA8">
        <w:rPr>
          <w:rFonts w:ascii="Arial" w:eastAsiaTheme="majorEastAsia" w:hAnsi="Arial" w:cs="Arial"/>
          <w:lang w:val="en-US"/>
        </w:rPr>
        <w:t>cRT</w:t>
      </w:r>
      <w:proofErr w:type="spellEnd"/>
      <w:r w:rsidR="00B8300D" w:rsidRPr="00FA5AA8">
        <w:rPr>
          <w:rFonts w:ascii="Arial" w:eastAsiaTheme="majorEastAsia" w:hAnsi="Arial" w:cs="Arial"/>
          <w:lang w:val="en-US"/>
        </w:rPr>
        <w:t xml:space="preserve"> task, exclusively </w:t>
      </w:r>
      <w:r w:rsidR="00B8300D" w:rsidRPr="00FA5AA8">
        <w:rPr>
          <w:rFonts w:ascii="Arial" w:eastAsia="Calibri Light" w:hAnsi="Arial" w:cs="Arial"/>
          <w:lang w:val="en-US"/>
        </w:rPr>
        <w:t>for the two forward groups</w:t>
      </w:r>
      <w:r w:rsidR="00B8300D" w:rsidRPr="00FA5AA8">
        <w:rPr>
          <w:rFonts w:ascii="Arial" w:eastAsiaTheme="majorEastAsia" w:hAnsi="Arial" w:cs="Arial"/>
          <w:lang w:val="en-US"/>
        </w:rPr>
        <w:t>. Thus, increasing PMv or SMA input to M1 led to reduced behavioral improvement following forward ccPAS.</w:t>
      </w:r>
    </w:p>
    <w:p w14:paraId="5526A0F1" w14:textId="77777777" w:rsidR="004247FE" w:rsidRPr="00FA5AA8" w:rsidRDefault="004247FE" w:rsidP="35F05C04">
      <w:pPr>
        <w:spacing w:line="360" w:lineRule="auto"/>
        <w:rPr>
          <w:rFonts w:ascii="Arial" w:hAnsi="Arial" w:cs="Arial"/>
          <w:b/>
          <w:bCs/>
          <w:sz w:val="18"/>
          <w:szCs w:val="18"/>
          <w:lang w:val="en-US"/>
        </w:rPr>
      </w:pPr>
    </w:p>
    <w:p w14:paraId="002E5CFD" w14:textId="1C40E916" w:rsidR="00BD5DC6" w:rsidRPr="00FA5AA8" w:rsidRDefault="00B8300D" w:rsidP="35F05C04">
      <w:pPr>
        <w:spacing w:line="360" w:lineRule="auto"/>
        <w:rPr>
          <w:rFonts w:ascii="Arial" w:hAnsi="Arial" w:cs="Arial"/>
          <w:b/>
          <w:bCs/>
          <w:lang w:val="en-US"/>
        </w:rPr>
      </w:pPr>
      <w:r w:rsidRPr="00FA5AA8">
        <w:rPr>
          <w:rFonts w:ascii="Arial" w:hAnsi="Arial" w:cs="Arial"/>
          <w:b/>
          <w:bCs/>
          <w:lang w:val="en-US"/>
        </w:rPr>
        <w:t>References</w:t>
      </w:r>
    </w:p>
    <w:p w14:paraId="279CFD9C" w14:textId="77777777" w:rsidR="00FA07BD" w:rsidRPr="00FA5AA8" w:rsidRDefault="00BD5DC6" w:rsidP="00FA07BD">
      <w:pPr>
        <w:pStyle w:val="Bibliografia"/>
        <w:rPr>
          <w:rFonts w:ascii="Arial" w:hAnsi="Arial" w:cs="Arial"/>
        </w:rPr>
      </w:pPr>
      <w:r w:rsidRPr="00FA5AA8">
        <w:rPr>
          <w:rFonts w:ascii="Arial" w:hAnsi="Arial" w:cs="Arial"/>
          <w:lang w:val="en-US"/>
        </w:rPr>
        <w:fldChar w:fldCharType="begin"/>
      </w:r>
      <w:r w:rsidR="00FA07BD" w:rsidRPr="00FA5AA8">
        <w:rPr>
          <w:rFonts w:ascii="Arial" w:hAnsi="Arial" w:cs="Arial"/>
          <w:lang w:val="en-US"/>
        </w:rPr>
        <w:instrText xml:space="preserve"> ADDIN ZOTERO_BIBL {"uncited":[],"omitted":[],"custom":[]} CSL_BIBLIOGRAPHY </w:instrText>
      </w:r>
      <w:r w:rsidRPr="00FA5AA8">
        <w:rPr>
          <w:rFonts w:ascii="Arial" w:hAnsi="Arial" w:cs="Arial"/>
          <w:lang w:val="en-US"/>
        </w:rPr>
        <w:fldChar w:fldCharType="separate"/>
      </w:r>
      <w:r w:rsidR="00FA07BD" w:rsidRPr="00FA5AA8">
        <w:rPr>
          <w:rFonts w:ascii="Arial" w:hAnsi="Arial" w:cs="Arial"/>
        </w:rPr>
        <w:t>1.</w:t>
      </w:r>
      <w:r w:rsidR="00FA07BD" w:rsidRPr="00FA5AA8">
        <w:rPr>
          <w:rFonts w:ascii="Arial" w:hAnsi="Arial" w:cs="Arial"/>
        </w:rPr>
        <w:tab/>
        <w:t xml:space="preserve">Oldfield, R. C. The assessment and analysis of handedness: The Edinburgh inventory. </w:t>
      </w:r>
      <w:r w:rsidR="00FA07BD" w:rsidRPr="00FA5AA8">
        <w:rPr>
          <w:rFonts w:ascii="Arial" w:hAnsi="Arial" w:cs="Arial"/>
          <w:i/>
          <w:iCs/>
        </w:rPr>
        <w:t>Neuropsychologia</w:t>
      </w:r>
      <w:r w:rsidR="00FA07BD" w:rsidRPr="00FA5AA8">
        <w:rPr>
          <w:rFonts w:ascii="Arial" w:hAnsi="Arial" w:cs="Arial"/>
        </w:rPr>
        <w:t xml:space="preserve"> </w:t>
      </w:r>
      <w:r w:rsidR="00FA07BD" w:rsidRPr="00FA5AA8">
        <w:rPr>
          <w:rFonts w:ascii="Arial" w:hAnsi="Arial" w:cs="Arial"/>
          <w:b/>
          <w:bCs/>
        </w:rPr>
        <w:t>9</w:t>
      </w:r>
      <w:r w:rsidR="00FA07BD" w:rsidRPr="00FA5AA8">
        <w:rPr>
          <w:rFonts w:ascii="Arial" w:hAnsi="Arial" w:cs="Arial"/>
        </w:rPr>
        <w:t>, 97–113 (1971).</w:t>
      </w:r>
    </w:p>
    <w:p w14:paraId="4CBA0C48" w14:textId="77777777" w:rsidR="00FA07BD" w:rsidRPr="00FA5AA8" w:rsidRDefault="00FA07BD" w:rsidP="00FA07BD">
      <w:pPr>
        <w:pStyle w:val="Bibliografia"/>
        <w:rPr>
          <w:rFonts w:ascii="Arial" w:hAnsi="Arial" w:cs="Arial"/>
        </w:rPr>
      </w:pPr>
      <w:r w:rsidRPr="00FA5AA8">
        <w:rPr>
          <w:rFonts w:ascii="Arial" w:hAnsi="Arial" w:cs="Arial"/>
        </w:rPr>
        <w:lastRenderedPageBreak/>
        <w:t>2.</w:t>
      </w:r>
      <w:r w:rsidRPr="00FA5AA8">
        <w:rPr>
          <w:rFonts w:ascii="Arial" w:hAnsi="Arial" w:cs="Arial"/>
        </w:rPr>
        <w:tab/>
        <w:t xml:space="preserve">Rossi, S. </w:t>
      </w:r>
      <w:r w:rsidRPr="00FA5AA8">
        <w:rPr>
          <w:rFonts w:ascii="Arial" w:hAnsi="Arial" w:cs="Arial"/>
          <w:i/>
          <w:iCs/>
        </w:rPr>
        <w:t>et al.</w:t>
      </w:r>
      <w:r w:rsidRPr="00FA5AA8">
        <w:rPr>
          <w:rFonts w:ascii="Arial" w:hAnsi="Arial" w:cs="Arial"/>
        </w:rPr>
        <w:t xml:space="preserve"> Safety and recommendations for TMS use in healthy subjects and patient populations, with updates on training, ethical and regulatory issues: Expert Guidelines. </w:t>
      </w:r>
      <w:r w:rsidRPr="00FA5AA8">
        <w:rPr>
          <w:rFonts w:ascii="Arial" w:hAnsi="Arial" w:cs="Arial"/>
          <w:i/>
          <w:iCs/>
        </w:rPr>
        <w:t>Clinical Neurophysiology</w:t>
      </w:r>
      <w:r w:rsidRPr="00FA5AA8">
        <w:rPr>
          <w:rFonts w:ascii="Arial" w:hAnsi="Arial" w:cs="Arial"/>
        </w:rPr>
        <w:t xml:space="preserve"> </w:t>
      </w:r>
      <w:r w:rsidRPr="00FA5AA8">
        <w:rPr>
          <w:rFonts w:ascii="Arial" w:hAnsi="Arial" w:cs="Arial"/>
          <w:b/>
          <w:bCs/>
        </w:rPr>
        <w:t>132</w:t>
      </w:r>
      <w:r w:rsidRPr="00FA5AA8">
        <w:rPr>
          <w:rFonts w:ascii="Arial" w:hAnsi="Arial" w:cs="Arial"/>
        </w:rPr>
        <w:t>, 269–306 (2021).</w:t>
      </w:r>
    </w:p>
    <w:p w14:paraId="1876125B" w14:textId="77777777" w:rsidR="00FA07BD" w:rsidRPr="00FA5AA8" w:rsidRDefault="00FA07BD" w:rsidP="00FA07BD">
      <w:pPr>
        <w:pStyle w:val="Bibliografia"/>
        <w:rPr>
          <w:rFonts w:ascii="Arial" w:hAnsi="Arial" w:cs="Arial"/>
        </w:rPr>
      </w:pPr>
      <w:r w:rsidRPr="00FA5AA8">
        <w:rPr>
          <w:rFonts w:ascii="Arial" w:hAnsi="Arial" w:cs="Arial"/>
        </w:rPr>
        <w:t>3.</w:t>
      </w:r>
      <w:r w:rsidRPr="00FA5AA8">
        <w:rPr>
          <w:rFonts w:ascii="Arial" w:hAnsi="Arial" w:cs="Arial"/>
        </w:rPr>
        <w:tab/>
        <w:t xml:space="preserve">World Medical Association. World Medical Association Declaration of Helsinki: Ethical Principles for Medical Research Involving Human Subjects. </w:t>
      </w:r>
      <w:r w:rsidRPr="00FA5AA8">
        <w:rPr>
          <w:rFonts w:ascii="Arial" w:hAnsi="Arial" w:cs="Arial"/>
          <w:i/>
          <w:iCs/>
        </w:rPr>
        <w:t>JAMA</w:t>
      </w:r>
      <w:r w:rsidRPr="00FA5AA8">
        <w:rPr>
          <w:rFonts w:ascii="Arial" w:hAnsi="Arial" w:cs="Arial"/>
        </w:rPr>
        <w:t xml:space="preserve"> </w:t>
      </w:r>
      <w:r w:rsidRPr="00FA5AA8">
        <w:rPr>
          <w:rFonts w:ascii="Arial" w:hAnsi="Arial" w:cs="Arial"/>
          <w:b/>
          <w:bCs/>
        </w:rPr>
        <w:t>310</w:t>
      </w:r>
      <w:r w:rsidRPr="00FA5AA8">
        <w:rPr>
          <w:rFonts w:ascii="Arial" w:hAnsi="Arial" w:cs="Arial"/>
        </w:rPr>
        <w:t>, 2191–2194 (2013).</w:t>
      </w:r>
    </w:p>
    <w:p w14:paraId="04AAEBA1" w14:textId="77777777" w:rsidR="00FA07BD" w:rsidRPr="00FA5AA8" w:rsidRDefault="00FA07BD" w:rsidP="00FA07BD">
      <w:pPr>
        <w:pStyle w:val="Bibliografia"/>
        <w:rPr>
          <w:rFonts w:ascii="Arial" w:hAnsi="Arial" w:cs="Arial"/>
        </w:rPr>
      </w:pPr>
      <w:r w:rsidRPr="00FA5AA8">
        <w:rPr>
          <w:rFonts w:ascii="Arial" w:hAnsi="Arial" w:cs="Arial"/>
        </w:rPr>
        <w:t>4.</w:t>
      </w:r>
      <w:r w:rsidRPr="00FA5AA8">
        <w:rPr>
          <w:rFonts w:ascii="Arial" w:hAnsi="Arial" w:cs="Arial"/>
        </w:rPr>
        <w:tab/>
        <w:t xml:space="preserve">Fiori, F., Chiappini, E. &amp; Avenanti, A. Enhanced action performance following TMS manipulation of associative plasticity in ventral premotor-motor pathway. </w:t>
      </w:r>
      <w:r w:rsidRPr="00FA5AA8">
        <w:rPr>
          <w:rFonts w:ascii="Arial" w:hAnsi="Arial" w:cs="Arial"/>
          <w:i/>
          <w:iCs/>
        </w:rPr>
        <w:t>NeuroImage</w:t>
      </w:r>
      <w:r w:rsidRPr="00FA5AA8">
        <w:rPr>
          <w:rFonts w:ascii="Arial" w:hAnsi="Arial" w:cs="Arial"/>
        </w:rPr>
        <w:t xml:space="preserve"> </w:t>
      </w:r>
      <w:r w:rsidRPr="00FA5AA8">
        <w:rPr>
          <w:rFonts w:ascii="Arial" w:hAnsi="Arial" w:cs="Arial"/>
          <w:b/>
          <w:bCs/>
        </w:rPr>
        <w:t>183</w:t>
      </w:r>
      <w:r w:rsidRPr="00FA5AA8">
        <w:rPr>
          <w:rFonts w:ascii="Arial" w:hAnsi="Arial" w:cs="Arial"/>
        </w:rPr>
        <w:t>, 847–858 (2018).</w:t>
      </w:r>
    </w:p>
    <w:p w14:paraId="2C1E264D" w14:textId="77777777" w:rsidR="00FA07BD" w:rsidRPr="00FA5AA8" w:rsidRDefault="00FA07BD" w:rsidP="00FA07BD">
      <w:pPr>
        <w:pStyle w:val="Bibliografia"/>
        <w:rPr>
          <w:rFonts w:ascii="Arial" w:hAnsi="Arial" w:cs="Arial"/>
        </w:rPr>
      </w:pPr>
      <w:r w:rsidRPr="00FA5AA8">
        <w:rPr>
          <w:rFonts w:ascii="Arial" w:hAnsi="Arial" w:cs="Arial"/>
        </w:rPr>
        <w:t>5.</w:t>
      </w:r>
      <w:r w:rsidRPr="00FA5AA8">
        <w:rPr>
          <w:rFonts w:ascii="Arial" w:hAnsi="Arial" w:cs="Arial"/>
        </w:rPr>
        <w:tab/>
        <w:t xml:space="preserve">Turrini, S. </w:t>
      </w:r>
      <w:r w:rsidRPr="00FA5AA8">
        <w:rPr>
          <w:rFonts w:ascii="Arial" w:hAnsi="Arial" w:cs="Arial"/>
          <w:i/>
          <w:iCs/>
        </w:rPr>
        <w:t>et al.</w:t>
      </w:r>
      <w:r w:rsidRPr="00FA5AA8">
        <w:rPr>
          <w:rFonts w:ascii="Arial" w:hAnsi="Arial" w:cs="Arial"/>
        </w:rPr>
        <w:t xml:space="preserve"> Cortico-cortical paired associative stimulation (ccPAS) over premotor-motor areas affects local circuitries in the human motor cortex via Hebbian plasticity. </w:t>
      </w:r>
      <w:r w:rsidRPr="00FA5AA8">
        <w:rPr>
          <w:rFonts w:ascii="Arial" w:hAnsi="Arial" w:cs="Arial"/>
          <w:i/>
          <w:iCs/>
        </w:rPr>
        <w:t>NeuroImage</w:t>
      </w:r>
      <w:r w:rsidRPr="00FA5AA8">
        <w:rPr>
          <w:rFonts w:ascii="Arial" w:hAnsi="Arial" w:cs="Arial"/>
        </w:rPr>
        <w:t xml:space="preserve"> 120027 (2023) doi:10.1016/j.neuroimage.2023.120027.</w:t>
      </w:r>
    </w:p>
    <w:p w14:paraId="1BB03543" w14:textId="77777777" w:rsidR="00FA07BD" w:rsidRPr="00FA5AA8" w:rsidRDefault="00FA07BD" w:rsidP="00FA07BD">
      <w:pPr>
        <w:pStyle w:val="Bibliografia"/>
        <w:rPr>
          <w:rFonts w:ascii="Arial" w:hAnsi="Arial" w:cs="Arial"/>
        </w:rPr>
      </w:pPr>
      <w:r w:rsidRPr="00FA5AA8">
        <w:rPr>
          <w:rFonts w:ascii="Arial" w:hAnsi="Arial" w:cs="Arial"/>
        </w:rPr>
        <w:t>6.</w:t>
      </w:r>
      <w:r w:rsidRPr="00FA5AA8">
        <w:rPr>
          <w:rFonts w:ascii="Arial" w:hAnsi="Arial" w:cs="Arial"/>
        </w:rPr>
        <w:tab/>
        <w:t xml:space="preserve">Turrini, S. </w:t>
      </w:r>
      <w:r w:rsidRPr="00FA5AA8">
        <w:rPr>
          <w:rFonts w:ascii="Arial" w:hAnsi="Arial" w:cs="Arial"/>
          <w:i/>
          <w:iCs/>
        </w:rPr>
        <w:t>et al.</w:t>
      </w:r>
      <w:r w:rsidRPr="00FA5AA8">
        <w:rPr>
          <w:rFonts w:ascii="Arial" w:hAnsi="Arial" w:cs="Arial"/>
        </w:rPr>
        <w:t xml:space="preserve"> Gradual enhancement of corticomotor excitability during cortico-cortical paired associative stimulation. </w:t>
      </w:r>
      <w:r w:rsidRPr="00FA5AA8">
        <w:rPr>
          <w:rFonts w:ascii="Arial" w:hAnsi="Arial" w:cs="Arial"/>
          <w:i/>
          <w:iCs/>
        </w:rPr>
        <w:t>Sci Rep</w:t>
      </w:r>
      <w:r w:rsidRPr="00FA5AA8">
        <w:rPr>
          <w:rFonts w:ascii="Arial" w:hAnsi="Arial" w:cs="Arial"/>
        </w:rPr>
        <w:t xml:space="preserve"> </w:t>
      </w:r>
      <w:r w:rsidRPr="00FA5AA8">
        <w:rPr>
          <w:rFonts w:ascii="Arial" w:hAnsi="Arial" w:cs="Arial"/>
          <w:b/>
          <w:bCs/>
        </w:rPr>
        <w:t>12</w:t>
      </w:r>
      <w:r w:rsidRPr="00FA5AA8">
        <w:rPr>
          <w:rFonts w:ascii="Arial" w:hAnsi="Arial" w:cs="Arial"/>
        </w:rPr>
        <w:t>, 14670 (2022).</w:t>
      </w:r>
    </w:p>
    <w:p w14:paraId="51F80449" w14:textId="77777777" w:rsidR="00FA07BD" w:rsidRPr="00FA5AA8" w:rsidRDefault="00FA07BD" w:rsidP="00FA07BD">
      <w:pPr>
        <w:pStyle w:val="Bibliografia"/>
        <w:rPr>
          <w:rFonts w:ascii="Arial" w:hAnsi="Arial" w:cs="Arial"/>
        </w:rPr>
      </w:pPr>
      <w:r w:rsidRPr="00FA5AA8">
        <w:rPr>
          <w:rFonts w:ascii="Arial" w:hAnsi="Arial" w:cs="Arial"/>
        </w:rPr>
        <w:t>7.</w:t>
      </w:r>
      <w:r w:rsidRPr="00FA5AA8">
        <w:rPr>
          <w:rFonts w:ascii="Arial" w:hAnsi="Arial" w:cs="Arial"/>
        </w:rPr>
        <w:tab/>
        <w:t xml:space="preserve">Turrini, S. </w:t>
      </w:r>
      <w:r w:rsidRPr="00FA5AA8">
        <w:rPr>
          <w:rFonts w:ascii="Arial" w:hAnsi="Arial" w:cs="Arial"/>
          <w:i/>
          <w:iCs/>
        </w:rPr>
        <w:t>et al.</w:t>
      </w:r>
      <w:r w:rsidRPr="00FA5AA8">
        <w:rPr>
          <w:rFonts w:ascii="Arial" w:hAnsi="Arial" w:cs="Arial"/>
        </w:rPr>
        <w:t xml:space="preserve"> Transcranial cortico-cortical paired associative stimulation (ccPAS) over ventral premotor-motor pathways enhances action performance and corticomotor excitability in young adults more than in elderly adults. </w:t>
      </w:r>
      <w:r w:rsidRPr="00FA5AA8">
        <w:rPr>
          <w:rFonts w:ascii="Arial" w:hAnsi="Arial" w:cs="Arial"/>
          <w:i/>
          <w:iCs/>
        </w:rPr>
        <w:t>Front. Aging Neurosci.</w:t>
      </w:r>
      <w:r w:rsidRPr="00FA5AA8">
        <w:rPr>
          <w:rFonts w:ascii="Arial" w:hAnsi="Arial" w:cs="Arial"/>
        </w:rPr>
        <w:t xml:space="preserve"> </w:t>
      </w:r>
      <w:r w:rsidRPr="00FA5AA8">
        <w:rPr>
          <w:rFonts w:ascii="Arial" w:hAnsi="Arial" w:cs="Arial"/>
          <w:b/>
          <w:bCs/>
        </w:rPr>
        <w:t>15</w:t>
      </w:r>
      <w:r w:rsidRPr="00FA5AA8">
        <w:rPr>
          <w:rFonts w:ascii="Arial" w:hAnsi="Arial" w:cs="Arial"/>
        </w:rPr>
        <w:t>, (2023).</w:t>
      </w:r>
    </w:p>
    <w:p w14:paraId="32C94028" w14:textId="77777777" w:rsidR="00FA07BD" w:rsidRPr="00FA5AA8" w:rsidRDefault="00FA07BD" w:rsidP="00FA07BD">
      <w:pPr>
        <w:pStyle w:val="Bibliografia"/>
        <w:rPr>
          <w:rFonts w:ascii="Arial" w:hAnsi="Arial" w:cs="Arial"/>
        </w:rPr>
      </w:pPr>
      <w:r w:rsidRPr="00FA5AA8">
        <w:rPr>
          <w:rFonts w:ascii="Arial" w:hAnsi="Arial" w:cs="Arial"/>
        </w:rPr>
        <w:t>8.</w:t>
      </w:r>
      <w:r w:rsidRPr="00FA5AA8">
        <w:rPr>
          <w:rFonts w:ascii="Arial" w:hAnsi="Arial" w:cs="Arial"/>
        </w:rPr>
        <w:tab/>
        <w:t xml:space="preserve">Turrini, S. </w:t>
      </w:r>
      <w:r w:rsidRPr="00FA5AA8">
        <w:rPr>
          <w:rFonts w:ascii="Arial" w:hAnsi="Arial" w:cs="Arial"/>
          <w:i/>
          <w:iCs/>
        </w:rPr>
        <w:t>et al.</w:t>
      </w:r>
      <w:r w:rsidRPr="00FA5AA8">
        <w:rPr>
          <w:rFonts w:ascii="Arial" w:hAnsi="Arial" w:cs="Arial"/>
        </w:rPr>
        <w:t xml:space="preserve"> Neurophysiological Markers of Premotor–Motor Network Plasticity Predict Motor Performance in Young and Older Adults. </w:t>
      </w:r>
      <w:r w:rsidRPr="00FA5AA8">
        <w:rPr>
          <w:rFonts w:ascii="Arial" w:hAnsi="Arial" w:cs="Arial"/>
          <w:i/>
          <w:iCs/>
        </w:rPr>
        <w:t>Biomedicines</w:t>
      </w:r>
      <w:r w:rsidRPr="00FA5AA8">
        <w:rPr>
          <w:rFonts w:ascii="Arial" w:hAnsi="Arial" w:cs="Arial"/>
        </w:rPr>
        <w:t xml:space="preserve"> </w:t>
      </w:r>
      <w:r w:rsidRPr="00FA5AA8">
        <w:rPr>
          <w:rFonts w:ascii="Arial" w:hAnsi="Arial" w:cs="Arial"/>
          <w:b/>
          <w:bCs/>
        </w:rPr>
        <w:t>11</w:t>
      </w:r>
      <w:r w:rsidRPr="00FA5AA8">
        <w:rPr>
          <w:rFonts w:ascii="Arial" w:hAnsi="Arial" w:cs="Arial"/>
        </w:rPr>
        <w:t>, 1464 (2023).</w:t>
      </w:r>
    </w:p>
    <w:p w14:paraId="6DAF1DFD" w14:textId="77777777" w:rsidR="00FA07BD" w:rsidRPr="00FA5AA8" w:rsidRDefault="00FA07BD" w:rsidP="00FA07BD">
      <w:pPr>
        <w:pStyle w:val="Bibliografia"/>
        <w:rPr>
          <w:rFonts w:ascii="Arial" w:hAnsi="Arial" w:cs="Arial"/>
        </w:rPr>
      </w:pPr>
      <w:r w:rsidRPr="00FA5AA8">
        <w:rPr>
          <w:rFonts w:ascii="Arial" w:hAnsi="Arial" w:cs="Arial"/>
        </w:rPr>
        <w:t>9.</w:t>
      </w:r>
      <w:r w:rsidRPr="00FA5AA8">
        <w:rPr>
          <w:rFonts w:ascii="Arial" w:hAnsi="Arial" w:cs="Arial"/>
        </w:rPr>
        <w:tab/>
        <w:t xml:space="preserve">Johnen, V. M. </w:t>
      </w:r>
      <w:r w:rsidRPr="00FA5AA8">
        <w:rPr>
          <w:rFonts w:ascii="Arial" w:hAnsi="Arial" w:cs="Arial"/>
          <w:i/>
          <w:iCs/>
        </w:rPr>
        <w:t>et al.</w:t>
      </w:r>
      <w:r w:rsidRPr="00FA5AA8">
        <w:rPr>
          <w:rFonts w:ascii="Arial" w:hAnsi="Arial" w:cs="Arial"/>
        </w:rPr>
        <w:t xml:space="preserve"> Causal manipulation of functional connectivity in a specific neural pathway during behaviour and at rest. </w:t>
      </w:r>
      <w:r w:rsidRPr="00FA5AA8">
        <w:rPr>
          <w:rFonts w:ascii="Arial" w:hAnsi="Arial" w:cs="Arial"/>
          <w:i/>
          <w:iCs/>
        </w:rPr>
        <w:t>Elife</w:t>
      </w:r>
      <w:r w:rsidRPr="00FA5AA8">
        <w:rPr>
          <w:rFonts w:ascii="Arial" w:hAnsi="Arial" w:cs="Arial"/>
        </w:rPr>
        <w:t xml:space="preserve"> </w:t>
      </w:r>
      <w:r w:rsidRPr="00FA5AA8">
        <w:rPr>
          <w:rFonts w:ascii="Arial" w:hAnsi="Arial" w:cs="Arial"/>
          <w:b/>
          <w:bCs/>
        </w:rPr>
        <w:t>4</w:t>
      </w:r>
      <w:r w:rsidRPr="00FA5AA8">
        <w:rPr>
          <w:rFonts w:ascii="Arial" w:hAnsi="Arial" w:cs="Arial"/>
        </w:rPr>
        <w:t>, e04585 (2015).</w:t>
      </w:r>
    </w:p>
    <w:p w14:paraId="721E5C7B" w14:textId="77777777" w:rsidR="00FA07BD" w:rsidRPr="00FA5AA8" w:rsidRDefault="00FA07BD" w:rsidP="00FA07BD">
      <w:pPr>
        <w:pStyle w:val="Bibliografia"/>
        <w:rPr>
          <w:rFonts w:ascii="Arial" w:hAnsi="Arial" w:cs="Arial"/>
        </w:rPr>
      </w:pPr>
      <w:r w:rsidRPr="00FA5AA8">
        <w:rPr>
          <w:rFonts w:ascii="Arial" w:hAnsi="Arial" w:cs="Arial"/>
        </w:rPr>
        <w:t>10.</w:t>
      </w:r>
      <w:r w:rsidRPr="00FA5AA8">
        <w:rPr>
          <w:rFonts w:ascii="Arial" w:hAnsi="Arial" w:cs="Arial"/>
        </w:rPr>
        <w:tab/>
        <w:t xml:space="preserve">Chiappini, E. </w:t>
      </w:r>
      <w:r w:rsidRPr="00FA5AA8">
        <w:rPr>
          <w:rFonts w:ascii="Arial" w:hAnsi="Arial" w:cs="Arial"/>
          <w:i/>
          <w:iCs/>
        </w:rPr>
        <w:t>et al.</w:t>
      </w:r>
      <w:r w:rsidRPr="00FA5AA8">
        <w:rPr>
          <w:rFonts w:ascii="Arial" w:hAnsi="Arial" w:cs="Arial"/>
        </w:rPr>
        <w:t xml:space="preserve"> Driving associative plasticity in premotor-motor connections through a novel paired associative stimulation based on long-latency cortico-cortical interactions. </w:t>
      </w:r>
      <w:r w:rsidRPr="00FA5AA8">
        <w:rPr>
          <w:rFonts w:ascii="Arial" w:hAnsi="Arial" w:cs="Arial"/>
          <w:i/>
          <w:iCs/>
        </w:rPr>
        <w:t>Brain Stimulation</w:t>
      </w:r>
      <w:r w:rsidRPr="00FA5AA8">
        <w:rPr>
          <w:rFonts w:ascii="Arial" w:hAnsi="Arial" w:cs="Arial"/>
        </w:rPr>
        <w:t xml:space="preserve"> </w:t>
      </w:r>
      <w:r w:rsidRPr="00FA5AA8">
        <w:rPr>
          <w:rFonts w:ascii="Arial" w:hAnsi="Arial" w:cs="Arial"/>
          <w:b/>
          <w:bCs/>
        </w:rPr>
        <w:t>13</w:t>
      </w:r>
      <w:r w:rsidRPr="00FA5AA8">
        <w:rPr>
          <w:rFonts w:ascii="Arial" w:hAnsi="Arial" w:cs="Arial"/>
        </w:rPr>
        <w:t>, 1461–1463 (2020).</w:t>
      </w:r>
    </w:p>
    <w:p w14:paraId="11CED857" w14:textId="77777777" w:rsidR="00FA07BD" w:rsidRPr="00FA5AA8" w:rsidRDefault="00FA07BD" w:rsidP="00FA07BD">
      <w:pPr>
        <w:pStyle w:val="Bibliografia"/>
        <w:rPr>
          <w:rFonts w:ascii="Arial" w:hAnsi="Arial" w:cs="Arial"/>
        </w:rPr>
      </w:pPr>
      <w:r w:rsidRPr="00FA5AA8">
        <w:rPr>
          <w:rFonts w:ascii="Arial" w:hAnsi="Arial" w:cs="Arial"/>
        </w:rPr>
        <w:t>11.</w:t>
      </w:r>
      <w:r w:rsidRPr="00FA5AA8">
        <w:rPr>
          <w:rFonts w:ascii="Arial" w:hAnsi="Arial" w:cs="Arial"/>
        </w:rPr>
        <w:tab/>
        <w:t xml:space="preserve">Sel, A. </w:t>
      </w:r>
      <w:r w:rsidRPr="00FA5AA8">
        <w:rPr>
          <w:rFonts w:ascii="Arial" w:hAnsi="Arial" w:cs="Arial"/>
          <w:i/>
          <w:iCs/>
        </w:rPr>
        <w:t>et al.</w:t>
      </w:r>
      <w:r w:rsidRPr="00FA5AA8">
        <w:rPr>
          <w:rFonts w:ascii="Arial" w:hAnsi="Arial" w:cs="Arial"/>
        </w:rPr>
        <w:t xml:space="preserve"> Increasing and decreasing interregional brain coupling increases and decreases oscillatory activity in the human brain. </w:t>
      </w:r>
      <w:r w:rsidRPr="00FA5AA8">
        <w:rPr>
          <w:rFonts w:ascii="Arial" w:hAnsi="Arial" w:cs="Arial"/>
          <w:i/>
          <w:iCs/>
        </w:rPr>
        <w:t>Proceedings of the National Academy of Sciences</w:t>
      </w:r>
      <w:r w:rsidRPr="00FA5AA8">
        <w:rPr>
          <w:rFonts w:ascii="Arial" w:hAnsi="Arial" w:cs="Arial"/>
        </w:rPr>
        <w:t xml:space="preserve"> </w:t>
      </w:r>
      <w:r w:rsidRPr="00FA5AA8">
        <w:rPr>
          <w:rFonts w:ascii="Arial" w:hAnsi="Arial" w:cs="Arial"/>
          <w:b/>
          <w:bCs/>
        </w:rPr>
        <w:t>118</w:t>
      </w:r>
      <w:r w:rsidRPr="00FA5AA8">
        <w:rPr>
          <w:rFonts w:ascii="Arial" w:hAnsi="Arial" w:cs="Arial"/>
        </w:rPr>
        <w:t>, 1–9 (2021).</w:t>
      </w:r>
    </w:p>
    <w:p w14:paraId="474E4C9C" w14:textId="77777777" w:rsidR="00FA07BD" w:rsidRPr="00FA5AA8" w:rsidRDefault="00FA07BD" w:rsidP="00FA07BD">
      <w:pPr>
        <w:pStyle w:val="Bibliografia"/>
        <w:rPr>
          <w:rFonts w:ascii="Arial" w:hAnsi="Arial" w:cs="Arial"/>
        </w:rPr>
      </w:pPr>
      <w:r w:rsidRPr="00FA5AA8">
        <w:rPr>
          <w:rFonts w:ascii="Arial" w:hAnsi="Arial" w:cs="Arial"/>
        </w:rPr>
        <w:lastRenderedPageBreak/>
        <w:t>12.</w:t>
      </w:r>
      <w:r w:rsidRPr="00FA5AA8">
        <w:rPr>
          <w:rFonts w:ascii="Arial" w:hAnsi="Arial" w:cs="Arial"/>
        </w:rPr>
        <w:tab/>
        <w:t xml:space="preserve">Kammer, T., Beck, S., Thielscher, A., Laubis-Herrmann, U. &amp; Topka, H. Motor thresholds in humans: a transcranial magnetic stimulation study comparing different pulse waveforms, current directions and stimulator types. </w:t>
      </w:r>
      <w:r w:rsidRPr="00FA5AA8">
        <w:rPr>
          <w:rFonts w:ascii="Arial" w:hAnsi="Arial" w:cs="Arial"/>
          <w:i/>
          <w:iCs/>
        </w:rPr>
        <w:t>Clinical Neurophysiology</w:t>
      </w:r>
      <w:r w:rsidRPr="00FA5AA8">
        <w:rPr>
          <w:rFonts w:ascii="Arial" w:hAnsi="Arial" w:cs="Arial"/>
        </w:rPr>
        <w:t xml:space="preserve"> </w:t>
      </w:r>
      <w:r w:rsidRPr="00FA5AA8">
        <w:rPr>
          <w:rFonts w:ascii="Arial" w:hAnsi="Arial" w:cs="Arial"/>
          <w:b/>
          <w:bCs/>
        </w:rPr>
        <w:t>112</w:t>
      </w:r>
      <w:r w:rsidRPr="00FA5AA8">
        <w:rPr>
          <w:rFonts w:ascii="Arial" w:hAnsi="Arial" w:cs="Arial"/>
        </w:rPr>
        <w:t>, 250–258 (2001).</w:t>
      </w:r>
    </w:p>
    <w:p w14:paraId="21DDCFB2" w14:textId="77777777" w:rsidR="00FA07BD" w:rsidRPr="00FA5AA8" w:rsidRDefault="00FA07BD" w:rsidP="00FA07BD">
      <w:pPr>
        <w:pStyle w:val="Bibliografia"/>
        <w:rPr>
          <w:rFonts w:ascii="Arial" w:hAnsi="Arial" w:cs="Arial"/>
        </w:rPr>
      </w:pPr>
      <w:r w:rsidRPr="00FA5AA8">
        <w:rPr>
          <w:rFonts w:ascii="Arial" w:hAnsi="Arial" w:cs="Arial"/>
        </w:rPr>
        <w:t>13.</w:t>
      </w:r>
      <w:r w:rsidRPr="00FA5AA8">
        <w:rPr>
          <w:rFonts w:ascii="Arial" w:hAnsi="Arial" w:cs="Arial"/>
        </w:rPr>
        <w:tab/>
        <w:t xml:space="preserve">Fiori, F. </w:t>
      </w:r>
      <w:r w:rsidRPr="00FA5AA8">
        <w:rPr>
          <w:rFonts w:ascii="Arial" w:hAnsi="Arial" w:cs="Arial"/>
          <w:i/>
          <w:iCs/>
        </w:rPr>
        <w:t>et al.</w:t>
      </w:r>
      <w:r w:rsidRPr="00FA5AA8">
        <w:rPr>
          <w:rFonts w:ascii="Arial" w:hAnsi="Arial" w:cs="Arial"/>
        </w:rPr>
        <w:t xml:space="preserve"> Long-latency modulation of motor cortex excitability by ipsilateral posterior inferior frontal gyrus and pre-supplementary motor area. </w:t>
      </w:r>
      <w:r w:rsidRPr="00FA5AA8">
        <w:rPr>
          <w:rFonts w:ascii="Arial" w:hAnsi="Arial" w:cs="Arial"/>
          <w:i/>
          <w:iCs/>
        </w:rPr>
        <w:t>Sci Rep</w:t>
      </w:r>
      <w:r w:rsidRPr="00FA5AA8">
        <w:rPr>
          <w:rFonts w:ascii="Arial" w:hAnsi="Arial" w:cs="Arial"/>
        </w:rPr>
        <w:t xml:space="preserve"> </w:t>
      </w:r>
      <w:r w:rsidRPr="00FA5AA8">
        <w:rPr>
          <w:rFonts w:ascii="Arial" w:hAnsi="Arial" w:cs="Arial"/>
          <w:b/>
          <w:bCs/>
        </w:rPr>
        <w:t>6</w:t>
      </w:r>
      <w:r w:rsidRPr="00FA5AA8">
        <w:rPr>
          <w:rFonts w:ascii="Arial" w:hAnsi="Arial" w:cs="Arial"/>
        </w:rPr>
        <w:t>, 38396 (2016).</w:t>
      </w:r>
    </w:p>
    <w:p w14:paraId="55759D08" w14:textId="77777777" w:rsidR="00FA07BD" w:rsidRPr="00FA5AA8" w:rsidRDefault="00FA07BD" w:rsidP="00FA07BD">
      <w:pPr>
        <w:pStyle w:val="Bibliografia"/>
        <w:rPr>
          <w:rFonts w:ascii="Arial" w:hAnsi="Arial" w:cs="Arial"/>
        </w:rPr>
      </w:pPr>
      <w:r w:rsidRPr="00FA5AA8">
        <w:rPr>
          <w:rFonts w:ascii="Arial" w:hAnsi="Arial" w:cs="Arial"/>
        </w:rPr>
        <w:t>14.</w:t>
      </w:r>
      <w:r w:rsidRPr="00FA5AA8">
        <w:rPr>
          <w:rFonts w:ascii="Arial" w:hAnsi="Arial" w:cs="Arial"/>
        </w:rPr>
        <w:tab/>
        <w:t xml:space="preserve">Rurak, B. K., Rodrigues, J. P., Power, B. D., Drummond, P. D. &amp; Vallence, A. M. Test Re-test Reliability of Dual-site TMS Measures of SMA-M1 Connectivity Differs Across Inter-stimulus Intervals in Younger and Older Adults. </w:t>
      </w:r>
      <w:r w:rsidRPr="00FA5AA8">
        <w:rPr>
          <w:rFonts w:ascii="Arial" w:hAnsi="Arial" w:cs="Arial"/>
          <w:i/>
          <w:iCs/>
        </w:rPr>
        <w:t>Neuroscience</w:t>
      </w:r>
      <w:r w:rsidRPr="00FA5AA8">
        <w:rPr>
          <w:rFonts w:ascii="Arial" w:hAnsi="Arial" w:cs="Arial"/>
        </w:rPr>
        <w:t xml:space="preserve"> </w:t>
      </w:r>
      <w:r w:rsidRPr="00FA5AA8">
        <w:rPr>
          <w:rFonts w:ascii="Arial" w:hAnsi="Arial" w:cs="Arial"/>
          <w:b/>
          <w:bCs/>
        </w:rPr>
        <w:t>472</w:t>
      </w:r>
      <w:r w:rsidRPr="00FA5AA8">
        <w:rPr>
          <w:rFonts w:ascii="Arial" w:hAnsi="Arial" w:cs="Arial"/>
        </w:rPr>
        <w:t>, 11–24 (2021).</w:t>
      </w:r>
    </w:p>
    <w:p w14:paraId="1C160CAE" w14:textId="77777777" w:rsidR="00FA07BD" w:rsidRPr="00FA5AA8" w:rsidRDefault="00FA07BD" w:rsidP="00FA07BD">
      <w:pPr>
        <w:pStyle w:val="Bibliografia"/>
        <w:rPr>
          <w:rFonts w:ascii="Arial" w:hAnsi="Arial" w:cs="Arial"/>
        </w:rPr>
      </w:pPr>
      <w:r w:rsidRPr="00FA5AA8">
        <w:rPr>
          <w:rFonts w:ascii="Arial" w:hAnsi="Arial" w:cs="Arial"/>
        </w:rPr>
        <w:t>15.</w:t>
      </w:r>
      <w:r w:rsidRPr="00FA5AA8">
        <w:rPr>
          <w:rFonts w:ascii="Arial" w:hAnsi="Arial" w:cs="Arial"/>
        </w:rPr>
        <w:tab/>
        <w:t xml:space="preserve">Neige, C. </w:t>
      </w:r>
      <w:r w:rsidRPr="00FA5AA8">
        <w:rPr>
          <w:rFonts w:ascii="Arial" w:hAnsi="Arial" w:cs="Arial"/>
          <w:i/>
          <w:iCs/>
        </w:rPr>
        <w:t>et al.</w:t>
      </w:r>
      <w:r w:rsidRPr="00FA5AA8">
        <w:rPr>
          <w:rFonts w:ascii="Arial" w:hAnsi="Arial" w:cs="Arial"/>
        </w:rPr>
        <w:t xml:space="preserve"> Probing the influence of SMA and vmPFC on the motor system with dual-site transcranial magnetic stimulation. 2022.01.18.476729 Preprint at https://doi.org/10.1101/2022.01.18.476729 (2022).</w:t>
      </w:r>
    </w:p>
    <w:p w14:paraId="14F141B6" w14:textId="77777777" w:rsidR="00FA07BD" w:rsidRPr="00FA5AA8" w:rsidRDefault="00FA07BD" w:rsidP="00FA07BD">
      <w:pPr>
        <w:pStyle w:val="Bibliografia"/>
        <w:rPr>
          <w:rFonts w:ascii="Arial" w:hAnsi="Arial" w:cs="Arial"/>
        </w:rPr>
      </w:pPr>
      <w:r w:rsidRPr="00FA5AA8">
        <w:rPr>
          <w:rFonts w:ascii="Arial" w:hAnsi="Arial" w:cs="Arial"/>
        </w:rPr>
        <w:t>16.</w:t>
      </w:r>
      <w:r w:rsidRPr="00FA5AA8">
        <w:rPr>
          <w:rFonts w:ascii="Arial" w:hAnsi="Arial" w:cs="Arial"/>
        </w:rPr>
        <w:tab/>
        <w:t xml:space="preserve">Davare, M., Lemon, R. &amp; Olivier, E. Selective modulation of interactions between ventral premotor cortex and primary motor cortex during precision grasping in humans. </w:t>
      </w:r>
      <w:r w:rsidRPr="00FA5AA8">
        <w:rPr>
          <w:rFonts w:ascii="Arial" w:hAnsi="Arial" w:cs="Arial"/>
          <w:i/>
          <w:iCs/>
        </w:rPr>
        <w:t>J Physiol</w:t>
      </w:r>
      <w:r w:rsidRPr="00FA5AA8">
        <w:rPr>
          <w:rFonts w:ascii="Arial" w:hAnsi="Arial" w:cs="Arial"/>
        </w:rPr>
        <w:t xml:space="preserve"> </w:t>
      </w:r>
      <w:r w:rsidRPr="00FA5AA8">
        <w:rPr>
          <w:rFonts w:ascii="Arial" w:hAnsi="Arial" w:cs="Arial"/>
          <w:b/>
          <w:bCs/>
        </w:rPr>
        <w:t>586</w:t>
      </w:r>
      <w:r w:rsidRPr="00FA5AA8">
        <w:rPr>
          <w:rFonts w:ascii="Arial" w:hAnsi="Arial" w:cs="Arial"/>
        </w:rPr>
        <w:t>, 2735–2742 (2008).</w:t>
      </w:r>
    </w:p>
    <w:p w14:paraId="06729613" w14:textId="77777777" w:rsidR="00FA07BD" w:rsidRPr="00FA5AA8" w:rsidRDefault="00FA07BD" w:rsidP="00FA07BD">
      <w:pPr>
        <w:pStyle w:val="Bibliografia"/>
        <w:rPr>
          <w:rFonts w:ascii="Arial" w:hAnsi="Arial" w:cs="Arial"/>
        </w:rPr>
      </w:pPr>
      <w:r w:rsidRPr="00FA5AA8">
        <w:rPr>
          <w:rFonts w:ascii="Arial" w:hAnsi="Arial" w:cs="Arial"/>
        </w:rPr>
        <w:t>17.</w:t>
      </w:r>
      <w:r w:rsidRPr="00FA5AA8">
        <w:rPr>
          <w:rFonts w:ascii="Arial" w:hAnsi="Arial" w:cs="Arial"/>
        </w:rPr>
        <w:tab/>
        <w:t xml:space="preserve">Rossini, P. M. </w:t>
      </w:r>
      <w:r w:rsidRPr="00FA5AA8">
        <w:rPr>
          <w:rFonts w:ascii="Arial" w:hAnsi="Arial" w:cs="Arial"/>
          <w:i/>
          <w:iCs/>
        </w:rPr>
        <w:t>et al.</w:t>
      </w:r>
      <w:r w:rsidRPr="00FA5AA8">
        <w:rPr>
          <w:rFonts w:ascii="Arial" w:hAnsi="Arial" w:cs="Arial"/>
        </w:rPr>
        <w:t xml:space="preserve"> Non-invasive electrical and magnetic stimulation of the brain, spinal cord, roots and peripheral nerves: Basic principles and procedures for routine clinical and research application: An updated report from an I.F.C.N. Committee. </w:t>
      </w:r>
      <w:r w:rsidRPr="00FA5AA8">
        <w:rPr>
          <w:rFonts w:ascii="Arial" w:hAnsi="Arial" w:cs="Arial"/>
          <w:i/>
          <w:iCs/>
        </w:rPr>
        <w:t>Clinical Neurophysiology</w:t>
      </w:r>
      <w:r w:rsidRPr="00FA5AA8">
        <w:rPr>
          <w:rFonts w:ascii="Arial" w:hAnsi="Arial" w:cs="Arial"/>
        </w:rPr>
        <w:t xml:space="preserve"> </w:t>
      </w:r>
      <w:r w:rsidRPr="00FA5AA8">
        <w:rPr>
          <w:rFonts w:ascii="Arial" w:hAnsi="Arial" w:cs="Arial"/>
          <w:b/>
          <w:bCs/>
        </w:rPr>
        <w:t>126</w:t>
      </w:r>
      <w:r w:rsidRPr="00FA5AA8">
        <w:rPr>
          <w:rFonts w:ascii="Arial" w:hAnsi="Arial" w:cs="Arial"/>
        </w:rPr>
        <w:t>, 1071–1107 (2015).</w:t>
      </w:r>
    </w:p>
    <w:p w14:paraId="74F3F7CB" w14:textId="77777777" w:rsidR="00FA07BD" w:rsidRPr="00FA5AA8" w:rsidRDefault="00FA07BD" w:rsidP="00FA07BD">
      <w:pPr>
        <w:pStyle w:val="Bibliografia"/>
        <w:rPr>
          <w:rFonts w:ascii="Arial" w:hAnsi="Arial" w:cs="Arial"/>
        </w:rPr>
      </w:pPr>
      <w:r w:rsidRPr="00FA5AA8">
        <w:rPr>
          <w:rFonts w:ascii="Arial" w:hAnsi="Arial" w:cs="Arial"/>
        </w:rPr>
        <w:t>18.</w:t>
      </w:r>
      <w:r w:rsidRPr="00FA5AA8">
        <w:rPr>
          <w:rFonts w:ascii="Arial" w:hAnsi="Arial" w:cs="Arial"/>
        </w:rPr>
        <w:tab/>
        <w:t xml:space="preserve">Buch, E. R., Mars, R. B., Boorman, E. D. &amp; Rushworth, M. F. S. A network centered on ventral premotor cortex exerts both facilitatory and inhibitory control over primary motor cortex during action reprogramming. </w:t>
      </w:r>
      <w:r w:rsidRPr="00FA5AA8">
        <w:rPr>
          <w:rFonts w:ascii="Arial" w:hAnsi="Arial" w:cs="Arial"/>
          <w:i/>
          <w:iCs/>
        </w:rPr>
        <w:t>Journal of Neuroscience</w:t>
      </w:r>
      <w:r w:rsidRPr="00FA5AA8">
        <w:rPr>
          <w:rFonts w:ascii="Arial" w:hAnsi="Arial" w:cs="Arial"/>
        </w:rPr>
        <w:t xml:space="preserve"> </w:t>
      </w:r>
      <w:r w:rsidRPr="00FA5AA8">
        <w:rPr>
          <w:rFonts w:ascii="Arial" w:hAnsi="Arial" w:cs="Arial"/>
          <w:b/>
          <w:bCs/>
        </w:rPr>
        <w:t>30</w:t>
      </w:r>
      <w:r w:rsidRPr="00FA5AA8">
        <w:rPr>
          <w:rFonts w:ascii="Arial" w:hAnsi="Arial" w:cs="Arial"/>
        </w:rPr>
        <w:t>, 1395–1401 (2010).</w:t>
      </w:r>
    </w:p>
    <w:p w14:paraId="4E761CFB" w14:textId="77777777" w:rsidR="00FA07BD" w:rsidRPr="00FA5AA8" w:rsidRDefault="00FA07BD" w:rsidP="00FA07BD">
      <w:pPr>
        <w:pStyle w:val="Bibliografia"/>
        <w:rPr>
          <w:rFonts w:ascii="Arial" w:hAnsi="Arial" w:cs="Arial"/>
        </w:rPr>
      </w:pPr>
      <w:r w:rsidRPr="00FA5AA8">
        <w:rPr>
          <w:rFonts w:ascii="Arial" w:hAnsi="Arial" w:cs="Arial"/>
        </w:rPr>
        <w:t>19.</w:t>
      </w:r>
      <w:r w:rsidRPr="00FA5AA8">
        <w:rPr>
          <w:rFonts w:ascii="Arial" w:hAnsi="Arial" w:cs="Arial"/>
        </w:rPr>
        <w:tab/>
        <w:t xml:space="preserve">Avenanti, A., Annela, L. &amp; Serino, A. Suppression of premotor cortex disrupts motor coding of peripersonal space. </w:t>
      </w:r>
      <w:r w:rsidRPr="00FA5AA8">
        <w:rPr>
          <w:rFonts w:ascii="Arial" w:hAnsi="Arial" w:cs="Arial"/>
          <w:i/>
          <w:iCs/>
        </w:rPr>
        <w:t>NeuroImage</w:t>
      </w:r>
      <w:r w:rsidRPr="00FA5AA8">
        <w:rPr>
          <w:rFonts w:ascii="Arial" w:hAnsi="Arial" w:cs="Arial"/>
        </w:rPr>
        <w:t xml:space="preserve"> </w:t>
      </w:r>
      <w:r w:rsidRPr="00FA5AA8">
        <w:rPr>
          <w:rFonts w:ascii="Arial" w:hAnsi="Arial" w:cs="Arial"/>
          <w:b/>
          <w:bCs/>
        </w:rPr>
        <w:t>63</w:t>
      </w:r>
      <w:r w:rsidRPr="00FA5AA8">
        <w:rPr>
          <w:rFonts w:ascii="Arial" w:hAnsi="Arial" w:cs="Arial"/>
        </w:rPr>
        <w:t>, 281–288 (2012).</w:t>
      </w:r>
    </w:p>
    <w:p w14:paraId="2442BB4D" w14:textId="77777777" w:rsidR="00FA07BD" w:rsidRPr="00FA5AA8" w:rsidRDefault="00FA07BD" w:rsidP="00FA07BD">
      <w:pPr>
        <w:pStyle w:val="Bibliografia"/>
        <w:rPr>
          <w:rFonts w:ascii="Arial" w:hAnsi="Arial" w:cs="Arial"/>
        </w:rPr>
      </w:pPr>
      <w:r w:rsidRPr="00FA5AA8">
        <w:rPr>
          <w:rFonts w:ascii="Arial" w:hAnsi="Arial" w:cs="Arial"/>
        </w:rPr>
        <w:t>20.</w:t>
      </w:r>
      <w:r w:rsidRPr="00FA5AA8">
        <w:rPr>
          <w:rFonts w:ascii="Arial" w:hAnsi="Arial" w:cs="Arial"/>
        </w:rPr>
        <w:tab/>
        <w:t xml:space="preserve">Avenanti, A., Paracampo, R., Annella, L., Tidoni, E. &amp; Aglioti, S. M. Boosting and Decreasing Action Prediction Abilities Through Excitatory and Inhibitory tDCS of Inferior Frontal Cortex. </w:t>
      </w:r>
      <w:r w:rsidRPr="00FA5AA8">
        <w:rPr>
          <w:rFonts w:ascii="Arial" w:hAnsi="Arial" w:cs="Arial"/>
          <w:i/>
          <w:iCs/>
        </w:rPr>
        <w:t>Cerebral Cortex</w:t>
      </w:r>
      <w:r w:rsidRPr="00FA5AA8">
        <w:rPr>
          <w:rFonts w:ascii="Arial" w:hAnsi="Arial" w:cs="Arial"/>
        </w:rPr>
        <w:t xml:space="preserve"> </w:t>
      </w:r>
      <w:r w:rsidRPr="00FA5AA8">
        <w:rPr>
          <w:rFonts w:ascii="Arial" w:hAnsi="Arial" w:cs="Arial"/>
          <w:b/>
          <w:bCs/>
        </w:rPr>
        <w:t>28</w:t>
      </w:r>
      <w:r w:rsidRPr="00FA5AA8">
        <w:rPr>
          <w:rFonts w:ascii="Arial" w:hAnsi="Arial" w:cs="Arial"/>
        </w:rPr>
        <w:t>, 1282–1296 (2018).</w:t>
      </w:r>
    </w:p>
    <w:p w14:paraId="2F1844F4" w14:textId="77777777" w:rsidR="00FA07BD" w:rsidRPr="00FA5AA8" w:rsidRDefault="00FA07BD" w:rsidP="00FA07BD">
      <w:pPr>
        <w:pStyle w:val="Bibliografia"/>
        <w:rPr>
          <w:rFonts w:ascii="Arial" w:hAnsi="Arial" w:cs="Arial"/>
        </w:rPr>
      </w:pPr>
      <w:r w:rsidRPr="00FA5AA8">
        <w:rPr>
          <w:rFonts w:ascii="Arial" w:hAnsi="Arial" w:cs="Arial"/>
        </w:rPr>
        <w:lastRenderedPageBreak/>
        <w:t>21.</w:t>
      </w:r>
      <w:r w:rsidRPr="00FA5AA8">
        <w:rPr>
          <w:rFonts w:ascii="Arial" w:hAnsi="Arial" w:cs="Arial"/>
        </w:rPr>
        <w:tab/>
        <w:t xml:space="preserve">Dafotakis, M., Sparing, R., Eickhoff, S. B., Fink, G. R. &amp; Nowak, D. A. On the role of the ventral premotor cortex and anterior intraparietal area for predictive and reactive scaling of grip force. </w:t>
      </w:r>
      <w:r w:rsidRPr="00FA5AA8">
        <w:rPr>
          <w:rFonts w:ascii="Arial" w:hAnsi="Arial" w:cs="Arial"/>
          <w:i/>
          <w:iCs/>
        </w:rPr>
        <w:t>Brain Research</w:t>
      </w:r>
      <w:r w:rsidRPr="00FA5AA8">
        <w:rPr>
          <w:rFonts w:ascii="Arial" w:hAnsi="Arial" w:cs="Arial"/>
        </w:rPr>
        <w:t xml:space="preserve"> </w:t>
      </w:r>
      <w:r w:rsidRPr="00FA5AA8">
        <w:rPr>
          <w:rFonts w:ascii="Arial" w:hAnsi="Arial" w:cs="Arial"/>
          <w:b/>
          <w:bCs/>
        </w:rPr>
        <w:t>1228</w:t>
      </w:r>
      <w:r w:rsidRPr="00FA5AA8">
        <w:rPr>
          <w:rFonts w:ascii="Arial" w:hAnsi="Arial" w:cs="Arial"/>
        </w:rPr>
        <w:t>, 73–80 (2008).</w:t>
      </w:r>
    </w:p>
    <w:p w14:paraId="5119FF29" w14:textId="77777777" w:rsidR="00FA07BD" w:rsidRPr="00FA5AA8" w:rsidRDefault="00FA07BD" w:rsidP="00FA07BD">
      <w:pPr>
        <w:pStyle w:val="Bibliografia"/>
        <w:rPr>
          <w:rFonts w:ascii="Arial" w:hAnsi="Arial" w:cs="Arial"/>
        </w:rPr>
      </w:pPr>
      <w:r w:rsidRPr="00FA5AA8">
        <w:rPr>
          <w:rFonts w:ascii="Arial" w:hAnsi="Arial" w:cs="Arial"/>
        </w:rPr>
        <w:t>22.</w:t>
      </w:r>
      <w:r w:rsidRPr="00FA5AA8">
        <w:rPr>
          <w:rFonts w:ascii="Arial" w:hAnsi="Arial" w:cs="Arial"/>
        </w:rPr>
        <w:tab/>
        <w:t xml:space="preserve">Davare, M., Andres, M., Cosnard, G., Thonnard, J.-L. &amp; Olivier, E. Dissociating the Role of Ventral and Dorsal Premotor Cortex in Precision Grasping. </w:t>
      </w:r>
      <w:r w:rsidRPr="00FA5AA8">
        <w:rPr>
          <w:rFonts w:ascii="Arial" w:hAnsi="Arial" w:cs="Arial"/>
          <w:i/>
          <w:iCs/>
        </w:rPr>
        <w:t>J. Neurosci.</w:t>
      </w:r>
      <w:r w:rsidRPr="00FA5AA8">
        <w:rPr>
          <w:rFonts w:ascii="Arial" w:hAnsi="Arial" w:cs="Arial"/>
        </w:rPr>
        <w:t xml:space="preserve"> </w:t>
      </w:r>
      <w:r w:rsidRPr="00FA5AA8">
        <w:rPr>
          <w:rFonts w:ascii="Arial" w:hAnsi="Arial" w:cs="Arial"/>
          <w:b/>
          <w:bCs/>
        </w:rPr>
        <w:t>26</w:t>
      </w:r>
      <w:r w:rsidRPr="00FA5AA8">
        <w:rPr>
          <w:rFonts w:ascii="Arial" w:hAnsi="Arial" w:cs="Arial"/>
        </w:rPr>
        <w:t>, 2260–2268 (2006).</w:t>
      </w:r>
    </w:p>
    <w:p w14:paraId="6D5E9C69" w14:textId="77777777" w:rsidR="00FA07BD" w:rsidRPr="00FA5AA8" w:rsidRDefault="00FA07BD" w:rsidP="00FA07BD">
      <w:pPr>
        <w:pStyle w:val="Bibliografia"/>
        <w:rPr>
          <w:rFonts w:ascii="Arial" w:hAnsi="Arial" w:cs="Arial"/>
        </w:rPr>
      </w:pPr>
      <w:r w:rsidRPr="00FA5AA8">
        <w:rPr>
          <w:rFonts w:ascii="Arial" w:hAnsi="Arial" w:cs="Arial"/>
        </w:rPr>
        <w:t>23.</w:t>
      </w:r>
      <w:r w:rsidRPr="00FA5AA8">
        <w:rPr>
          <w:rFonts w:ascii="Arial" w:hAnsi="Arial" w:cs="Arial"/>
        </w:rPr>
        <w:tab/>
        <w:t xml:space="preserve">Jacquet, P. O. &amp; Avenanti, A. Perturbing the Action Observation Network During Perception and Categorization of Actions’ Goals and Grips: State-Dependency and Virtual Lesion TMS Effects. </w:t>
      </w:r>
      <w:r w:rsidRPr="00FA5AA8">
        <w:rPr>
          <w:rFonts w:ascii="Arial" w:hAnsi="Arial" w:cs="Arial"/>
          <w:i/>
          <w:iCs/>
        </w:rPr>
        <w:t>Cerebral Cortex</w:t>
      </w:r>
      <w:r w:rsidRPr="00FA5AA8">
        <w:rPr>
          <w:rFonts w:ascii="Arial" w:hAnsi="Arial" w:cs="Arial"/>
        </w:rPr>
        <w:t xml:space="preserve"> </w:t>
      </w:r>
      <w:r w:rsidRPr="00FA5AA8">
        <w:rPr>
          <w:rFonts w:ascii="Arial" w:hAnsi="Arial" w:cs="Arial"/>
          <w:b/>
          <w:bCs/>
        </w:rPr>
        <w:t>25</w:t>
      </w:r>
      <w:r w:rsidRPr="00FA5AA8">
        <w:rPr>
          <w:rFonts w:ascii="Arial" w:hAnsi="Arial" w:cs="Arial"/>
        </w:rPr>
        <w:t>, 598–608 (2015).</w:t>
      </w:r>
    </w:p>
    <w:p w14:paraId="61A36426" w14:textId="77777777" w:rsidR="00FA07BD" w:rsidRPr="00FA5AA8" w:rsidRDefault="00FA07BD" w:rsidP="00FA07BD">
      <w:pPr>
        <w:pStyle w:val="Bibliografia"/>
        <w:rPr>
          <w:rFonts w:ascii="Arial" w:hAnsi="Arial" w:cs="Arial"/>
        </w:rPr>
      </w:pPr>
      <w:r w:rsidRPr="00FA5AA8">
        <w:rPr>
          <w:rFonts w:ascii="Arial" w:hAnsi="Arial" w:cs="Arial"/>
        </w:rPr>
        <w:t>24.</w:t>
      </w:r>
      <w:r w:rsidRPr="00FA5AA8">
        <w:rPr>
          <w:rFonts w:ascii="Arial" w:hAnsi="Arial" w:cs="Arial"/>
        </w:rPr>
        <w:tab/>
        <w:t xml:space="preserve">Mayka, M. A., Corcos, D. M., Leurgans, S. E. &amp; Vaillancourt, D. E. Three-dimensional locations and boundaries of motor and premotor cortices as defined by functional brain imaging: A meta-analysis. </w:t>
      </w:r>
      <w:r w:rsidRPr="00FA5AA8">
        <w:rPr>
          <w:rFonts w:ascii="Arial" w:hAnsi="Arial" w:cs="Arial"/>
          <w:i/>
          <w:iCs/>
        </w:rPr>
        <w:t>NeuroImage</w:t>
      </w:r>
      <w:r w:rsidRPr="00FA5AA8">
        <w:rPr>
          <w:rFonts w:ascii="Arial" w:hAnsi="Arial" w:cs="Arial"/>
        </w:rPr>
        <w:t xml:space="preserve"> </w:t>
      </w:r>
      <w:r w:rsidRPr="00FA5AA8">
        <w:rPr>
          <w:rFonts w:ascii="Arial" w:hAnsi="Arial" w:cs="Arial"/>
          <w:b/>
          <w:bCs/>
        </w:rPr>
        <w:t>31</w:t>
      </w:r>
      <w:r w:rsidRPr="00FA5AA8">
        <w:rPr>
          <w:rFonts w:ascii="Arial" w:hAnsi="Arial" w:cs="Arial"/>
        </w:rPr>
        <w:t>, 1453–1474 (2006).</w:t>
      </w:r>
    </w:p>
    <w:p w14:paraId="315268B6" w14:textId="0A59578B" w:rsidR="00BF44E9" w:rsidRPr="00FA5AA8" w:rsidRDefault="00BD5DC6" w:rsidP="00A62B34">
      <w:pPr>
        <w:spacing w:line="360" w:lineRule="auto"/>
        <w:ind w:left="426" w:hanging="426"/>
        <w:rPr>
          <w:rFonts w:ascii="Arial" w:hAnsi="Arial" w:cs="Arial"/>
          <w:lang w:val="en-US"/>
        </w:rPr>
      </w:pPr>
      <w:r w:rsidRPr="00FA5AA8">
        <w:rPr>
          <w:rFonts w:ascii="Arial" w:hAnsi="Arial" w:cs="Arial"/>
          <w:lang w:val="en-US"/>
        </w:rPr>
        <w:fldChar w:fldCharType="end"/>
      </w:r>
      <w:r w:rsidR="002C69E2" w:rsidRPr="00FA5AA8">
        <w:rPr>
          <w:rFonts w:ascii="Arial" w:hAnsi="Arial" w:cs="Arial"/>
          <w:lang w:val="en-US"/>
        </w:rPr>
        <w:t>2</w:t>
      </w:r>
      <w:r w:rsidR="009F099A" w:rsidRPr="00FA5AA8">
        <w:rPr>
          <w:rFonts w:ascii="Arial" w:hAnsi="Arial" w:cs="Arial"/>
          <w:lang w:val="en-US"/>
        </w:rPr>
        <w:t>5</w:t>
      </w:r>
      <w:r w:rsidR="00A62B34">
        <w:rPr>
          <w:rFonts w:ascii="Arial" w:hAnsi="Arial" w:cs="Arial"/>
          <w:lang w:val="en-US"/>
        </w:rPr>
        <w:t>.</w:t>
      </w:r>
      <w:r w:rsidR="000B3887" w:rsidRPr="00FA5AA8">
        <w:rPr>
          <w:rFonts w:ascii="Arial" w:hAnsi="Arial" w:cs="Arial"/>
          <w:lang w:val="en-US"/>
        </w:rPr>
        <w:tab/>
      </w:r>
      <w:r w:rsidR="00BF44E9" w:rsidRPr="00FA5AA8">
        <w:rPr>
          <w:rFonts w:ascii="Arial" w:hAnsi="Arial" w:cs="Arial"/>
          <w:lang w:val="en-US"/>
        </w:rPr>
        <w:t>Turrini S</w:t>
      </w:r>
      <w:r w:rsidR="00C46BD1" w:rsidRPr="00FA5AA8">
        <w:rPr>
          <w:rFonts w:ascii="Arial" w:hAnsi="Arial" w:cs="Arial"/>
          <w:lang w:val="en-US"/>
        </w:rPr>
        <w:t>.</w:t>
      </w:r>
      <w:r w:rsidR="00BF44E9" w:rsidRPr="00FA5AA8">
        <w:rPr>
          <w:rFonts w:ascii="Arial" w:hAnsi="Arial" w:cs="Arial"/>
          <w:lang w:val="en-US"/>
        </w:rPr>
        <w:t xml:space="preserve"> </w:t>
      </w:r>
      <w:proofErr w:type="spellStart"/>
      <w:r w:rsidR="00BF44E9" w:rsidRPr="00FA5AA8">
        <w:rPr>
          <w:rFonts w:ascii="Arial" w:hAnsi="Arial" w:cs="Arial"/>
          <w:lang w:val="en-US"/>
        </w:rPr>
        <w:t>MEPautomatedanalysis</w:t>
      </w:r>
      <w:proofErr w:type="spellEnd"/>
      <w:r w:rsidR="00BF44E9" w:rsidRPr="00FA5AA8">
        <w:rPr>
          <w:rFonts w:ascii="Arial" w:hAnsi="Arial" w:cs="Arial"/>
          <w:lang w:val="en-US"/>
        </w:rPr>
        <w:t xml:space="preserve"> (Version 1.1).</w:t>
      </w:r>
      <w:r w:rsidR="002C69E2" w:rsidRPr="00FA5AA8">
        <w:rPr>
          <w:rFonts w:ascii="Arial" w:hAnsi="Arial" w:cs="Arial"/>
          <w:lang w:val="en-US"/>
        </w:rPr>
        <w:t xml:space="preserve"> (2023)</w:t>
      </w:r>
      <w:r w:rsidR="000244F2" w:rsidRPr="00FA5AA8">
        <w:rPr>
          <w:rFonts w:ascii="Arial" w:hAnsi="Arial" w:cs="Arial"/>
          <w:lang w:val="en-US"/>
        </w:rPr>
        <w:t xml:space="preserve">. </w:t>
      </w:r>
      <w:r w:rsidR="00BF44E9" w:rsidRPr="00FA5AA8">
        <w:rPr>
          <w:rFonts w:ascii="Arial" w:hAnsi="Arial" w:cs="Arial"/>
          <w:lang w:val="en-US"/>
        </w:rPr>
        <w:t>https://github.com/SoniaTurrini/</w:t>
      </w:r>
      <w:r w:rsidRPr="00FA5AA8">
        <w:rPr>
          <w:rFonts w:ascii="Arial" w:hAnsi="Arial" w:cs="Arial"/>
        </w:rPr>
        <w:br/>
      </w:r>
      <w:proofErr w:type="spellStart"/>
      <w:r w:rsidR="00BF44E9" w:rsidRPr="00FA5AA8">
        <w:rPr>
          <w:rFonts w:ascii="Arial" w:hAnsi="Arial" w:cs="Arial"/>
          <w:lang w:val="en-US"/>
        </w:rPr>
        <w:t>MEPautomatedanalysis.git</w:t>
      </w:r>
      <w:proofErr w:type="spellEnd"/>
    </w:p>
    <w:sectPr w:rsidR="00BF44E9" w:rsidRPr="00FA5AA8">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AD045F" w14:textId="77777777" w:rsidR="00E9585F" w:rsidRDefault="00E9585F" w:rsidP="00BA0B40">
      <w:pPr>
        <w:spacing w:after="0" w:line="240" w:lineRule="auto"/>
      </w:pPr>
      <w:r>
        <w:separator/>
      </w:r>
    </w:p>
  </w:endnote>
  <w:endnote w:type="continuationSeparator" w:id="0">
    <w:p w14:paraId="2ACD302B" w14:textId="77777777" w:rsidR="00E9585F" w:rsidRDefault="00E9585F" w:rsidP="00BA0B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5601BF" w14:textId="77777777" w:rsidR="00E9585F" w:rsidRDefault="00E9585F" w:rsidP="00BA0B40">
      <w:pPr>
        <w:spacing w:after="0" w:line="240" w:lineRule="auto"/>
      </w:pPr>
      <w:r>
        <w:separator/>
      </w:r>
    </w:p>
  </w:footnote>
  <w:footnote w:type="continuationSeparator" w:id="0">
    <w:p w14:paraId="667ACD9E" w14:textId="77777777" w:rsidR="00E9585F" w:rsidRDefault="00E9585F" w:rsidP="00BA0B4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7262"/>
    <w:rsid w:val="00002AA4"/>
    <w:rsid w:val="000039DD"/>
    <w:rsid w:val="00011D21"/>
    <w:rsid w:val="00012E8C"/>
    <w:rsid w:val="00013574"/>
    <w:rsid w:val="000244F2"/>
    <w:rsid w:val="000247D5"/>
    <w:rsid w:val="0002748C"/>
    <w:rsid w:val="00030871"/>
    <w:rsid w:val="000439EC"/>
    <w:rsid w:val="00066ECA"/>
    <w:rsid w:val="00070CAB"/>
    <w:rsid w:val="000759CE"/>
    <w:rsid w:val="000835D4"/>
    <w:rsid w:val="00087340"/>
    <w:rsid w:val="00090515"/>
    <w:rsid w:val="00093173"/>
    <w:rsid w:val="00095EE0"/>
    <w:rsid w:val="00097360"/>
    <w:rsid w:val="000B091F"/>
    <w:rsid w:val="000B12D2"/>
    <w:rsid w:val="000B1364"/>
    <w:rsid w:val="000B3887"/>
    <w:rsid w:val="000B7670"/>
    <w:rsid w:val="000C42D1"/>
    <w:rsid w:val="000C5272"/>
    <w:rsid w:val="000D0635"/>
    <w:rsid w:val="000D160F"/>
    <w:rsid w:val="000E0E5D"/>
    <w:rsid w:val="000E5685"/>
    <w:rsid w:val="000E608F"/>
    <w:rsid w:val="000E7056"/>
    <w:rsid w:val="001018C2"/>
    <w:rsid w:val="00103F41"/>
    <w:rsid w:val="0010402B"/>
    <w:rsid w:val="0010696C"/>
    <w:rsid w:val="001123FD"/>
    <w:rsid w:val="00117464"/>
    <w:rsid w:val="00122EAA"/>
    <w:rsid w:val="0012474C"/>
    <w:rsid w:val="00126A11"/>
    <w:rsid w:val="00132D93"/>
    <w:rsid w:val="0013569B"/>
    <w:rsid w:val="001501B5"/>
    <w:rsid w:val="00151900"/>
    <w:rsid w:val="00155D9F"/>
    <w:rsid w:val="0015711E"/>
    <w:rsid w:val="0016064F"/>
    <w:rsid w:val="00167EFA"/>
    <w:rsid w:val="00167FEC"/>
    <w:rsid w:val="00176DE9"/>
    <w:rsid w:val="00180040"/>
    <w:rsid w:val="001821E5"/>
    <w:rsid w:val="00185FC5"/>
    <w:rsid w:val="001971FD"/>
    <w:rsid w:val="001A3F8A"/>
    <w:rsid w:val="001A4D63"/>
    <w:rsid w:val="001A6045"/>
    <w:rsid w:val="001A666A"/>
    <w:rsid w:val="001C5FA3"/>
    <w:rsid w:val="001C656F"/>
    <w:rsid w:val="001D308F"/>
    <w:rsid w:val="001D5CED"/>
    <w:rsid w:val="001E2FA0"/>
    <w:rsid w:val="001E4BFE"/>
    <w:rsid w:val="001E7569"/>
    <w:rsid w:val="001F4B65"/>
    <w:rsid w:val="001F6A8C"/>
    <w:rsid w:val="002059FA"/>
    <w:rsid w:val="002326B6"/>
    <w:rsid w:val="002330AA"/>
    <w:rsid w:val="00235553"/>
    <w:rsid w:val="002420B9"/>
    <w:rsid w:val="0024454D"/>
    <w:rsid w:val="00253CC2"/>
    <w:rsid w:val="0026039E"/>
    <w:rsid w:val="0026769C"/>
    <w:rsid w:val="00273889"/>
    <w:rsid w:val="00282F1A"/>
    <w:rsid w:val="00286ED2"/>
    <w:rsid w:val="00290E25"/>
    <w:rsid w:val="002914CA"/>
    <w:rsid w:val="002A0DDF"/>
    <w:rsid w:val="002A7F9C"/>
    <w:rsid w:val="002B4B2B"/>
    <w:rsid w:val="002C216A"/>
    <w:rsid w:val="002C69E2"/>
    <w:rsid w:val="002C6CD8"/>
    <w:rsid w:val="002D4CC4"/>
    <w:rsid w:val="002D4DA4"/>
    <w:rsid w:val="002E069E"/>
    <w:rsid w:val="002E4EA5"/>
    <w:rsid w:val="00307FBA"/>
    <w:rsid w:val="00311BD4"/>
    <w:rsid w:val="00312606"/>
    <w:rsid w:val="00321E21"/>
    <w:rsid w:val="00331609"/>
    <w:rsid w:val="003325ED"/>
    <w:rsid w:val="0033288F"/>
    <w:rsid w:val="003333FA"/>
    <w:rsid w:val="00334F80"/>
    <w:rsid w:val="00344A76"/>
    <w:rsid w:val="00346856"/>
    <w:rsid w:val="003638FA"/>
    <w:rsid w:val="003767F5"/>
    <w:rsid w:val="0038155D"/>
    <w:rsid w:val="00382C15"/>
    <w:rsid w:val="003841EC"/>
    <w:rsid w:val="0038787D"/>
    <w:rsid w:val="00391B30"/>
    <w:rsid w:val="003A322F"/>
    <w:rsid w:val="003A6EAA"/>
    <w:rsid w:val="003A7002"/>
    <w:rsid w:val="003B22F8"/>
    <w:rsid w:val="003B6498"/>
    <w:rsid w:val="003B7E6B"/>
    <w:rsid w:val="003C5BD8"/>
    <w:rsid w:val="003D09DF"/>
    <w:rsid w:val="003D3994"/>
    <w:rsid w:val="003E3331"/>
    <w:rsid w:val="003F2EC3"/>
    <w:rsid w:val="003F7D52"/>
    <w:rsid w:val="00400B4E"/>
    <w:rsid w:val="00403027"/>
    <w:rsid w:val="00403559"/>
    <w:rsid w:val="0041605B"/>
    <w:rsid w:val="004177D7"/>
    <w:rsid w:val="004247FE"/>
    <w:rsid w:val="00424A9C"/>
    <w:rsid w:val="00431701"/>
    <w:rsid w:val="0043210F"/>
    <w:rsid w:val="00433F1E"/>
    <w:rsid w:val="00445D23"/>
    <w:rsid w:val="00446873"/>
    <w:rsid w:val="00450BFC"/>
    <w:rsid w:val="00456D07"/>
    <w:rsid w:val="00457BD0"/>
    <w:rsid w:val="00467A70"/>
    <w:rsid w:val="004730BD"/>
    <w:rsid w:val="004871FB"/>
    <w:rsid w:val="004A6B51"/>
    <w:rsid w:val="004A6FE3"/>
    <w:rsid w:val="004B3539"/>
    <w:rsid w:val="004C0898"/>
    <w:rsid w:val="004C3B3E"/>
    <w:rsid w:val="004D66F3"/>
    <w:rsid w:val="004E36E6"/>
    <w:rsid w:val="004E6D2D"/>
    <w:rsid w:val="004E7936"/>
    <w:rsid w:val="004F2599"/>
    <w:rsid w:val="005004C8"/>
    <w:rsid w:val="00506D56"/>
    <w:rsid w:val="00517F2A"/>
    <w:rsid w:val="00520DDD"/>
    <w:rsid w:val="005235E9"/>
    <w:rsid w:val="00525CD0"/>
    <w:rsid w:val="00530756"/>
    <w:rsid w:val="00530BF0"/>
    <w:rsid w:val="00531DC5"/>
    <w:rsid w:val="00534C15"/>
    <w:rsid w:val="00537775"/>
    <w:rsid w:val="005528A6"/>
    <w:rsid w:val="00552AC0"/>
    <w:rsid w:val="00554F3A"/>
    <w:rsid w:val="00557A78"/>
    <w:rsid w:val="00563568"/>
    <w:rsid w:val="005663BC"/>
    <w:rsid w:val="00567076"/>
    <w:rsid w:val="00583246"/>
    <w:rsid w:val="005A3B60"/>
    <w:rsid w:val="005A50FB"/>
    <w:rsid w:val="005B4C7B"/>
    <w:rsid w:val="005B5E17"/>
    <w:rsid w:val="005C0E11"/>
    <w:rsid w:val="005C4748"/>
    <w:rsid w:val="005C4B15"/>
    <w:rsid w:val="005D448E"/>
    <w:rsid w:val="005D5195"/>
    <w:rsid w:val="005D5D75"/>
    <w:rsid w:val="005D6A4C"/>
    <w:rsid w:val="005E05BA"/>
    <w:rsid w:val="005E4821"/>
    <w:rsid w:val="005F45F5"/>
    <w:rsid w:val="0060437D"/>
    <w:rsid w:val="006100BA"/>
    <w:rsid w:val="00617AF2"/>
    <w:rsid w:val="006341FD"/>
    <w:rsid w:val="006437CF"/>
    <w:rsid w:val="0064727F"/>
    <w:rsid w:val="00651836"/>
    <w:rsid w:val="006563B2"/>
    <w:rsid w:val="0066349A"/>
    <w:rsid w:val="00663E99"/>
    <w:rsid w:val="00665C0B"/>
    <w:rsid w:val="00673F01"/>
    <w:rsid w:val="00673F0A"/>
    <w:rsid w:val="006940CB"/>
    <w:rsid w:val="006E13C7"/>
    <w:rsid w:val="006E1E1A"/>
    <w:rsid w:val="006E490C"/>
    <w:rsid w:val="006E5BC6"/>
    <w:rsid w:val="006F0F7F"/>
    <w:rsid w:val="006F3C22"/>
    <w:rsid w:val="006F67AE"/>
    <w:rsid w:val="006F7AD6"/>
    <w:rsid w:val="007000FD"/>
    <w:rsid w:val="00707030"/>
    <w:rsid w:val="00711A8F"/>
    <w:rsid w:val="00716C79"/>
    <w:rsid w:val="0072175E"/>
    <w:rsid w:val="00724038"/>
    <w:rsid w:val="00731714"/>
    <w:rsid w:val="00743B93"/>
    <w:rsid w:val="00752CAF"/>
    <w:rsid w:val="00761D67"/>
    <w:rsid w:val="00765DDF"/>
    <w:rsid w:val="00770998"/>
    <w:rsid w:val="00771744"/>
    <w:rsid w:val="00772B0C"/>
    <w:rsid w:val="007831A6"/>
    <w:rsid w:val="00784100"/>
    <w:rsid w:val="0079158D"/>
    <w:rsid w:val="00795C0A"/>
    <w:rsid w:val="00796193"/>
    <w:rsid w:val="00796DDD"/>
    <w:rsid w:val="00797E3C"/>
    <w:rsid w:val="007A4B90"/>
    <w:rsid w:val="007A4C14"/>
    <w:rsid w:val="007B2427"/>
    <w:rsid w:val="007C195C"/>
    <w:rsid w:val="007C33FA"/>
    <w:rsid w:val="007D22BF"/>
    <w:rsid w:val="007D2803"/>
    <w:rsid w:val="007D29F7"/>
    <w:rsid w:val="007D5E7F"/>
    <w:rsid w:val="007E5065"/>
    <w:rsid w:val="007E6337"/>
    <w:rsid w:val="008035CC"/>
    <w:rsid w:val="00817F8D"/>
    <w:rsid w:val="0082238E"/>
    <w:rsid w:val="0082300A"/>
    <w:rsid w:val="008319E1"/>
    <w:rsid w:val="008374A1"/>
    <w:rsid w:val="00837EA7"/>
    <w:rsid w:val="00840099"/>
    <w:rsid w:val="00844508"/>
    <w:rsid w:val="008459C0"/>
    <w:rsid w:val="00845C0D"/>
    <w:rsid w:val="00854043"/>
    <w:rsid w:val="008563AF"/>
    <w:rsid w:val="00861075"/>
    <w:rsid w:val="00861B92"/>
    <w:rsid w:val="00861C90"/>
    <w:rsid w:val="00876E22"/>
    <w:rsid w:val="008822B2"/>
    <w:rsid w:val="00883552"/>
    <w:rsid w:val="00887AD6"/>
    <w:rsid w:val="00891F02"/>
    <w:rsid w:val="008967F2"/>
    <w:rsid w:val="0089729A"/>
    <w:rsid w:val="008A0201"/>
    <w:rsid w:val="008B2692"/>
    <w:rsid w:val="008B3E08"/>
    <w:rsid w:val="008D14A6"/>
    <w:rsid w:val="008D5D3A"/>
    <w:rsid w:val="008E221D"/>
    <w:rsid w:val="008E4B57"/>
    <w:rsid w:val="008F2684"/>
    <w:rsid w:val="008F3343"/>
    <w:rsid w:val="009019A3"/>
    <w:rsid w:val="00901FCD"/>
    <w:rsid w:val="009141E3"/>
    <w:rsid w:val="0091590C"/>
    <w:rsid w:val="00921758"/>
    <w:rsid w:val="00941352"/>
    <w:rsid w:val="00941E50"/>
    <w:rsid w:val="00944B56"/>
    <w:rsid w:val="009451F1"/>
    <w:rsid w:val="0095723D"/>
    <w:rsid w:val="00971A8C"/>
    <w:rsid w:val="00977262"/>
    <w:rsid w:val="00984568"/>
    <w:rsid w:val="00984EE0"/>
    <w:rsid w:val="00986DC0"/>
    <w:rsid w:val="009C0999"/>
    <w:rsid w:val="009C1F04"/>
    <w:rsid w:val="009C2FB1"/>
    <w:rsid w:val="009D0DA9"/>
    <w:rsid w:val="009D68F6"/>
    <w:rsid w:val="009F099A"/>
    <w:rsid w:val="009F2E56"/>
    <w:rsid w:val="009F3FDA"/>
    <w:rsid w:val="00A05344"/>
    <w:rsid w:val="00A05788"/>
    <w:rsid w:val="00A335E7"/>
    <w:rsid w:val="00A41BCB"/>
    <w:rsid w:val="00A44579"/>
    <w:rsid w:val="00A50ABC"/>
    <w:rsid w:val="00A62119"/>
    <w:rsid w:val="00A62B34"/>
    <w:rsid w:val="00A63806"/>
    <w:rsid w:val="00A7281F"/>
    <w:rsid w:val="00A841BF"/>
    <w:rsid w:val="00AC2D41"/>
    <w:rsid w:val="00AD7241"/>
    <w:rsid w:val="00AE4824"/>
    <w:rsid w:val="00AE6D0C"/>
    <w:rsid w:val="00AE78A5"/>
    <w:rsid w:val="00AF01AE"/>
    <w:rsid w:val="00AF7F04"/>
    <w:rsid w:val="00B1494A"/>
    <w:rsid w:val="00B27DA2"/>
    <w:rsid w:val="00B30898"/>
    <w:rsid w:val="00B3693C"/>
    <w:rsid w:val="00B37744"/>
    <w:rsid w:val="00B41D1C"/>
    <w:rsid w:val="00B54F4E"/>
    <w:rsid w:val="00B55849"/>
    <w:rsid w:val="00B55F33"/>
    <w:rsid w:val="00B620B3"/>
    <w:rsid w:val="00B72EBF"/>
    <w:rsid w:val="00B8300D"/>
    <w:rsid w:val="00B83229"/>
    <w:rsid w:val="00B96649"/>
    <w:rsid w:val="00BA0B40"/>
    <w:rsid w:val="00BB2446"/>
    <w:rsid w:val="00BB33A5"/>
    <w:rsid w:val="00BB6E74"/>
    <w:rsid w:val="00BD5DC6"/>
    <w:rsid w:val="00BD6DDA"/>
    <w:rsid w:val="00BE1020"/>
    <w:rsid w:val="00BE1583"/>
    <w:rsid w:val="00BE283C"/>
    <w:rsid w:val="00BE474B"/>
    <w:rsid w:val="00BE6526"/>
    <w:rsid w:val="00BF44E9"/>
    <w:rsid w:val="00C13E28"/>
    <w:rsid w:val="00C234E1"/>
    <w:rsid w:val="00C253A9"/>
    <w:rsid w:val="00C27114"/>
    <w:rsid w:val="00C32676"/>
    <w:rsid w:val="00C35E82"/>
    <w:rsid w:val="00C41656"/>
    <w:rsid w:val="00C4668C"/>
    <w:rsid w:val="00C46BD1"/>
    <w:rsid w:val="00C53712"/>
    <w:rsid w:val="00C57556"/>
    <w:rsid w:val="00C62399"/>
    <w:rsid w:val="00C6487D"/>
    <w:rsid w:val="00C70A04"/>
    <w:rsid w:val="00C73FA2"/>
    <w:rsid w:val="00C779E8"/>
    <w:rsid w:val="00C86328"/>
    <w:rsid w:val="00C91AD0"/>
    <w:rsid w:val="00C91B8D"/>
    <w:rsid w:val="00CA2FE5"/>
    <w:rsid w:val="00CA73BE"/>
    <w:rsid w:val="00CB227A"/>
    <w:rsid w:val="00CB409C"/>
    <w:rsid w:val="00CB5C67"/>
    <w:rsid w:val="00CB699D"/>
    <w:rsid w:val="00CC5B6B"/>
    <w:rsid w:val="00CC5D92"/>
    <w:rsid w:val="00CD188A"/>
    <w:rsid w:val="00CD19B0"/>
    <w:rsid w:val="00D004C9"/>
    <w:rsid w:val="00D00536"/>
    <w:rsid w:val="00D02BEB"/>
    <w:rsid w:val="00D12661"/>
    <w:rsid w:val="00D1509B"/>
    <w:rsid w:val="00D2313E"/>
    <w:rsid w:val="00D26B8D"/>
    <w:rsid w:val="00D26CC9"/>
    <w:rsid w:val="00D35214"/>
    <w:rsid w:val="00D41497"/>
    <w:rsid w:val="00D52DE3"/>
    <w:rsid w:val="00D71EDF"/>
    <w:rsid w:val="00D76E3C"/>
    <w:rsid w:val="00D8445E"/>
    <w:rsid w:val="00D92CF6"/>
    <w:rsid w:val="00D9303A"/>
    <w:rsid w:val="00D94F21"/>
    <w:rsid w:val="00DA3F7C"/>
    <w:rsid w:val="00DA6E37"/>
    <w:rsid w:val="00DA7338"/>
    <w:rsid w:val="00DB0D95"/>
    <w:rsid w:val="00DB632B"/>
    <w:rsid w:val="00DB7FAC"/>
    <w:rsid w:val="00DC075C"/>
    <w:rsid w:val="00DC3F89"/>
    <w:rsid w:val="00DD18BA"/>
    <w:rsid w:val="00DE3146"/>
    <w:rsid w:val="00DF48EB"/>
    <w:rsid w:val="00DF5C52"/>
    <w:rsid w:val="00E02CEF"/>
    <w:rsid w:val="00E13DC5"/>
    <w:rsid w:val="00E371E1"/>
    <w:rsid w:val="00E37212"/>
    <w:rsid w:val="00E45C17"/>
    <w:rsid w:val="00E506E9"/>
    <w:rsid w:val="00E50C04"/>
    <w:rsid w:val="00E53DCB"/>
    <w:rsid w:val="00E75D82"/>
    <w:rsid w:val="00E8368A"/>
    <w:rsid w:val="00E92EDE"/>
    <w:rsid w:val="00E9585F"/>
    <w:rsid w:val="00E967B6"/>
    <w:rsid w:val="00EA1C8F"/>
    <w:rsid w:val="00EA5562"/>
    <w:rsid w:val="00EC2AF8"/>
    <w:rsid w:val="00EE1BEE"/>
    <w:rsid w:val="00EE411F"/>
    <w:rsid w:val="00EF28F0"/>
    <w:rsid w:val="00EF32BA"/>
    <w:rsid w:val="00EF6232"/>
    <w:rsid w:val="00F15CEF"/>
    <w:rsid w:val="00F21C9F"/>
    <w:rsid w:val="00F34288"/>
    <w:rsid w:val="00F62C0E"/>
    <w:rsid w:val="00F6484B"/>
    <w:rsid w:val="00F66AA2"/>
    <w:rsid w:val="00F80AF1"/>
    <w:rsid w:val="00F8462C"/>
    <w:rsid w:val="00F87FA5"/>
    <w:rsid w:val="00F8F36D"/>
    <w:rsid w:val="00FA07BD"/>
    <w:rsid w:val="00FA5AA8"/>
    <w:rsid w:val="00FA759A"/>
    <w:rsid w:val="00FC4D2A"/>
    <w:rsid w:val="00FC57FC"/>
    <w:rsid w:val="00FD10FF"/>
    <w:rsid w:val="00FD5AF7"/>
    <w:rsid w:val="00FF38B2"/>
    <w:rsid w:val="0197E6B6"/>
    <w:rsid w:val="02D20008"/>
    <w:rsid w:val="06046320"/>
    <w:rsid w:val="08B93D14"/>
    <w:rsid w:val="0A35047F"/>
    <w:rsid w:val="0B6B872D"/>
    <w:rsid w:val="0D5AABB4"/>
    <w:rsid w:val="0F0875A2"/>
    <w:rsid w:val="1377DEBF"/>
    <w:rsid w:val="148757B8"/>
    <w:rsid w:val="14BEC790"/>
    <w:rsid w:val="15F248C9"/>
    <w:rsid w:val="1936E136"/>
    <w:rsid w:val="1BB61544"/>
    <w:rsid w:val="1D0598A8"/>
    <w:rsid w:val="1FD98B73"/>
    <w:rsid w:val="20E8746D"/>
    <w:rsid w:val="2297C408"/>
    <w:rsid w:val="25397FC4"/>
    <w:rsid w:val="28FA5162"/>
    <w:rsid w:val="2AC73B44"/>
    <w:rsid w:val="2C191494"/>
    <w:rsid w:val="2C630BA5"/>
    <w:rsid w:val="2C6CF169"/>
    <w:rsid w:val="2CE55A2D"/>
    <w:rsid w:val="2F454339"/>
    <w:rsid w:val="2FAB4FC6"/>
    <w:rsid w:val="30383E05"/>
    <w:rsid w:val="30D8085E"/>
    <w:rsid w:val="31915D0D"/>
    <w:rsid w:val="35F05C04"/>
    <w:rsid w:val="378F4DDE"/>
    <w:rsid w:val="38B237A9"/>
    <w:rsid w:val="3973A7E8"/>
    <w:rsid w:val="3B21270D"/>
    <w:rsid w:val="3C2E559E"/>
    <w:rsid w:val="3CDCC652"/>
    <w:rsid w:val="3E822EE4"/>
    <w:rsid w:val="3F3E9EA6"/>
    <w:rsid w:val="3FAD6750"/>
    <w:rsid w:val="430101D8"/>
    <w:rsid w:val="43344DB6"/>
    <w:rsid w:val="43C5C378"/>
    <w:rsid w:val="451675CE"/>
    <w:rsid w:val="47A12622"/>
    <w:rsid w:val="49D3CA20"/>
    <w:rsid w:val="4D1BE3CA"/>
    <w:rsid w:val="4E5C6CCB"/>
    <w:rsid w:val="50E55690"/>
    <w:rsid w:val="535E0200"/>
    <w:rsid w:val="5B4D918D"/>
    <w:rsid w:val="5B7504B6"/>
    <w:rsid w:val="5FEC2C0D"/>
    <w:rsid w:val="6004A8FE"/>
    <w:rsid w:val="608348B4"/>
    <w:rsid w:val="625E22AD"/>
    <w:rsid w:val="63F12FE7"/>
    <w:rsid w:val="64C9EDB3"/>
    <w:rsid w:val="65EB2F80"/>
    <w:rsid w:val="66EC1585"/>
    <w:rsid w:val="68018E75"/>
    <w:rsid w:val="699D5ED6"/>
    <w:rsid w:val="6DF09864"/>
    <w:rsid w:val="6EE855AB"/>
    <w:rsid w:val="70A8902C"/>
    <w:rsid w:val="71DEEF5F"/>
    <w:rsid w:val="7342A511"/>
    <w:rsid w:val="7683CF64"/>
    <w:rsid w:val="7746E790"/>
    <w:rsid w:val="7B2C59B7"/>
    <w:rsid w:val="7DDC5379"/>
    <w:rsid w:val="7DFE8EE4"/>
    <w:rsid w:val="7E7E66CA"/>
    <w:rsid w:val="7FC95600"/>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0A33B8E"/>
  <w15:chartTrackingRefBased/>
  <w15:docId w15:val="{AE26B7AE-7C36-4E0C-98DC-10E554F70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styleId="Grigliatabella">
    <w:name w:val="Table Grid"/>
    <w:basedOn w:val="Tabellanormale"/>
    <w:uiPriority w:val="39"/>
    <w:rsid w:val="00A841B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Carpredefinitoparagrafo"/>
    <w:rsid w:val="00A841BF"/>
  </w:style>
  <w:style w:type="paragraph" w:styleId="Revisione">
    <w:name w:val="Revision"/>
    <w:hidden/>
    <w:uiPriority w:val="99"/>
    <w:semiHidden/>
    <w:rsid w:val="00D92CF6"/>
    <w:pPr>
      <w:spacing w:after="0" w:line="240" w:lineRule="auto"/>
    </w:pPr>
    <w:rPr>
      <w:lang w:val="en-GB"/>
    </w:rPr>
  </w:style>
  <w:style w:type="character" w:styleId="Rimandocommento">
    <w:name w:val="annotation reference"/>
    <w:basedOn w:val="Carpredefinitoparagrafo"/>
    <w:uiPriority w:val="99"/>
    <w:semiHidden/>
    <w:unhideWhenUsed/>
    <w:rsid w:val="00087340"/>
    <w:rPr>
      <w:sz w:val="16"/>
      <w:szCs w:val="16"/>
    </w:rPr>
  </w:style>
  <w:style w:type="paragraph" w:styleId="Testocommento">
    <w:name w:val="annotation text"/>
    <w:basedOn w:val="Normale"/>
    <w:link w:val="TestocommentoCarattere"/>
    <w:uiPriority w:val="99"/>
    <w:unhideWhenUsed/>
    <w:rsid w:val="00087340"/>
    <w:pPr>
      <w:spacing w:line="240" w:lineRule="auto"/>
    </w:pPr>
    <w:rPr>
      <w:sz w:val="20"/>
      <w:szCs w:val="20"/>
    </w:rPr>
  </w:style>
  <w:style w:type="character" w:customStyle="1" w:styleId="TestocommentoCarattere">
    <w:name w:val="Testo commento Carattere"/>
    <w:basedOn w:val="Carpredefinitoparagrafo"/>
    <w:link w:val="Testocommento"/>
    <w:uiPriority w:val="99"/>
    <w:rsid w:val="00087340"/>
    <w:rPr>
      <w:sz w:val="20"/>
      <w:szCs w:val="20"/>
      <w:lang w:val="en-GB"/>
    </w:rPr>
  </w:style>
  <w:style w:type="paragraph" w:styleId="Soggettocommento">
    <w:name w:val="annotation subject"/>
    <w:basedOn w:val="Testocommento"/>
    <w:next w:val="Testocommento"/>
    <w:link w:val="SoggettocommentoCarattere"/>
    <w:uiPriority w:val="99"/>
    <w:semiHidden/>
    <w:unhideWhenUsed/>
    <w:rsid w:val="00087340"/>
    <w:rPr>
      <w:b/>
      <w:bCs/>
    </w:rPr>
  </w:style>
  <w:style w:type="character" w:customStyle="1" w:styleId="SoggettocommentoCarattere">
    <w:name w:val="Soggetto commento Carattere"/>
    <w:basedOn w:val="TestocommentoCarattere"/>
    <w:link w:val="Soggettocommento"/>
    <w:uiPriority w:val="99"/>
    <w:semiHidden/>
    <w:rsid w:val="00087340"/>
    <w:rPr>
      <w:b/>
      <w:bCs/>
      <w:sz w:val="20"/>
      <w:szCs w:val="20"/>
      <w:lang w:val="en-GB"/>
    </w:rPr>
  </w:style>
  <w:style w:type="paragraph" w:styleId="Bibliografia">
    <w:name w:val="Bibliography"/>
    <w:basedOn w:val="Normale"/>
    <w:next w:val="Normale"/>
    <w:uiPriority w:val="37"/>
    <w:unhideWhenUsed/>
    <w:rsid w:val="00BD5DC6"/>
    <w:pPr>
      <w:tabs>
        <w:tab w:val="left" w:pos="384"/>
      </w:tabs>
      <w:spacing w:after="0" w:line="480" w:lineRule="auto"/>
      <w:ind w:left="384" w:hanging="384"/>
    </w:pPr>
  </w:style>
  <w:style w:type="character" w:styleId="Menzione">
    <w:name w:val="Mention"/>
    <w:basedOn w:val="Carpredefinitoparagrafo"/>
    <w:uiPriority w:val="99"/>
    <w:unhideWhenUsed/>
    <w:rsid w:val="00253CC2"/>
    <w:rPr>
      <w:color w:val="2B579A"/>
      <w:shd w:val="clear" w:color="auto" w:fill="E1DFDD"/>
    </w:rPr>
  </w:style>
  <w:style w:type="paragraph" w:styleId="Testofumetto">
    <w:name w:val="Balloon Text"/>
    <w:basedOn w:val="Normale"/>
    <w:link w:val="TestofumettoCarattere"/>
    <w:uiPriority w:val="99"/>
    <w:semiHidden/>
    <w:unhideWhenUsed/>
    <w:rsid w:val="00F80AF1"/>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F80AF1"/>
    <w:rPr>
      <w:rFonts w:ascii="Segoe UI" w:hAnsi="Segoe UI" w:cs="Segoe UI"/>
      <w:sz w:val="18"/>
      <w:szCs w:val="18"/>
      <w:lang w:val="en-GB"/>
    </w:rPr>
  </w:style>
  <w:style w:type="paragraph" w:styleId="Intestazione">
    <w:name w:val="header"/>
    <w:basedOn w:val="Normale"/>
    <w:link w:val="IntestazioneCarattere"/>
    <w:uiPriority w:val="99"/>
    <w:unhideWhenUsed/>
    <w:rsid w:val="00BA0B40"/>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BA0B40"/>
    <w:rPr>
      <w:lang w:val="en-GB"/>
    </w:rPr>
  </w:style>
  <w:style w:type="paragraph" w:styleId="Pidipagina">
    <w:name w:val="footer"/>
    <w:basedOn w:val="Normale"/>
    <w:link w:val="PidipaginaCarattere"/>
    <w:uiPriority w:val="99"/>
    <w:unhideWhenUsed/>
    <w:rsid w:val="00BA0B40"/>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BA0B40"/>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445895">
      <w:bodyDiv w:val="1"/>
      <w:marLeft w:val="0"/>
      <w:marRight w:val="0"/>
      <w:marTop w:val="0"/>
      <w:marBottom w:val="0"/>
      <w:divBdr>
        <w:top w:val="none" w:sz="0" w:space="0" w:color="auto"/>
        <w:left w:val="none" w:sz="0" w:space="0" w:color="auto"/>
        <w:bottom w:val="none" w:sz="0" w:space="0" w:color="auto"/>
        <w:right w:val="none" w:sz="0" w:space="0" w:color="auto"/>
      </w:divBdr>
    </w:div>
    <w:div w:id="579828548">
      <w:bodyDiv w:val="1"/>
      <w:marLeft w:val="0"/>
      <w:marRight w:val="0"/>
      <w:marTop w:val="0"/>
      <w:marBottom w:val="0"/>
      <w:divBdr>
        <w:top w:val="none" w:sz="0" w:space="0" w:color="auto"/>
        <w:left w:val="none" w:sz="0" w:space="0" w:color="auto"/>
        <w:bottom w:val="none" w:sz="0" w:space="0" w:color="auto"/>
        <w:right w:val="none" w:sz="0" w:space="0" w:color="auto"/>
      </w:divBdr>
    </w:div>
    <w:div w:id="582491221">
      <w:bodyDiv w:val="1"/>
      <w:marLeft w:val="0"/>
      <w:marRight w:val="0"/>
      <w:marTop w:val="0"/>
      <w:marBottom w:val="0"/>
      <w:divBdr>
        <w:top w:val="none" w:sz="0" w:space="0" w:color="auto"/>
        <w:left w:val="none" w:sz="0" w:space="0" w:color="auto"/>
        <w:bottom w:val="none" w:sz="0" w:space="0" w:color="auto"/>
        <w:right w:val="none" w:sz="0" w:space="0" w:color="auto"/>
      </w:divBdr>
    </w:div>
    <w:div w:id="606815900">
      <w:bodyDiv w:val="1"/>
      <w:marLeft w:val="0"/>
      <w:marRight w:val="0"/>
      <w:marTop w:val="0"/>
      <w:marBottom w:val="0"/>
      <w:divBdr>
        <w:top w:val="none" w:sz="0" w:space="0" w:color="auto"/>
        <w:left w:val="none" w:sz="0" w:space="0" w:color="auto"/>
        <w:bottom w:val="none" w:sz="0" w:space="0" w:color="auto"/>
        <w:right w:val="none" w:sz="0" w:space="0" w:color="auto"/>
      </w:divBdr>
    </w:div>
    <w:div w:id="618222232">
      <w:bodyDiv w:val="1"/>
      <w:marLeft w:val="0"/>
      <w:marRight w:val="0"/>
      <w:marTop w:val="0"/>
      <w:marBottom w:val="0"/>
      <w:divBdr>
        <w:top w:val="none" w:sz="0" w:space="0" w:color="auto"/>
        <w:left w:val="none" w:sz="0" w:space="0" w:color="auto"/>
        <w:bottom w:val="none" w:sz="0" w:space="0" w:color="auto"/>
        <w:right w:val="none" w:sz="0" w:space="0" w:color="auto"/>
      </w:divBdr>
    </w:div>
    <w:div w:id="690453693">
      <w:bodyDiv w:val="1"/>
      <w:marLeft w:val="0"/>
      <w:marRight w:val="0"/>
      <w:marTop w:val="0"/>
      <w:marBottom w:val="0"/>
      <w:divBdr>
        <w:top w:val="none" w:sz="0" w:space="0" w:color="auto"/>
        <w:left w:val="none" w:sz="0" w:space="0" w:color="auto"/>
        <w:bottom w:val="none" w:sz="0" w:space="0" w:color="auto"/>
        <w:right w:val="none" w:sz="0" w:space="0" w:color="auto"/>
      </w:divBdr>
    </w:div>
    <w:div w:id="755131560">
      <w:bodyDiv w:val="1"/>
      <w:marLeft w:val="0"/>
      <w:marRight w:val="0"/>
      <w:marTop w:val="0"/>
      <w:marBottom w:val="0"/>
      <w:divBdr>
        <w:top w:val="none" w:sz="0" w:space="0" w:color="auto"/>
        <w:left w:val="none" w:sz="0" w:space="0" w:color="auto"/>
        <w:bottom w:val="none" w:sz="0" w:space="0" w:color="auto"/>
        <w:right w:val="none" w:sz="0" w:space="0" w:color="auto"/>
      </w:divBdr>
    </w:div>
    <w:div w:id="859396518">
      <w:bodyDiv w:val="1"/>
      <w:marLeft w:val="0"/>
      <w:marRight w:val="0"/>
      <w:marTop w:val="0"/>
      <w:marBottom w:val="0"/>
      <w:divBdr>
        <w:top w:val="none" w:sz="0" w:space="0" w:color="auto"/>
        <w:left w:val="none" w:sz="0" w:space="0" w:color="auto"/>
        <w:bottom w:val="none" w:sz="0" w:space="0" w:color="auto"/>
        <w:right w:val="none" w:sz="0" w:space="0" w:color="auto"/>
      </w:divBdr>
    </w:div>
    <w:div w:id="900091016">
      <w:bodyDiv w:val="1"/>
      <w:marLeft w:val="0"/>
      <w:marRight w:val="0"/>
      <w:marTop w:val="0"/>
      <w:marBottom w:val="0"/>
      <w:divBdr>
        <w:top w:val="none" w:sz="0" w:space="0" w:color="auto"/>
        <w:left w:val="none" w:sz="0" w:space="0" w:color="auto"/>
        <w:bottom w:val="none" w:sz="0" w:space="0" w:color="auto"/>
        <w:right w:val="none" w:sz="0" w:space="0" w:color="auto"/>
      </w:divBdr>
    </w:div>
    <w:div w:id="978270012">
      <w:bodyDiv w:val="1"/>
      <w:marLeft w:val="0"/>
      <w:marRight w:val="0"/>
      <w:marTop w:val="0"/>
      <w:marBottom w:val="0"/>
      <w:divBdr>
        <w:top w:val="none" w:sz="0" w:space="0" w:color="auto"/>
        <w:left w:val="none" w:sz="0" w:space="0" w:color="auto"/>
        <w:bottom w:val="none" w:sz="0" w:space="0" w:color="auto"/>
        <w:right w:val="none" w:sz="0" w:space="0" w:color="auto"/>
      </w:divBdr>
    </w:div>
    <w:div w:id="1049719310">
      <w:bodyDiv w:val="1"/>
      <w:marLeft w:val="0"/>
      <w:marRight w:val="0"/>
      <w:marTop w:val="0"/>
      <w:marBottom w:val="0"/>
      <w:divBdr>
        <w:top w:val="none" w:sz="0" w:space="0" w:color="auto"/>
        <w:left w:val="none" w:sz="0" w:space="0" w:color="auto"/>
        <w:bottom w:val="none" w:sz="0" w:space="0" w:color="auto"/>
        <w:right w:val="none" w:sz="0" w:space="0" w:color="auto"/>
      </w:divBdr>
    </w:div>
    <w:div w:id="1074087051">
      <w:bodyDiv w:val="1"/>
      <w:marLeft w:val="0"/>
      <w:marRight w:val="0"/>
      <w:marTop w:val="0"/>
      <w:marBottom w:val="0"/>
      <w:divBdr>
        <w:top w:val="none" w:sz="0" w:space="0" w:color="auto"/>
        <w:left w:val="none" w:sz="0" w:space="0" w:color="auto"/>
        <w:bottom w:val="none" w:sz="0" w:space="0" w:color="auto"/>
        <w:right w:val="none" w:sz="0" w:space="0" w:color="auto"/>
      </w:divBdr>
    </w:div>
    <w:div w:id="1127549896">
      <w:bodyDiv w:val="1"/>
      <w:marLeft w:val="0"/>
      <w:marRight w:val="0"/>
      <w:marTop w:val="0"/>
      <w:marBottom w:val="0"/>
      <w:divBdr>
        <w:top w:val="none" w:sz="0" w:space="0" w:color="auto"/>
        <w:left w:val="none" w:sz="0" w:space="0" w:color="auto"/>
        <w:bottom w:val="none" w:sz="0" w:space="0" w:color="auto"/>
        <w:right w:val="none" w:sz="0" w:space="0" w:color="auto"/>
      </w:divBdr>
    </w:div>
    <w:div w:id="20508365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91B201-549B-4BC4-ADDE-7202BCABC2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Pages>
  <Words>13582</Words>
  <Characters>77422</Characters>
  <Application>Microsoft Office Word</Application>
  <DocSecurity>0</DocSecurity>
  <Lines>645</Lines>
  <Paragraphs>181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90823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Naomi Bevacqua</dc:creator>
  <cp:keywords/>
  <dc:description/>
  <cp:lastModifiedBy>Naomi Bevacqua</cp:lastModifiedBy>
  <cp:revision>4</cp:revision>
  <dcterms:created xsi:type="dcterms:W3CDTF">2023-12-15T15:01:00Z</dcterms:created>
  <dcterms:modified xsi:type="dcterms:W3CDTF">2023-12-15T19:19:00Z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zotero-version="6.0.30"&gt;&lt;session id="Q6hBG1ZL"/&gt;&lt;style id="http://www.zotero.org/styles/nature" hasBibliography="1" bibliographyStyleHasBeenSet="1"/&gt;&lt;prefs&gt;&lt;pref name="fieldType" value="Field"/&gt;&lt;/prefs&gt;&lt;/data&gt;</vt:lpwstr>
  </property>
  <property fmtid="{D5CDD505-2E9C-101B-9397-08002B2CF9AE}" pid="3" name="GrammarlyDocumentId">
    <vt:lpwstr>0023427704ae8795b16ebd5ae7bf97e9eba283de300353443079717eab2e81af</vt:lpwstr>
  </property>
</Properties>
</file>