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48D62" w14:textId="77777777" w:rsidR="00F1258D" w:rsidRDefault="00F1258D" w:rsidP="00F1258D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Title</w:t>
      </w:r>
    </w:p>
    <w:p w14:paraId="4D60EFB2" w14:textId="77777777" w:rsidR="00F1258D" w:rsidRDefault="00F1258D" w:rsidP="00F1258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Epilepsy after acute central nervous system complications of pediatric hematopoietic cell transplantation: a retrospective, multicenter study</w:t>
      </w:r>
    </w:p>
    <w:p w14:paraId="1AD86CB0" w14:textId="77777777" w:rsidR="00F1258D" w:rsidRPr="007F6BB8" w:rsidRDefault="00F1258D" w:rsidP="00F1258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7F6BB8">
        <w:rPr>
          <w:rFonts w:ascii="Times New Roman" w:eastAsia="Times New Roman" w:hAnsi="Times New Roman" w:cs="Times New Roman"/>
          <w:b/>
          <w:sz w:val="24"/>
          <w:szCs w:val="24"/>
          <w:lang w:val="it-IT"/>
        </w:rPr>
        <w:t>Authors</w:t>
      </w:r>
      <w:proofErr w:type="spellEnd"/>
    </w:p>
    <w:p w14:paraId="7BCE5A6D" w14:textId="1515BF3C" w:rsidR="00F1258D" w:rsidRPr="007F6BB8" w:rsidRDefault="00F1258D" w:rsidP="00F1258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</w:pP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Luca Bergonzini</w:t>
      </w:r>
      <w:r w:rsidRPr="007F6BB8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1,</w:t>
      </w:r>
      <w:proofErr w:type="gramStart"/>
      <w:r w:rsidRPr="007F6BB8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,*</w:t>
      </w:r>
      <w:proofErr w:type="gramEnd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, Davide Leardini</w:t>
      </w:r>
      <w:r w:rsidRPr="007F6BB8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,*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Roberta Rao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Thomas Foiadelli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Maura Faraci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Maria Margherita Mancardi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Giulia Nobile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Alessandro Orsini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Salvatore Savasta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4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,8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Francesca Gottardi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2,3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Anna Fetta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1,2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Tommaso Mina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Gabriella Casazza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Maria Cristina Menconi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Dario Pruna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Rosa Maria Mura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, Antonio Piroddi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Paola Rucci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</w:t>
      </w:r>
      <w:r w:rsidR="000714AB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4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, Riccardo Masetti</w:t>
      </w:r>
      <w:r w:rsidRPr="007F6BB8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2,3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, Duccio Maria Cordelli</w:t>
      </w:r>
      <w:r w:rsidRPr="007F6BB8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1,2</w:t>
      </w:r>
    </w:p>
    <w:p w14:paraId="366FF42B" w14:textId="77777777" w:rsidR="00F1258D" w:rsidRPr="003B76B7" w:rsidRDefault="00F1258D" w:rsidP="00F1258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3B76B7">
        <w:rPr>
          <w:rFonts w:ascii="Times New Roman" w:eastAsia="Times New Roman" w:hAnsi="Times New Roman" w:cs="Times New Roman"/>
          <w:b/>
          <w:sz w:val="24"/>
          <w:szCs w:val="24"/>
          <w:lang w:val="it-IT"/>
        </w:rPr>
        <w:t>Affiliations</w:t>
      </w:r>
      <w:proofErr w:type="spellEnd"/>
    </w:p>
    <w:p w14:paraId="7FF6F719" w14:textId="77777777" w:rsidR="00F1258D" w:rsidRPr="007F6BB8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IRCCS Istituto delle Scienze Neurologiche di Bologna, U.O.C. Neuropsichiatria dell’età pediatrica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Member</w:t>
      </w:r>
      <w:proofErr w:type="spellEnd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of the ERN </w:t>
      </w:r>
      <w:proofErr w:type="spellStart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EpiCare</w:t>
      </w:r>
      <w:proofErr w:type="spellEnd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Bologna, </w:t>
      </w:r>
      <w:proofErr w:type="spellStart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Italy</w:t>
      </w:r>
      <w:proofErr w:type="spellEnd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40728659" w14:textId="77777777" w:rsidR="00F1258D" w:rsidRPr="00875EDB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75EDB">
        <w:rPr>
          <w:rFonts w:ascii="Times New Roman" w:eastAsia="Times New Roman" w:hAnsi="Times New Roman" w:cs="Times New Roman"/>
          <w:sz w:val="24"/>
          <w:szCs w:val="24"/>
        </w:rPr>
        <w:t xml:space="preserve">Department of Medical and Surgical Sciences (DIMEC), Alma Mater </w:t>
      </w:r>
      <w:proofErr w:type="spellStart"/>
      <w:r w:rsidRPr="00875EDB">
        <w:rPr>
          <w:rFonts w:ascii="Times New Roman" w:eastAsia="Times New Roman" w:hAnsi="Times New Roman" w:cs="Times New Roman"/>
          <w:sz w:val="24"/>
          <w:szCs w:val="24"/>
        </w:rPr>
        <w:t>Studiorum</w:t>
      </w:r>
      <w:proofErr w:type="spellEnd"/>
      <w:r w:rsidRPr="00875EDB">
        <w:rPr>
          <w:rFonts w:ascii="Times New Roman" w:eastAsia="Times New Roman" w:hAnsi="Times New Roman" w:cs="Times New Roman"/>
          <w:sz w:val="24"/>
          <w:szCs w:val="24"/>
        </w:rPr>
        <w:t xml:space="preserve"> - University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875EDB">
        <w:rPr>
          <w:rFonts w:ascii="Times New Roman" w:eastAsia="Times New Roman" w:hAnsi="Times New Roman" w:cs="Times New Roman"/>
          <w:sz w:val="24"/>
          <w:szCs w:val="24"/>
        </w:rPr>
        <w:t xml:space="preserve"> Bologna, Bologna, </w:t>
      </w:r>
      <w:proofErr w:type="gramStart"/>
      <w:r w:rsidRPr="00875EDB">
        <w:rPr>
          <w:rFonts w:ascii="Times New Roman" w:eastAsia="Times New Roman" w:hAnsi="Times New Roman" w:cs="Times New Roman"/>
          <w:sz w:val="24"/>
          <w:szCs w:val="24"/>
        </w:rPr>
        <w:t>Italy;</w:t>
      </w:r>
      <w:proofErr w:type="gramEnd"/>
    </w:p>
    <w:p w14:paraId="0498DF60" w14:textId="77777777" w:rsidR="00F1258D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>Pediatric</w:t>
      </w:r>
      <w:proofErr w:type="spellEnd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>Hematology</w:t>
      </w:r>
      <w:proofErr w:type="spellEnd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and </w:t>
      </w:r>
      <w:proofErr w:type="spellStart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>Oncology</w:t>
      </w:r>
      <w:proofErr w:type="spellEnd"/>
      <w:r w:rsidRPr="00707835">
        <w:rPr>
          <w:rFonts w:ascii="Times New Roman" w:eastAsia="Times New Roman" w:hAnsi="Times New Roman" w:cs="Times New Roman"/>
          <w:sz w:val="24"/>
          <w:szCs w:val="24"/>
          <w:lang w:val="it-IT"/>
        </w:rPr>
        <w:t>, IRCCS Azienda Ospedaliero-Universitaria di Bologna</w:t>
      </w:r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Bologna, </w:t>
      </w:r>
      <w:proofErr w:type="spellStart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Italy</w:t>
      </w:r>
      <w:proofErr w:type="spellEnd"/>
      <w:r w:rsidRPr="007F6BB8">
        <w:rPr>
          <w:rFonts w:ascii="Times New Roman" w:eastAsia="Times New Roman" w:hAnsi="Times New Roman" w:cs="Times New Roman"/>
          <w:sz w:val="24"/>
          <w:szCs w:val="24"/>
          <w:lang w:val="it-IT"/>
        </w:rPr>
        <w:t>;</w:t>
      </w:r>
    </w:p>
    <w:p w14:paraId="77BE0D95" w14:textId="77777777" w:rsidR="00F1258D" w:rsidRPr="00FA1F66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Clinica Pediatrica, Fondazione IRCCS Policlinico San Matteo, Pavia, </w:t>
      </w:r>
      <w:proofErr w:type="spellStart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511C17AC" w14:textId="77777777" w:rsidR="00F1258D" w:rsidRPr="00853EAC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 xml:space="preserve">HSCT Unit, Department of Pediatric Hematology-Oncology, IRCCS </w:t>
      </w:r>
      <w:proofErr w:type="spellStart"/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>Istituto</w:t>
      </w:r>
      <w:proofErr w:type="spellEnd"/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 xml:space="preserve"> G. </w:t>
      </w:r>
      <w:proofErr w:type="spellStart"/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>Gaslini</w:t>
      </w:r>
      <w:proofErr w:type="spellEnd"/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 xml:space="preserve">, Genova, </w:t>
      </w:r>
      <w:proofErr w:type="gramStart"/>
      <w:r w:rsidRPr="007D4B50">
        <w:rPr>
          <w:rFonts w:ascii="Times New Roman" w:eastAsia="Times New Roman" w:hAnsi="Times New Roman" w:cs="Times New Roman"/>
          <w:bCs/>
          <w:sz w:val="24"/>
          <w:szCs w:val="24"/>
        </w:rPr>
        <w:t>Italy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;</w:t>
      </w:r>
      <w:proofErr w:type="gramEnd"/>
    </w:p>
    <w:p w14:paraId="3DC4F5C7" w14:textId="77777777" w:rsidR="00F1258D" w:rsidRPr="00FA1F66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 xml:space="preserve">Unit of Child Neuropsychiatry, member of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the </w:t>
      </w:r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 xml:space="preserve">ERN </w:t>
      </w:r>
      <w:proofErr w:type="spellStart"/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>EpiCare</w:t>
      </w:r>
      <w:proofErr w:type="spellEnd"/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 xml:space="preserve">, IRCCS </w:t>
      </w:r>
      <w:proofErr w:type="spellStart"/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>Gaslini</w:t>
      </w:r>
      <w:proofErr w:type="spellEnd"/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 xml:space="preserve">, Genova, </w:t>
      </w:r>
      <w:proofErr w:type="gramStart"/>
      <w:r w:rsidRPr="00853EAC">
        <w:rPr>
          <w:rFonts w:ascii="Times New Roman" w:eastAsia="Times New Roman" w:hAnsi="Times New Roman" w:cs="Times New Roman"/>
          <w:bCs/>
          <w:sz w:val="24"/>
          <w:szCs w:val="24"/>
        </w:rPr>
        <w:t>Italy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;</w:t>
      </w:r>
      <w:proofErr w:type="gramEnd"/>
    </w:p>
    <w:p w14:paraId="4815BA65" w14:textId="77777777" w:rsidR="00F1258D" w:rsidRPr="000714AB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Pediatric</w:t>
      </w:r>
      <w:proofErr w:type="spellEnd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</w:t>
      </w:r>
      <w:proofErr w:type="spellStart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Neurology</w:t>
      </w:r>
      <w:proofErr w:type="spellEnd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, </w:t>
      </w:r>
      <w:proofErr w:type="spellStart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Pediatric</w:t>
      </w:r>
      <w:proofErr w:type="spellEnd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Department, AOUP Santa Chiara Hospital, Pisa, </w:t>
      </w:r>
      <w:proofErr w:type="spellStart"/>
      <w:r w:rsidRPr="00FA1F66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04472514" w14:textId="30EA76EC" w:rsidR="000714AB" w:rsidRPr="00B771FD" w:rsidRDefault="000714AB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Dipartimento di Scienze Mediche e Salute Pubblica, Università di Cagliari,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049C8C23" w14:textId="77777777" w:rsidR="00F1258D" w:rsidRPr="00B771FD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Pediatric</w:t>
      </w:r>
      <w:proofErr w:type="spellEnd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</w:t>
      </w:r>
      <w:proofErr w:type="spellStart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Hematology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and </w:t>
      </w:r>
      <w:proofErr w:type="spellStart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Oncology</w:t>
      </w:r>
      <w:proofErr w:type="spellEnd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, Fondazione </w:t>
      </w:r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IRCCS </w:t>
      </w:r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Policlinico San Matteo, Pavia, </w:t>
      </w:r>
      <w:proofErr w:type="spellStart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04B8CD38" w14:textId="77777777" w:rsidR="00F1258D" w:rsidRPr="007F6BB8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Pediatric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Hematology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Oncology</w:t>
      </w:r>
      <w:proofErr w:type="spellEnd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, Azienda Ospedaliero Universitaria Pisana, Pisa, </w:t>
      </w:r>
      <w:proofErr w:type="spellStart"/>
      <w:r w:rsidRPr="00B771FD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Italy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40A5A127" w14:textId="77777777" w:rsidR="00F1258D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D6F">
        <w:rPr>
          <w:rFonts w:ascii="Times New Roman" w:eastAsia="Times New Roman" w:hAnsi="Times New Roman" w:cs="Times New Roman"/>
          <w:bCs/>
          <w:sz w:val="24"/>
          <w:szCs w:val="24"/>
        </w:rPr>
        <w:t xml:space="preserve">Pediatric Neurology and Epileptology Unit, Pediatric Department, ARNAS G. </w:t>
      </w:r>
      <w:proofErr w:type="spellStart"/>
      <w:r w:rsidRPr="00007D6F">
        <w:rPr>
          <w:rFonts w:ascii="Times New Roman" w:eastAsia="Times New Roman" w:hAnsi="Times New Roman" w:cs="Times New Roman"/>
          <w:bCs/>
          <w:sz w:val="24"/>
          <w:szCs w:val="24"/>
        </w:rPr>
        <w:t>Brotzu</w:t>
      </w:r>
      <w:proofErr w:type="spellEnd"/>
      <w:r w:rsidRPr="00007D6F">
        <w:rPr>
          <w:rFonts w:ascii="Times New Roman" w:eastAsia="Times New Roman" w:hAnsi="Times New Roman" w:cs="Times New Roman"/>
          <w:bCs/>
          <w:sz w:val="24"/>
          <w:szCs w:val="24"/>
        </w:rPr>
        <w:t xml:space="preserve">/ASL, Cagliari, </w:t>
      </w:r>
      <w:proofErr w:type="gramStart"/>
      <w:r w:rsidRPr="00007D6F">
        <w:rPr>
          <w:rFonts w:ascii="Times New Roman" w:eastAsia="Times New Roman" w:hAnsi="Times New Roman" w:cs="Times New Roman"/>
          <w:bCs/>
          <w:sz w:val="24"/>
          <w:szCs w:val="24"/>
        </w:rPr>
        <w:t>Italy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proofErr w:type="gramEnd"/>
    </w:p>
    <w:p w14:paraId="2D243DC5" w14:textId="60BB0216" w:rsidR="00F1258D" w:rsidRPr="00007D6F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proofErr w:type="spellStart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Paediatric</w:t>
      </w:r>
      <w:proofErr w:type="spellEnd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</w:t>
      </w:r>
      <w:proofErr w:type="spellStart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Hematology</w:t>
      </w:r>
      <w:proofErr w:type="spellEnd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and </w:t>
      </w:r>
      <w:proofErr w:type="spellStart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Oncology</w:t>
      </w:r>
      <w:proofErr w:type="spellEnd"/>
      <w:r w:rsidRPr="00007D6F"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 xml:space="preserve"> Unit, </w:t>
      </w:r>
      <w:r w:rsidR="007E3E98" w:rsidRPr="00007D6F">
        <w:rPr>
          <w:rFonts w:ascii="Times New Roman" w:eastAsia="Times New Roman" w:hAnsi="Times New Roman" w:cs="Times New Roman"/>
          <w:sz w:val="24"/>
          <w:szCs w:val="24"/>
        </w:rPr>
        <w:t>Pediatric Hospital "</w:t>
      </w:r>
      <w:proofErr w:type="spellStart"/>
      <w:r w:rsidR="007E3E98" w:rsidRPr="00007D6F">
        <w:rPr>
          <w:rFonts w:ascii="Times New Roman" w:eastAsia="Times New Roman" w:hAnsi="Times New Roman" w:cs="Times New Roman"/>
          <w:sz w:val="24"/>
          <w:szCs w:val="24"/>
        </w:rPr>
        <w:t>Microcitemico</w:t>
      </w:r>
      <w:proofErr w:type="spellEnd"/>
      <w:r w:rsidR="007E3E98" w:rsidRPr="00007D6F">
        <w:rPr>
          <w:rFonts w:ascii="Times New Roman" w:eastAsia="Times New Roman" w:hAnsi="Times New Roman" w:cs="Times New Roman"/>
          <w:sz w:val="24"/>
          <w:szCs w:val="24"/>
        </w:rPr>
        <w:t xml:space="preserve"> A. Cao", Cagliari, Italy</w:t>
      </w:r>
      <w:r>
        <w:rPr>
          <w:rFonts w:ascii="Times New Roman" w:eastAsia="Times New Roman" w:hAnsi="Times New Roman" w:cs="Times New Roman"/>
          <w:bCs/>
          <w:sz w:val="24"/>
          <w:szCs w:val="24"/>
          <w:lang w:val="it-IT"/>
        </w:rPr>
        <w:t>;</w:t>
      </w:r>
    </w:p>
    <w:p w14:paraId="626277EB" w14:textId="698E96DF" w:rsidR="00F1258D" w:rsidRPr="00007D6F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007D6F">
        <w:rPr>
          <w:rFonts w:ascii="Times New Roman" w:eastAsia="Times New Roman" w:hAnsi="Times New Roman" w:cs="Times New Roman"/>
          <w:sz w:val="24"/>
          <w:szCs w:val="24"/>
        </w:rPr>
        <w:t>Bone Marrow Transplant Center, Pediatric Hospital "</w:t>
      </w:r>
      <w:proofErr w:type="spellStart"/>
      <w:r w:rsidRPr="00007D6F">
        <w:rPr>
          <w:rFonts w:ascii="Times New Roman" w:eastAsia="Times New Roman" w:hAnsi="Times New Roman" w:cs="Times New Roman"/>
          <w:sz w:val="24"/>
          <w:szCs w:val="24"/>
        </w:rPr>
        <w:t>Microcitemico</w:t>
      </w:r>
      <w:proofErr w:type="spellEnd"/>
      <w:r w:rsidRPr="00007D6F">
        <w:rPr>
          <w:rFonts w:ascii="Times New Roman" w:eastAsia="Times New Roman" w:hAnsi="Times New Roman" w:cs="Times New Roman"/>
          <w:sz w:val="24"/>
          <w:szCs w:val="24"/>
        </w:rPr>
        <w:t xml:space="preserve"> A. Cao", Cagliari, </w:t>
      </w:r>
      <w:proofErr w:type="gramStart"/>
      <w:r w:rsidRPr="00007D6F">
        <w:rPr>
          <w:rFonts w:ascii="Times New Roman" w:eastAsia="Times New Roman" w:hAnsi="Times New Roman" w:cs="Times New Roman"/>
          <w:sz w:val="24"/>
          <w:szCs w:val="24"/>
        </w:rPr>
        <w:t>Italy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proofErr w:type="gramEnd"/>
    </w:p>
    <w:p w14:paraId="769F6BE7" w14:textId="77777777" w:rsidR="00F1258D" w:rsidRDefault="00F1258D" w:rsidP="00F1258D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4D98">
        <w:rPr>
          <w:rFonts w:ascii="Times New Roman" w:eastAsia="Times New Roman" w:hAnsi="Times New Roman" w:cs="Times New Roman"/>
          <w:sz w:val="24"/>
          <w:szCs w:val="24"/>
        </w:rPr>
        <w:t>Department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Biomedical and Neuromotor Sciences</w:t>
      </w:r>
      <w:r w:rsidRPr="00C34D98">
        <w:rPr>
          <w:rFonts w:ascii="Times New Roman" w:eastAsia="Times New Roman" w:hAnsi="Times New Roman" w:cs="Times New Roman"/>
          <w:sz w:val="24"/>
          <w:szCs w:val="24"/>
        </w:rPr>
        <w:t xml:space="preserve"> (DIBINEM), Alma Mater </w:t>
      </w:r>
      <w:proofErr w:type="spellStart"/>
      <w:r w:rsidRPr="00C34D98">
        <w:rPr>
          <w:rFonts w:ascii="Times New Roman" w:eastAsia="Times New Roman" w:hAnsi="Times New Roman" w:cs="Times New Roman"/>
          <w:sz w:val="24"/>
          <w:szCs w:val="24"/>
        </w:rPr>
        <w:t>Studiorum</w:t>
      </w:r>
      <w:proofErr w:type="spellEnd"/>
      <w:r w:rsidRPr="00C34D98">
        <w:rPr>
          <w:rFonts w:ascii="Times New Roman" w:eastAsia="Times New Roman" w:hAnsi="Times New Roman" w:cs="Times New Roman"/>
          <w:sz w:val="24"/>
          <w:szCs w:val="24"/>
        </w:rPr>
        <w:t xml:space="preserve"> - University of Bologna, Bologna, </w:t>
      </w:r>
      <w:proofErr w:type="gramStart"/>
      <w:r w:rsidRPr="00C34D98">
        <w:rPr>
          <w:rFonts w:ascii="Times New Roman" w:eastAsia="Times New Roman" w:hAnsi="Times New Roman" w:cs="Times New Roman"/>
          <w:sz w:val="24"/>
          <w:szCs w:val="24"/>
        </w:rPr>
        <w:t>Italy;</w:t>
      </w:r>
      <w:proofErr w:type="gramEnd"/>
    </w:p>
    <w:p w14:paraId="5CFB6E95" w14:textId="77777777" w:rsidR="00F1258D" w:rsidRDefault="00F1258D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606B">
        <w:rPr>
          <w:rFonts w:ascii="Times New Roman" w:eastAsia="Times New Roman" w:hAnsi="Times New Roman" w:cs="Times New Roman"/>
          <w:sz w:val="24"/>
          <w:szCs w:val="24"/>
        </w:rPr>
        <w:t>*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These Authors contributed equally to this work</w:t>
      </w:r>
    </w:p>
    <w:p w14:paraId="626A417B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AE6847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1"/>
        <w:tblpPr w:leftFromText="141" w:rightFromText="141" w:vertAnchor="page" w:horzAnchor="margin" w:tblpXSpec="center" w:tblpY="1009"/>
        <w:tblOverlap w:val="never"/>
        <w:tblW w:w="638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124"/>
        <w:gridCol w:w="885"/>
        <w:gridCol w:w="1371"/>
      </w:tblGrid>
      <w:tr w:rsidR="001B0EE9" w:rsidRPr="00703179" w14:paraId="2392CB4A" w14:textId="77777777" w:rsidTr="003C6B34">
        <w:trPr>
          <w:trHeight w:val="537"/>
        </w:trPr>
        <w:tc>
          <w:tcPr>
            <w:tcW w:w="6380" w:type="dxa"/>
            <w:gridSpan w:val="3"/>
            <w:tcBorders>
              <w:bottom w:val="single" w:sz="4" w:space="0" w:color="auto"/>
            </w:tcBorders>
            <w:vAlign w:val="center"/>
          </w:tcPr>
          <w:p w14:paraId="2FC13ECB" w14:textId="77777777" w:rsidR="001B0EE9" w:rsidRPr="0003787D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3787D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Supplementary Table S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1</w:t>
            </w:r>
            <w:r w:rsidRPr="0003787D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. Occurrence of status epilepticus during neurological complications of transplantation</w:t>
            </w:r>
          </w:p>
        </w:tc>
      </w:tr>
      <w:tr w:rsidR="001B0EE9" w:rsidRPr="00703179" w14:paraId="6E5280AE" w14:textId="77777777" w:rsidTr="003C6B34">
        <w:trPr>
          <w:trHeight w:val="537"/>
        </w:trPr>
        <w:tc>
          <w:tcPr>
            <w:tcW w:w="41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8D8BAE" w14:textId="77777777" w:rsidR="001B0EE9" w:rsidRPr="00703179" w:rsidRDefault="001B0EE9" w:rsidP="003C6B34">
            <w:pPr>
              <w:widowControl w:val="0"/>
              <w:spacing w:after="0" w:line="240" w:lineRule="auto"/>
              <w:rPr>
                <w:rFonts w:ascii="Times New Roman" w:eastAsia="Cambria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Neurological complication</w:t>
            </w:r>
          </w:p>
        </w:tc>
        <w:tc>
          <w:tcPr>
            <w:tcW w:w="8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47C16" w14:textId="77777777" w:rsidR="001B0EE9" w:rsidRPr="00703179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Status epilepticus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br/>
              <w:t xml:space="preserve">(N = </w:t>
            </w:r>
            <w:r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14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13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8924B7" w14:textId="77777777" w:rsidR="001B0EE9" w:rsidRPr="00703179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 xml:space="preserve">No </w:t>
            </w:r>
            <w:r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status epilepticus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br/>
              <w:t xml:space="preserve">(N = </w:t>
            </w:r>
            <w:r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80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)</w:t>
            </w:r>
          </w:p>
        </w:tc>
      </w:tr>
      <w:tr w:rsidR="001B0EE9" w:rsidRPr="000E14D7" w14:paraId="2A6B6089" w14:textId="77777777" w:rsidTr="003C6B34">
        <w:trPr>
          <w:trHeight w:val="283"/>
        </w:trPr>
        <w:tc>
          <w:tcPr>
            <w:tcW w:w="4124" w:type="dxa"/>
            <w:tcBorders>
              <w:top w:val="single" w:sz="4" w:space="0" w:color="auto"/>
            </w:tcBorders>
            <w:vAlign w:val="center"/>
          </w:tcPr>
          <w:p w14:paraId="6E1F8B52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Posterior Reversible Encephalopathy Syndrome</w:t>
            </w:r>
          </w:p>
        </w:tc>
        <w:tc>
          <w:tcPr>
            <w:tcW w:w="885" w:type="dxa"/>
            <w:tcBorders>
              <w:top w:val="single" w:sz="4" w:space="0" w:color="auto"/>
            </w:tcBorders>
            <w:vAlign w:val="center"/>
          </w:tcPr>
          <w:p w14:paraId="4B30A939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11 (25.6%)</w:t>
            </w:r>
          </w:p>
        </w:tc>
        <w:tc>
          <w:tcPr>
            <w:tcW w:w="1371" w:type="dxa"/>
            <w:tcBorders>
              <w:top w:val="single" w:sz="4" w:space="0" w:color="auto"/>
            </w:tcBorders>
            <w:vAlign w:val="center"/>
          </w:tcPr>
          <w:p w14:paraId="24D8C0DB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32 (74.4%)</w:t>
            </w:r>
          </w:p>
        </w:tc>
      </w:tr>
      <w:tr w:rsidR="001B0EE9" w:rsidRPr="000E14D7" w14:paraId="68E30A77" w14:textId="77777777" w:rsidTr="003C6B34">
        <w:trPr>
          <w:trHeight w:val="283"/>
        </w:trPr>
        <w:tc>
          <w:tcPr>
            <w:tcW w:w="4124" w:type="dxa"/>
            <w:vAlign w:val="center"/>
          </w:tcPr>
          <w:p w14:paraId="74632C7A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Infections</w:t>
            </w:r>
          </w:p>
        </w:tc>
        <w:tc>
          <w:tcPr>
            <w:tcW w:w="885" w:type="dxa"/>
            <w:vAlign w:val="center"/>
          </w:tcPr>
          <w:p w14:paraId="1BAE33D1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3 (20%)</w:t>
            </w:r>
          </w:p>
        </w:tc>
        <w:tc>
          <w:tcPr>
            <w:tcW w:w="1371" w:type="dxa"/>
            <w:vAlign w:val="center"/>
          </w:tcPr>
          <w:p w14:paraId="05069732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12 (80%)</w:t>
            </w:r>
          </w:p>
        </w:tc>
      </w:tr>
      <w:tr w:rsidR="001B0EE9" w:rsidRPr="000E14D7" w14:paraId="220F36F7" w14:textId="77777777" w:rsidTr="003C6B34">
        <w:trPr>
          <w:trHeight w:val="283"/>
        </w:trPr>
        <w:tc>
          <w:tcPr>
            <w:tcW w:w="4124" w:type="dxa"/>
            <w:vAlign w:val="center"/>
          </w:tcPr>
          <w:p w14:paraId="69156500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Drug-related toxicity</w:t>
            </w:r>
          </w:p>
        </w:tc>
        <w:tc>
          <w:tcPr>
            <w:tcW w:w="885" w:type="dxa"/>
            <w:vAlign w:val="center"/>
          </w:tcPr>
          <w:p w14:paraId="74D08ECF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371" w:type="dxa"/>
            <w:vAlign w:val="center"/>
          </w:tcPr>
          <w:p w14:paraId="000384ED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9 (100%)</w:t>
            </w:r>
          </w:p>
        </w:tc>
      </w:tr>
      <w:tr w:rsidR="001B0EE9" w:rsidRPr="000E14D7" w14:paraId="765FA78E" w14:textId="77777777" w:rsidTr="003C6B34">
        <w:trPr>
          <w:trHeight w:val="283"/>
        </w:trPr>
        <w:tc>
          <w:tcPr>
            <w:tcW w:w="4124" w:type="dxa"/>
            <w:vAlign w:val="center"/>
          </w:tcPr>
          <w:p w14:paraId="3CBC646B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Cerebrovascular</w:t>
            </w:r>
          </w:p>
        </w:tc>
        <w:tc>
          <w:tcPr>
            <w:tcW w:w="885" w:type="dxa"/>
            <w:vAlign w:val="center"/>
          </w:tcPr>
          <w:p w14:paraId="22653780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371" w:type="dxa"/>
            <w:vAlign w:val="center"/>
          </w:tcPr>
          <w:p w14:paraId="200EE479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6 (100%)</w:t>
            </w:r>
          </w:p>
        </w:tc>
      </w:tr>
      <w:tr w:rsidR="001B0EE9" w:rsidRPr="000E14D7" w14:paraId="578AACFC" w14:textId="77777777" w:rsidTr="003C6B34">
        <w:trPr>
          <w:trHeight w:val="283"/>
        </w:trPr>
        <w:tc>
          <w:tcPr>
            <w:tcW w:w="4124" w:type="dxa"/>
            <w:vAlign w:val="center"/>
          </w:tcPr>
          <w:p w14:paraId="4EABFC3B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Metabolic</w:t>
            </w:r>
          </w:p>
        </w:tc>
        <w:tc>
          <w:tcPr>
            <w:tcW w:w="885" w:type="dxa"/>
            <w:vAlign w:val="center"/>
          </w:tcPr>
          <w:p w14:paraId="36F830D6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371" w:type="dxa"/>
            <w:vAlign w:val="center"/>
          </w:tcPr>
          <w:p w14:paraId="6A764D91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3 (100%)</w:t>
            </w:r>
          </w:p>
        </w:tc>
      </w:tr>
      <w:tr w:rsidR="001B0EE9" w:rsidRPr="000E14D7" w14:paraId="09C62A64" w14:textId="77777777" w:rsidTr="003C6B34">
        <w:trPr>
          <w:trHeight w:val="283"/>
        </w:trPr>
        <w:tc>
          <w:tcPr>
            <w:tcW w:w="4124" w:type="dxa"/>
            <w:tcBorders>
              <w:bottom w:val="single" w:sz="4" w:space="0" w:color="auto"/>
            </w:tcBorders>
            <w:vAlign w:val="center"/>
          </w:tcPr>
          <w:p w14:paraId="7E1B1C4E" w14:textId="77777777" w:rsidR="001B0EE9" w:rsidRPr="000E14D7" w:rsidRDefault="001B0EE9" w:rsidP="003C6B34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Other</w:t>
            </w:r>
          </w:p>
        </w:tc>
        <w:tc>
          <w:tcPr>
            <w:tcW w:w="885" w:type="dxa"/>
            <w:tcBorders>
              <w:bottom w:val="single" w:sz="4" w:space="0" w:color="auto"/>
            </w:tcBorders>
            <w:vAlign w:val="center"/>
          </w:tcPr>
          <w:p w14:paraId="7119D797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371" w:type="dxa"/>
            <w:tcBorders>
              <w:bottom w:val="single" w:sz="4" w:space="0" w:color="auto"/>
            </w:tcBorders>
            <w:vAlign w:val="center"/>
          </w:tcPr>
          <w:p w14:paraId="0770B46B" w14:textId="77777777" w:rsidR="001B0EE9" w:rsidRPr="000E14D7" w:rsidRDefault="001B0EE9" w:rsidP="003C6B34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18 (100%)</w:t>
            </w:r>
          </w:p>
        </w:tc>
      </w:tr>
    </w:tbl>
    <w:p w14:paraId="464C7106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1CBA98E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8C06FE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3917F4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C871F2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1"/>
        <w:tblpPr w:leftFromText="141" w:rightFromText="141" w:vertAnchor="page" w:horzAnchor="page" w:tblpX="2711" w:tblpY="4358"/>
        <w:tblW w:w="7275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690"/>
        <w:gridCol w:w="885"/>
        <w:gridCol w:w="1215"/>
        <w:gridCol w:w="1485"/>
      </w:tblGrid>
      <w:tr w:rsidR="000714AB" w:rsidRPr="00703179" w14:paraId="5825837E" w14:textId="77777777" w:rsidTr="000714AB">
        <w:trPr>
          <w:trHeight w:val="293"/>
        </w:trPr>
        <w:tc>
          <w:tcPr>
            <w:tcW w:w="7275" w:type="dxa"/>
            <w:gridSpan w:val="4"/>
            <w:tcBorders>
              <w:left w:val="single" w:sz="6" w:space="0" w:color="FFFFFF"/>
              <w:bottom w:val="single" w:sz="6" w:space="0" w:color="595959"/>
            </w:tcBorders>
            <w:vAlign w:val="center"/>
          </w:tcPr>
          <w:p w14:paraId="59882CA4" w14:textId="7E561013" w:rsidR="000714AB" w:rsidRPr="00703179" w:rsidRDefault="000714AB" w:rsidP="000714AB">
            <w:pPr>
              <w:widowControl w:val="0"/>
              <w:spacing w:after="0" w:line="240" w:lineRule="auto"/>
              <w:rPr>
                <w:rFonts w:ascii="Times New Roman" w:eastAsia="Cambria" w:hAnsi="Times New Roman" w:cs="Times New Roman"/>
                <w:bCs/>
                <w:i/>
                <w:iCs/>
                <w:color w:val="000000" w:themeColor="text1"/>
              </w:rPr>
            </w:pP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Supplementary T</w:t>
            </w:r>
            <w:r w:rsidRPr="00703179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able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 xml:space="preserve"> S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2</w:t>
            </w:r>
            <w:r w:rsidRPr="00703179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. Comp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arison of demographic, clinical and transplant-related</w:t>
            </w:r>
            <w:r w:rsidRPr="00703179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 xml:space="preserve"> variables 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 xml:space="preserve">in </w:t>
            </w:r>
            <w:r w:rsidRPr="00703179">
              <w:rPr>
                <w:rFonts w:ascii="Times New Roman" w:eastAsia="Arial" w:hAnsi="Times New Roman" w:cs="Times New Roman"/>
                <w:bCs/>
                <w:i/>
                <w:iCs/>
                <w:color w:val="000000" w:themeColor="text1"/>
                <w:sz w:val="16"/>
                <w:szCs w:val="16"/>
              </w:rPr>
              <w:t>patients with and without epilepsy</w:t>
            </w:r>
          </w:p>
        </w:tc>
      </w:tr>
      <w:tr w:rsidR="000714AB" w:rsidRPr="00703179" w14:paraId="2E261482" w14:textId="77777777" w:rsidTr="000714AB">
        <w:trPr>
          <w:trHeight w:val="537"/>
        </w:trPr>
        <w:tc>
          <w:tcPr>
            <w:tcW w:w="3690" w:type="dxa"/>
            <w:tcBorders>
              <w:top w:val="single" w:sz="6" w:space="0" w:color="595959"/>
              <w:left w:val="single" w:sz="6" w:space="0" w:color="FFFFFF"/>
              <w:bottom w:val="single" w:sz="4" w:space="0" w:color="auto"/>
            </w:tcBorders>
            <w:vAlign w:val="center"/>
          </w:tcPr>
          <w:p w14:paraId="3232528A" w14:textId="77777777" w:rsidR="000714AB" w:rsidRPr="00703179" w:rsidRDefault="000714AB" w:rsidP="000714AB">
            <w:pPr>
              <w:widowControl w:val="0"/>
              <w:spacing w:after="0" w:line="240" w:lineRule="auto"/>
              <w:rPr>
                <w:rFonts w:ascii="Times New Roman" w:eastAsia="Cambria" w:hAnsi="Times New Roman" w:cs="Times New Roman"/>
                <w:color w:val="000000" w:themeColor="text1"/>
                <w:sz w:val="16"/>
                <w:szCs w:val="16"/>
              </w:rPr>
            </w:pP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Characteristics</w:t>
            </w:r>
          </w:p>
        </w:tc>
        <w:tc>
          <w:tcPr>
            <w:tcW w:w="885" w:type="dxa"/>
            <w:tcBorders>
              <w:top w:val="single" w:sz="6" w:space="0" w:color="595959"/>
              <w:bottom w:val="single" w:sz="4" w:space="0" w:color="auto"/>
            </w:tcBorders>
            <w:vAlign w:val="center"/>
          </w:tcPr>
          <w:p w14:paraId="4F9542D6" w14:textId="77777777" w:rsidR="000714AB" w:rsidRPr="00703179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Epilepsy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br/>
              <w:t>(N = 9)</w:t>
            </w:r>
          </w:p>
        </w:tc>
        <w:tc>
          <w:tcPr>
            <w:tcW w:w="1215" w:type="dxa"/>
            <w:tcBorders>
              <w:top w:val="single" w:sz="6" w:space="0" w:color="595959"/>
              <w:bottom w:val="single" w:sz="4" w:space="0" w:color="auto"/>
            </w:tcBorders>
            <w:vAlign w:val="center"/>
          </w:tcPr>
          <w:p w14:paraId="2C31E941" w14:textId="77777777" w:rsidR="000714AB" w:rsidRPr="00703179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t>No epilepsy</w:t>
            </w:r>
            <w:r w:rsidRPr="00703179"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  <w:br/>
              <w:t>(N = 85)</w:t>
            </w:r>
          </w:p>
        </w:tc>
        <w:tc>
          <w:tcPr>
            <w:tcW w:w="1485" w:type="dxa"/>
            <w:tcBorders>
              <w:top w:val="single" w:sz="6" w:space="0" w:color="595959"/>
              <w:bottom w:val="single" w:sz="4" w:space="0" w:color="auto"/>
              <w:right w:val="single" w:sz="6" w:space="0" w:color="FFFFFF"/>
            </w:tcBorders>
            <w:vAlign w:val="center"/>
          </w:tcPr>
          <w:p w14:paraId="11CE3078" w14:textId="77777777" w:rsidR="000714AB" w:rsidRPr="00703179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703179"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  <w:t>p -value</w:t>
            </w:r>
          </w:p>
        </w:tc>
      </w:tr>
      <w:tr w:rsidR="000714AB" w:rsidRPr="000E14D7" w14:paraId="65612DDD" w14:textId="77777777" w:rsidTr="000714AB">
        <w:trPr>
          <w:trHeight w:val="283"/>
        </w:trPr>
        <w:tc>
          <w:tcPr>
            <w:tcW w:w="3690" w:type="dxa"/>
            <w:tcBorders>
              <w:top w:val="single" w:sz="4" w:space="0" w:color="auto"/>
              <w:left w:val="single" w:sz="6" w:space="0" w:color="FFFFFF"/>
            </w:tcBorders>
            <w:vAlign w:val="center"/>
          </w:tcPr>
          <w:p w14:paraId="05ED7973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Age HCT – yrs. (IQR)</w:t>
            </w:r>
          </w:p>
        </w:tc>
        <w:tc>
          <w:tcPr>
            <w:tcW w:w="885" w:type="dxa"/>
            <w:tcBorders>
              <w:top w:val="single" w:sz="4" w:space="0" w:color="auto"/>
            </w:tcBorders>
            <w:vAlign w:val="center"/>
          </w:tcPr>
          <w:p w14:paraId="0258E96D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9.0 </w:t>
            </w:r>
            <w:r w:rsidRPr="000E14D7">
              <w:rPr>
                <w:rFonts w:ascii="Times New Roman" w:hAnsi="Times New Roman" w:cs="Times New Roman"/>
                <w:color w:val="231F20"/>
                <w:sz w:val="16"/>
                <w:szCs w:val="16"/>
              </w:rPr>
              <w:t>± 5</w:t>
            </w:r>
          </w:p>
        </w:tc>
        <w:tc>
          <w:tcPr>
            <w:tcW w:w="1215" w:type="dxa"/>
            <w:tcBorders>
              <w:top w:val="single" w:sz="4" w:space="0" w:color="auto"/>
            </w:tcBorders>
            <w:vAlign w:val="center"/>
          </w:tcPr>
          <w:p w14:paraId="27FFBA5D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10.0 </w:t>
            </w:r>
            <w:r w:rsidRPr="000E14D7">
              <w:rPr>
                <w:rFonts w:ascii="Times New Roman" w:hAnsi="Times New Roman" w:cs="Times New Roman"/>
                <w:color w:val="231F20"/>
                <w:sz w:val="16"/>
                <w:szCs w:val="16"/>
              </w:rPr>
              <w:t>± 6</w:t>
            </w:r>
          </w:p>
        </w:tc>
        <w:tc>
          <w:tcPr>
            <w:tcW w:w="1485" w:type="dxa"/>
            <w:tcBorders>
              <w:top w:val="single" w:sz="4" w:space="0" w:color="auto"/>
              <w:right w:val="single" w:sz="6" w:space="0" w:color="FFFFFF"/>
            </w:tcBorders>
            <w:vAlign w:val="center"/>
          </w:tcPr>
          <w:p w14:paraId="189D4B5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0.309</w:t>
            </w:r>
          </w:p>
        </w:tc>
      </w:tr>
      <w:tr w:rsidR="000714AB" w:rsidRPr="000E14D7" w14:paraId="05CE55A2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5C295385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Male – n. (%)</w:t>
            </w:r>
          </w:p>
        </w:tc>
        <w:tc>
          <w:tcPr>
            <w:tcW w:w="885" w:type="dxa"/>
            <w:vAlign w:val="center"/>
          </w:tcPr>
          <w:p w14:paraId="3876062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(67)</w:t>
            </w:r>
          </w:p>
        </w:tc>
        <w:tc>
          <w:tcPr>
            <w:tcW w:w="1215" w:type="dxa"/>
            <w:vAlign w:val="center"/>
          </w:tcPr>
          <w:p w14:paraId="22D71B81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 (67)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3146D7B7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0.981</w:t>
            </w:r>
          </w:p>
        </w:tc>
      </w:tr>
      <w:tr w:rsidR="000714AB" w:rsidRPr="000E14D7" w14:paraId="264F8084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57B7ECA2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Underlying condition - n. (%)</w:t>
            </w:r>
          </w:p>
        </w:tc>
        <w:tc>
          <w:tcPr>
            <w:tcW w:w="885" w:type="dxa"/>
          </w:tcPr>
          <w:p w14:paraId="45FDF950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</w:tcPr>
          <w:p w14:paraId="3B52529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</w:tcPr>
          <w:p w14:paraId="60368314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280FCE83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53021128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proofErr w:type="spellStart"/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Leukaemia</w:t>
            </w:r>
            <w:proofErr w:type="spellEnd"/>
          </w:p>
        </w:tc>
        <w:tc>
          <w:tcPr>
            <w:tcW w:w="885" w:type="dxa"/>
            <w:vAlign w:val="center"/>
          </w:tcPr>
          <w:p w14:paraId="1159172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(67)</w:t>
            </w:r>
          </w:p>
        </w:tc>
        <w:tc>
          <w:tcPr>
            <w:tcW w:w="1215" w:type="dxa"/>
            <w:vAlign w:val="center"/>
          </w:tcPr>
          <w:p w14:paraId="21D9208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 (46)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21C1EF8E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0.235</w:t>
            </w:r>
          </w:p>
        </w:tc>
      </w:tr>
      <w:tr w:rsidR="000714AB" w:rsidRPr="000E14D7" w14:paraId="62504767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01724CB6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Lymphoma</w:t>
            </w:r>
          </w:p>
        </w:tc>
        <w:tc>
          <w:tcPr>
            <w:tcW w:w="885" w:type="dxa"/>
            <w:vAlign w:val="center"/>
          </w:tcPr>
          <w:p w14:paraId="18F5A2C8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(11)</w:t>
            </w:r>
          </w:p>
        </w:tc>
        <w:tc>
          <w:tcPr>
            <w:tcW w:w="1215" w:type="dxa"/>
            <w:vAlign w:val="center"/>
          </w:tcPr>
          <w:p w14:paraId="2272A32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(3.5)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22E9117A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0.284</w:t>
            </w:r>
          </w:p>
        </w:tc>
      </w:tr>
      <w:tr w:rsidR="000714AB" w:rsidRPr="000E14D7" w14:paraId="0F037540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3CD026F4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Solid </w:t>
            </w:r>
            <w:proofErr w:type="spellStart"/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tumour</w:t>
            </w:r>
            <w:proofErr w:type="spellEnd"/>
          </w:p>
        </w:tc>
        <w:tc>
          <w:tcPr>
            <w:tcW w:w="885" w:type="dxa"/>
            <w:vAlign w:val="center"/>
          </w:tcPr>
          <w:p w14:paraId="1873296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(0)</w:t>
            </w:r>
          </w:p>
        </w:tc>
        <w:tc>
          <w:tcPr>
            <w:tcW w:w="1215" w:type="dxa"/>
            <w:vAlign w:val="center"/>
          </w:tcPr>
          <w:p w14:paraId="1508D25A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(3.5)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0E7A906E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0.567</w:t>
            </w:r>
          </w:p>
        </w:tc>
      </w:tr>
      <w:tr w:rsidR="000714AB" w:rsidRPr="000E14D7" w14:paraId="6CFBA46A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12B5CEF3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Non-oncological pathology</w:t>
            </w:r>
          </w:p>
        </w:tc>
        <w:tc>
          <w:tcPr>
            <w:tcW w:w="885" w:type="dxa"/>
            <w:vAlign w:val="center"/>
          </w:tcPr>
          <w:p w14:paraId="63D10AAE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(22)</w:t>
            </w:r>
          </w:p>
        </w:tc>
        <w:tc>
          <w:tcPr>
            <w:tcW w:w="1215" w:type="dxa"/>
            <w:vAlign w:val="center"/>
          </w:tcPr>
          <w:p w14:paraId="65939D3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 (47)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6B02FEF3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0.154</w:t>
            </w:r>
          </w:p>
        </w:tc>
      </w:tr>
      <w:tr w:rsidR="000714AB" w:rsidRPr="000E14D7" w14:paraId="418EE724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0CDF652E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Donors – n. (%)</w:t>
            </w:r>
          </w:p>
        </w:tc>
        <w:tc>
          <w:tcPr>
            <w:tcW w:w="885" w:type="dxa"/>
            <w:vAlign w:val="center"/>
          </w:tcPr>
          <w:p w14:paraId="71395420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3F5D353A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75CFD798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1F8039F8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224632C3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Autologous</w:t>
            </w:r>
          </w:p>
        </w:tc>
        <w:tc>
          <w:tcPr>
            <w:tcW w:w="885" w:type="dxa"/>
            <w:vAlign w:val="center"/>
          </w:tcPr>
          <w:p w14:paraId="7A161EC7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(11)</w:t>
            </w:r>
          </w:p>
        </w:tc>
        <w:tc>
          <w:tcPr>
            <w:tcW w:w="1215" w:type="dxa"/>
            <w:vAlign w:val="center"/>
          </w:tcPr>
          <w:p w14:paraId="3DA7C47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(5)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68299D30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0.416</w:t>
            </w:r>
          </w:p>
        </w:tc>
      </w:tr>
      <w:tr w:rsidR="000714AB" w:rsidRPr="000E14D7" w14:paraId="260254AD" w14:textId="77777777" w:rsidTr="000714AB">
        <w:trPr>
          <w:trHeight w:val="283"/>
        </w:trPr>
        <w:tc>
          <w:tcPr>
            <w:tcW w:w="3690" w:type="dxa"/>
            <w:tcBorders>
              <w:left w:val="nil"/>
            </w:tcBorders>
            <w:vAlign w:val="center"/>
          </w:tcPr>
          <w:p w14:paraId="153C986B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Identical sibling</w:t>
            </w:r>
          </w:p>
        </w:tc>
        <w:tc>
          <w:tcPr>
            <w:tcW w:w="885" w:type="dxa"/>
            <w:vAlign w:val="center"/>
          </w:tcPr>
          <w:p w14:paraId="50AFF29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(33.5)</w:t>
            </w:r>
          </w:p>
        </w:tc>
        <w:tc>
          <w:tcPr>
            <w:tcW w:w="1215" w:type="dxa"/>
            <w:vAlign w:val="center"/>
          </w:tcPr>
          <w:p w14:paraId="08FBAEF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 (21)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3A749845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0.405</w:t>
            </w:r>
          </w:p>
        </w:tc>
      </w:tr>
      <w:tr w:rsidR="000714AB" w:rsidRPr="000E14D7" w14:paraId="2C76E30C" w14:textId="77777777" w:rsidTr="000714AB">
        <w:trPr>
          <w:trHeight w:val="283"/>
        </w:trPr>
        <w:tc>
          <w:tcPr>
            <w:tcW w:w="3690" w:type="dxa"/>
            <w:tcBorders>
              <w:left w:val="nil"/>
            </w:tcBorders>
            <w:vAlign w:val="center"/>
          </w:tcPr>
          <w:p w14:paraId="427740DF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MUD</w:t>
            </w:r>
          </w:p>
        </w:tc>
        <w:tc>
          <w:tcPr>
            <w:tcW w:w="885" w:type="dxa"/>
            <w:vAlign w:val="center"/>
          </w:tcPr>
          <w:p w14:paraId="7400848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(44.5)</w:t>
            </w:r>
          </w:p>
        </w:tc>
        <w:tc>
          <w:tcPr>
            <w:tcW w:w="1215" w:type="dxa"/>
            <w:vAlign w:val="center"/>
          </w:tcPr>
          <w:p w14:paraId="52E9F16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44 (52)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73DE267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0.676</w:t>
            </w:r>
          </w:p>
        </w:tc>
      </w:tr>
      <w:tr w:rsidR="000714AB" w:rsidRPr="000E14D7" w14:paraId="06CCAA57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67F11D32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Haploidentical</w:t>
            </w:r>
          </w:p>
        </w:tc>
        <w:tc>
          <w:tcPr>
            <w:tcW w:w="885" w:type="dxa"/>
            <w:vAlign w:val="center"/>
          </w:tcPr>
          <w:p w14:paraId="27F9FF33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(11)</w:t>
            </w:r>
          </w:p>
        </w:tc>
        <w:tc>
          <w:tcPr>
            <w:tcW w:w="1215" w:type="dxa"/>
            <w:vAlign w:val="center"/>
          </w:tcPr>
          <w:p w14:paraId="3CC020E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 (22)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31BBA59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0.433</w:t>
            </w:r>
          </w:p>
        </w:tc>
      </w:tr>
      <w:tr w:rsidR="000714AB" w:rsidRPr="000E14D7" w14:paraId="08E74879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74AF7137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Source of stem cells – n. (%)</w:t>
            </w:r>
          </w:p>
        </w:tc>
        <w:tc>
          <w:tcPr>
            <w:tcW w:w="885" w:type="dxa"/>
            <w:vAlign w:val="center"/>
          </w:tcPr>
          <w:p w14:paraId="0997523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0D3A4FA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110F095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2F23C2E7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2BD3FDF5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Bone Marrow</w:t>
            </w:r>
          </w:p>
        </w:tc>
        <w:tc>
          <w:tcPr>
            <w:tcW w:w="885" w:type="dxa"/>
            <w:vAlign w:val="center"/>
          </w:tcPr>
          <w:p w14:paraId="7EC27C1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 (55)</w:t>
            </w:r>
          </w:p>
        </w:tc>
        <w:tc>
          <w:tcPr>
            <w:tcW w:w="1215" w:type="dxa"/>
            <w:vAlign w:val="center"/>
          </w:tcPr>
          <w:p w14:paraId="061F6144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52 (62)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7CE3182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0.974</w:t>
            </w:r>
          </w:p>
        </w:tc>
      </w:tr>
      <w:tr w:rsidR="000714AB" w:rsidRPr="000E14D7" w14:paraId="1C229335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09F8ED1D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Peripheral blood</w:t>
            </w:r>
          </w:p>
        </w:tc>
        <w:tc>
          <w:tcPr>
            <w:tcW w:w="885" w:type="dxa"/>
            <w:vAlign w:val="center"/>
          </w:tcPr>
          <w:p w14:paraId="2DAD392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(33)</w:t>
            </w:r>
          </w:p>
        </w:tc>
        <w:tc>
          <w:tcPr>
            <w:tcW w:w="1215" w:type="dxa"/>
            <w:vAlign w:val="center"/>
          </w:tcPr>
          <w:p w14:paraId="6976F2F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 (31)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135417D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0.703</w:t>
            </w:r>
          </w:p>
        </w:tc>
      </w:tr>
      <w:tr w:rsidR="000714AB" w:rsidRPr="000E14D7" w14:paraId="021874D2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75760967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Umbilical cord</w:t>
            </w:r>
          </w:p>
        </w:tc>
        <w:tc>
          <w:tcPr>
            <w:tcW w:w="885" w:type="dxa"/>
            <w:vAlign w:val="center"/>
          </w:tcPr>
          <w:p w14:paraId="4C53BA9D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(0)</w:t>
            </w:r>
          </w:p>
        </w:tc>
        <w:tc>
          <w:tcPr>
            <w:tcW w:w="1215" w:type="dxa"/>
            <w:vAlign w:val="center"/>
          </w:tcPr>
          <w:p w14:paraId="432AFF2A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 (11)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638BB7D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0.330</w:t>
            </w:r>
          </w:p>
        </w:tc>
      </w:tr>
      <w:tr w:rsidR="000714AB" w:rsidRPr="000E14D7" w14:paraId="41E4FD9B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7F465B3A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Missing</w:t>
            </w:r>
          </w:p>
        </w:tc>
        <w:tc>
          <w:tcPr>
            <w:tcW w:w="885" w:type="dxa"/>
            <w:vAlign w:val="center"/>
          </w:tcPr>
          <w:p w14:paraId="4926B017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1215" w:type="dxa"/>
            <w:vAlign w:val="center"/>
          </w:tcPr>
          <w:p w14:paraId="6C3E420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2B7851C0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69653B95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08E1E865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Conditioning regimen – n. (%)</w:t>
            </w:r>
          </w:p>
        </w:tc>
        <w:tc>
          <w:tcPr>
            <w:tcW w:w="885" w:type="dxa"/>
            <w:vAlign w:val="center"/>
          </w:tcPr>
          <w:p w14:paraId="5D9D304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7252C9FE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6D1C152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681A5AD1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6BABB40B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b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MAC</w:t>
            </w:r>
          </w:p>
        </w:tc>
        <w:tc>
          <w:tcPr>
            <w:tcW w:w="885" w:type="dxa"/>
            <w:vAlign w:val="center"/>
          </w:tcPr>
          <w:p w14:paraId="3526FFE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 (78)</w:t>
            </w:r>
          </w:p>
        </w:tc>
        <w:tc>
          <w:tcPr>
            <w:tcW w:w="1215" w:type="dxa"/>
            <w:vAlign w:val="center"/>
          </w:tcPr>
          <w:p w14:paraId="343549E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 (86)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7B618AE5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0.970</w:t>
            </w:r>
          </w:p>
        </w:tc>
      </w:tr>
      <w:tr w:rsidR="000714AB" w:rsidRPr="000E14D7" w14:paraId="01D81392" w14:textId="77777777" w:rsidTr="000714AB">
        <w:trPr>
          <w:trHeight w:val="283"/>
        </w:trPr>
        <w:tc>
          <w:tcPr>
            <w:tcW w:w="3690" w:type="dxa"/>
            <w:tcBorders>
              <w:left w:val="single" w:sz="6" w:space="0" w:color="FFFFFF"/>
            </w:tcBorders>
            <w:vAlign w:val="center"/>
          </w:tcPr>
          <w:p w14:paraId="561AE5DB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RIC</w:t>
            </w:r>
          </w:p>
        </w:tc>
        <w:tc>
          <w:tcPr>
            <w:tcW w:w="885" w:type="dxa"/>
            <w:vAlign w:val="center"/>
          </w:tcPr>
          <w:p w14:paraId="60F0EBE8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(11)</w:t>
            </w:r>
          </w:p>
        </w:tc>
        <w:tc>
          <w:tcPr>
            <w:tcW w:w="1215" w:type="dxa"/>
            <w:vAlign w:val="center"/>
          </w:tcPr>
          <w:p w14:paraId="15970BF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 (12)</w:t>
            </w: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5EB28653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0A803D29" w14:textId="77777777" w:rsidTr="000714AB">
        <w:trPr>
          <w:trHeight w:val="283"/>
        </w:trPr>
        <w:tc>
          <w:tcPr>
            <w:tcW w:w="3690" w:type="dxa"/>
            <w:tcBorders>
              <w:left w:val="nil"/>
            </w:tcBorders>
            <w:vAlign w:val="center"/>
          </w:tcPr>
          <w:p w14:paraId="59736D5A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Acute toxicity</w:t>
            </w:r>
          </w:p>
        </w:tc>
        <w:tc>
          <w:tcPr>
            <w:tcW w:w="885" w:type="dxa"/>
            <w:vAlign w:val="center"/>
          </w:tcPr>
          <w:p w14:paraId="3C37011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530E52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right w:val="single" w:sz="6" w:space="0" w:color="FFFFFF"/>
            </w:tcBorders>
            <w:vAlign w:val="center"/>
          </w:tcPr>
          <w:p w14:paraId="5FD50727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3B50D78F" w14:textId="77777777" w:rsidTr="000714AB">
        <w:trPr>
          <w:trHeight w:val="284"/>
        </w:trPr>
        <w:tc>
          <w:tcPr>
            <w:tcW w:w="3690" w:type="dxa"/>
            <w:tcBorders>
              <w:left w:val="single" w:sz="6" w:space="0" w:color="FFFFFF"/>
              <w:bottom w:val="nil"/>
            </w:tcBorders>
            <w:vAlign w:val="center"/>
          </w:tcPr>
          <w:p w14:paraId="74B70723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Reactivation CMV</w:t>
            </w:r>
          </w:p>
        </w:tc>
        <w:tc>
          <w:tcPr>
            <w:tcW w:w="885" w:type="dxa"/>
            <w:tcBorders>
              <w:bottom w:val="nil"/>
            </w:tcBorders>
            <w:vAlign w:val="center"/>
          </w:tcPr>
          <w:p w14:paraId="2C99C13A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(44)</w:t>
            </w:r>
          </w:p>
        </w:tc>
        <w:tc>
          <w:tcPr>
            <w:tcW w:w="1215" w:type="dxa"/>
            <w:tcBorders>
              <w:bottom w:val="nil"/>
            </w:tcBorders>
            <w:vAlign w:val="center"/>
          </w:tcPr>
          <w:p w14:paraId="21969D1F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 (49)</w:t>
            </w:r>
          </w:p>
        </w:tc>
        <w:tc>
          <w:tcPr>
            <w:tcW w:w="1485" w:type="dxa"/>
            <w:tcBorders>
              <w:bottom w:val="nil"/>
              <w:right w:val="single" w:sz="6" w:space="0" w:color="FFFFFF"/>
            </w:tcBorders>
            <w:vAlign w:val="center"/>
          </w:tcPr>
          <w:p w14:paraId="2A1679F1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0.777</w:t>
            </w:r>
          </w:p>
        </w:tc>
      </w:tr>
      <w:tr w:rsidR="000714AB" w:rsidRPr="000E14D7" w14:paraId="25CB9598" w14:textId="77777777" w:rsidTr="000714AB">
        <w:trPr>
          <w:trHeight w:val="283"/>
        </w:trPr>
        <w:tc>
          <w:tcPr>
            <w:tcW w:w="3690" w:type="dxa"/>
            <w:tcBorders>
              <w:left w:val="nil"/>
            </w:tcBorders>
            <w:vAlign w:val="center"/>
          </w:tcPr>
          <w:p w14:paraId="276A6DF4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Reactivation EBV</w:t>
            </w:r>
          </w:p>
        </w:tc>
        <w:tc>
          <w:tcPr>
            <w:tcW w:w="885" w:type="dxa"/>
            <w:tcBorders>
              <w:bottom w:val="nil"/>
            </w:tcBorders>
            <w:vAlign w:val="center"/>
          </w:tcPr>
          <w:p w14:paraId="3908FDC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(0)</w:t>
            </w:r>
          </w:p>
        </w:tc>
        <w:tc>
          <w:tcPr>
            <w:tcW w:w="1215" w:type="dxa"/>
            <w:tcBorders>
              <w:bottom w:val="nil"/>
            </w:tcBorders>
            <w:vAlign w:val="center"/>
          </w:tcPr>
          <w:p w14:paraId="28FCE130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16 (19)</w:t>
            </w:r>
          </w:p>
        </w:tc>
        <w:tc>
          <w:tcPr>
            <w:tcW w:w="1485" w:type="dxa"/>
            <w:tcBorders>
              <w:bottom w:val="nil"/>
              <w:right w:val="single" w:sz="6" w:space="0" w:color="FFFFFF"/>
            </w:tcBorders>
            <w:vAlign w:val="center"/>
          </w:tcPr>
          <w:p w14:paraId="0857A7C3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0.153</w:t>
            </w:r>
          </w:p>
        </w:tc>
      </w:tr>
      <w:tr w:rsidR="000714AB" w:rsidRPr="000E14D7" w14:paraId="46D48425" w14:textId="77777777" w:rsidTr="000714AB">
        <w:trPr>
          <w:trHeight w:val="278"/>
        </w:trPr>
        <w:tc>
          <w:tcPr>
            <w:tcW w:w="3690" w:type="dxa"/>
            <w:tcBorders>
              <w:left w:val="nil"/>
            </w:tcBorders>
            <w:vAlign w:val="center"/>
          </w:tcPr>
          <w:p w14:paraId="0E36B313" w14:textId="77777777" w:rsidR="000714AB" w:rsidRPr="000E14D7" w:rsidRDefault="000714AB" w:rsidP="000714AB">
            <w:pPr>
              <w:widowControl w:val="0"/>
              <w:spacing w:after="0" w:line="240" w:lineRule="auto"/>
              <w:ind w:left="283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aGVHD</w:t>
            </w:r>
            <w:proofErr w:type="spellEnd"/>
          </w:p>
        </w:tc>
        <w:tc>
          <w:tcPr>
            <w:tcW w:w="885" w:type="dxa"/>
            <w:tcBorders>
              <w:top w:val="nil"/>
            </w:tcBorders>
            <w:vAlign w:val="center"/>
          </w:tcPr>
          <w:p w14:paraId="6380A4F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 (78)</w:t>
            </w:r>
          </w:p>
        </w:tc>
        <w:tc>
          <w:tcPr>
            <w:tcW w:w="1215" w:type="dxa"/>
            <w:tcBorders>
              <w:top w:val="nil"/>
            </w:tcBorders>
            <w:vAlign w:val="center"/>
          </w:tcPr>
          <w:p w14:paraId="59464384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53 (62)</w:t>
            </w:r>
          </w:p>
        </w:tc>
        <w:tc>
          <w:tcPr>
            <w:tcW w:w="1485" w:type="dxa"/>
            <w:tcBorders>
              <w:top w:val="nil"/>
              <w:right w:val="single" w:sz="6" w:space="0" w:color="FFFFFF"/>
            </w:tcBorders>
            <w:vAlign w:val="center"/>
          </w:tcPr>
          <w:p w14:paraId="7799155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0.382</w:t>
            </w:r>
          </w:p>
        </w:tc>
      </w:tr>
      <w:tr w:rsidR="000714AB" w:rsidRPr="000E14D7" w14:paraId="5DE21649" w14:textId="77777777" w:rsidTr="000714AB">
        <w:trPr>
          <w:trHeight w:val="282"/>
        </w:trPr>
        <w:tc>
          <w:tcPr>
            <w:tcW w:w="3690" w:type="dxa"/>
            <w:tcBorders>
              <w:left w:val="nil"/>
            </w:tcBorders>
            <w:vAlign w:val="center"/>
          </w:tcPr>
          <w:p w14:paraId="61DE5BAD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Follow-up post CNS complication (y.)</w:t>
            </w:r>
          </w:p>
        </w:tc>
        <w:tc>
          <w:tcPr>
            <w:tcW w:w="885" w:type="dxa"/>
            <w:tcBorders>
              <w:top w:val="nil"/>
            </w:tcBorders>
            <w:vAlign w:val="center"/>
          </w:tcPr>
          <w:p w14:paraId="2A6FECB1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nil"/>
            </w:tcBorders>
            <w:vAlign w:val="center"/>
          </w:tcPr>
          <w:p w14:paraId="22D80AE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nil"/>
              <w:right w:val="single" w:sz="6" w:space="0" w:color="FFFFFF"/>
            </w:tcBorders>
            <w:vAlign w:val="center"/>
          </w:tcPr>
          <w:p w14:paraId="5527407E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714AB" w:rsidRPr="000E14D7" w14:paraId="4C443C0B" w14:textId="77777777" w:rsidTr="000714AB">
        <w:trPr>
          <w:trHeight w:val="316"/>
        </w:trPr>
        <w:tc>
          <w:tcPr>
            <w:tcW w:w="3690" w:type="dxa"/>
            <w:tcBorders>
              <w:top w:val="nil"/>
              <w:left w:val="single" w:sz="6" w:space="0" w:color="FFFFFF"/>
            </w:tcBorders>
            <w:vAlign w:val="center"/>
          </w:tcPr>
          <w:p w14:paraId="457DD9AB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Median</w:t>
            </w:r>
          </w:p>
        </w:tc>
        <w:tc>
          <w:tcPr>
            <w:tcW w:w="885" w:type="dxa"/>
            <w:tcBorders>
              <w:top w:val="nil"/>
            </w:tcBorders>
            <w:vAlign w:val="center"/>
          </w:tcPr>
          <w:p w14:paraId="0814453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1215" w:type="dxa"/>
            <w:tcBorders>
              <w:top w:val="nil"/>
            </w:tcBorders>
            <w:vAlign w:val="center"/>
          </w:tcPr>
          <w:p w14:paraId="0CB055DB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15.4</w:t>
            </w:r>
          </w:p>
        </w:tc>
        <w:tc>
          <w:tcPr>
            <w:tcW w:w="1485" w:type="dxa"/>
            <w:tcBorders>
              <w:top w:val="nil"/>
              <w:right w:val="single" w:sz="6" w:space="0" w:color="FFFFFF"/>
            </w:tcBorders>
            <w:vAlign w:val="center"/>
          </w:tcPr>
          <w:p w14:paraId="63DA643C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0.426</w:t>
            </w:r>
          </w:p>
        </w:tc>
      </w:tr>
      <w:tr w:rsidR="000714AB" w:rsidRPr="000E14D7" w14:paraId="03C94B6D" w14:textId="77777777" w:rsidTr="000714AB">
        <w:trPr>
          <w:trHeight w:val="73"/>
        </w:trPr>
        <w:tc>
          <w:tcPr>
            <w:tcW w:w="3690" w:type="dxa"/>
            <w:tcBorders>
              <w:bottom w:val="single" w:sz="4" w:space="0" w:color="auto"/>
            </w:tcBorders>
            <w:vAlign w:val="center"/>
          </w:tcPr>
          <w:p w14:paraId="70C06190" w14:textId="77777777" w:rsidR="000714AB" w:rsidRPr="000E14D7" w:rsidRDefault="000714AB" w:rsidP="000714AB">
            <w:pPr>
              <w:widowControl w:val="0"/>
              <w:spacing w:after="0" w:line="240" w:lineRule="auto"/>
              <w:rPr>
                <w:rFonts w:ascii="Times New Roman" w:eastAsia="Arial" w:hAnsi="Times New Roman" w:cs="Times New Roman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 xml:space="preserve">       </w:t>
            </w:r>
            <w:r w:rsidRPr="000E14D7">
              <w:rPr>
                <w:rFonts w:ascii="Times New Roman" w:hAnsi="Times New Roman" w:cs="Times New Roman"/>
                <w:i/>
                <w:iCs/>
                <w:color w:val="000000"/>
                <w:sz w:val="16"/>
                <w:szCs w:val="16"/>
              </w:rPr>
              <w:t>Interquartile range (IQR)</w:t>
            </w:r>
          </w:p>
        </w:tc>
        <w:tc>
          <w:tcPr>
            <w:tcW w:w="885" w:type="dxa"/>
            <w:tcBorders>
              <w:top w:val="nil"/>
              <w:bottom w:val="single" w:sz="4" w:space="0" w:color="auto"/>
            </w:tcBorders>
            <w:vAlign w:val="center"/>
          </w:tcPr>
          <w:p w14:paraId="1F6BBCE9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10.5</w:t>
            </w:r>
          </w:p>
        </w:tc>
        <w:tc>
          <w:tcPr>
            <w:tcW w:w="1215" w:type="dxa"/>
            <w:tcBorders>
              <w:top w:val="nil"/>
              <w:bottom w:val="single" w:sz="4" w:space="0" w:color="auto"/>
            </w:tcBorders>
            <w:vAlign w:val="center"/>
          </w:tcPr>
          <w:p w14:paraId="033B0A32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E14D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17.2</w:t>
            </w:r>
          </w:p>
        </w:tc>
        <w:tc>
          <w:tcPr>
            <w:tcW w:w="1485" w:type="dxa"/>
            <w:tcBorders>
              <w:top w:val="nil"/>
              <w:bottom w:val="single" w:sz="4" w:space="0" w:color="auto"/>
              <w:right w:val="single" w:sz="6" w:space="0" w:color="FFFFFF"/>
            </w:tcBorders>
            <w:vAlign w:val="center"/>
          </w:tcPr>
          <w:p w14:paraId="0B02C196" w14:textId="77777777" w:rsidR="000714AB" w:rsidRPr="000E14D7" w:rsidRDefault="000714AB" w:rsidP="000714AB">
            <w:pPr>
              <w:widowControl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</w:tbl>
    <w:p w14:paraId="6D733BE7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2813F88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93855F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23BF77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8466A2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D0A980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85C63C" w14:textId="77777777" w:rsidR="0074660A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2F9EBD" w14:textId="77777777" w:rsidR="0074660A" w:rsidRPr="00C1606B" w:rsidRDefault="0074660A" w:rsidP="00F125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B2645F" w14:textId="67F2CED6" w:rsidR="0074660A" w:rsidRDefault="0074660A" w:rsidP="0033316C">
      <w:pPr>
        <w:jc w:val="both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7FE97B3" w14:textId="1E273D38" w:rsidR="00F1258D" w:rsidRDefault="00F1258D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3E42257E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BECE8E1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6ED4C0A6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69E57B53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0D655538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5538225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28B3995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4F56D267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3A878FB7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2E8B002B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540E3BF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BC72C34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13D7B556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22B57CFD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429A5855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2694125F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E4681F7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988AC74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ABC1886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003BE6C1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25E60BBC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77E4448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1AF6A773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46D72518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6ECC5312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06CF78DD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54608EDD" w14:textId="77777777" w:rsid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19BFAE4A" w14:textId="77777777" w:rsidR="0074660A" w:rsidRPr="0074660A" w:rsidRDefault="0074660A" w:rsidP="0074660A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</w:p>
    <w:p w14:paraId="75440865" w14:textId="371AD694" w:rsidR="005D0054" w:rsidRDefault="0033316C" w:rsidP="0033316C">
      <w:pPr>
        <w:jc w:val="both"/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</w:pPr>
      <w:r w:rsidRPr="00C373BD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HCT</w:t>
      </w:r>
      <w:r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: hematopoietic cell transplantation; MUD: matched unrelated donor; MAC: myeloablative conditioning regimen; RIC: reduced intensity conditioning regimen; NA: not available; CMV: cytomegalovirus; EBV: Epstein-Barr virus;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aGVHD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: acute graft-versus-host disease.</w:t>
      </w:r>
    </w:p>
    <w:p w14:paraId="4379BDF5" w14:textId="77777777" w:rsidR="000714AB" w:rsidRDefault="000714AB" w:rsidP="0033316C">
      <w:pPr>
        <w:jc w:val="both"/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</w:pPr>
    </w:p>
    <w:p w14:paraId="335CBFC8" w14:textId="77777777" w:rsidR="000714AB" w:rsidRDefault="000714AB" w:rsidP="0033316C">
      <w:pPr>
        <w:jc w:val="both"/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</w:pPr>
    </w:p>
    <w:p w14:paraId="699CEDBD" w14:textId="77777777" w:rsidR="0074660A" w:rsidRPr="000714AB" w:rsidRDefault="0074660A" w:rsidP="0074660A">
      <w:pPr>
        <w:jc w:val="both"/>
        <w:rPr>
          <w:rFonts w:ascii="Times New Roman" w:hAnsi="Times New Roman" w:cs="Times New Roman"/>
          <w:i/>
          <w:sz w:val="18"/>
          <w:szCs w:val="18"/>
        </w:rPr>
      </w:pPr>
      <w:r w:rsidRPr="000714AB">
        <w:rPr>
          <w:rFonts w:ascii="Times New Roman" w:hAnsi="Times New Roman" w:cs="Times New Roman"/>
          <w:i/>
          <w:sz w:val="18"/>
          <w:szCs w:val="18"/>
        </w:rPr>
        <w:lastRenderedPageBreak/>
        <w:t xml:space="preserve">Supplementary Figure 1 </w:t>
      </w:r>
      <w:proofErr w:type="gramStart"/>
      <w:r w:rsidRPr="000714AB">
        <w:rPr>
          <w:rFonts w:ascii="Times New Roman" w:hAnsi="Times New Roman" w:cs="Times New Roman"/>
          <w:i/>
          <w:sz w:val="18"/>
          <w:szCs w:val="18"/>
        </w:rPr>
        <w:t>-  Italian</w:t>
      </w:r>
      <w:proofErr w:type="gramEnd"/>
      <w:r w:rsidRPr="000714AB">
        <w:rPr>
          <w:rFonts w:ascii="Times New Roman" w:hAnsi="Times New Roman" w:cs="Times New Roman"/>
          <w:i/>
          <w:sz w:val="18"/>
          <w:szCs w:val="18"/>
        </w:rPr>
        <w:t xml:space="preserve"> centers involved in the study</w:t>
      </w:r>
    </w:p>
    <w:p w14:paraId="428B7EB9" w14:textId="395B535D" w:rsidR="00286616" w:rsidRDefault="00286616" w:rsidP="0033316C">
      <w:pPr>
        <w:jc w:val="both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noProof/>
          <w:sz w:val="16"/>
          <w:szCs w:val="16"/>
        </w:rPr>
        <w:drawing>
          <wp:inline distT="0" distB="0" distL="0" distR="0" wp14:anchorId="7F99EAA0" wp14:editId="42017B84">
            <wp:extent cx="6116320" cy="4746625"/>
            <wp:effectExtent l="0" t="0" r="5080" b="3175"/>
            <wp:docPr id="1792932026" name="Immagine 1" descr="Immagine che contiene testo, schermata, Carattere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2932026" name="Immagine 1" descr="Immagine che contiene testo, schermata, Carattere, mappa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74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28B7A7" w14:textId="77777777" w:rsidR="00531A18" w:rsidRPr="00286616" w:rsidRDefault="00531A18" w:rsidP="0033316C">
      <w:pPr>
        <w:jc w:val="both"/>
        <w:rPr>
          <w:rFonts w:ascii="Times New Roman" w:hAnsi="Times New Roman" w:cs="Times New Roman"/>
          <w:i/>
          <w:sz w:val="16"/>
          <w:szCs w:val="16"/>
        </w:rPr>
      </w:pPr>
    </w:p>
    <w:sectPr w:rsidR="00531A18" w:rsidRPr="00286616" w:rsidSect="00EF4B3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2C068F"/>
    <w:multiLevelType w:val="multilevel"/>
    <w:tmpl w:val="AA6208F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54363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4D7"/>
    <w:rsid w:val="0003787D"/>
    <w:rsid w:val="000714AB"/>
    <w:rsid w:val="000E14D7"/>
    <w:rsid w:val="001501D5"/>
    <w:rsid w:val="00164521"/>
    <w:rsid w:val="00193221"/>
    <w:rsid w:val="001B0EE9"/>
    <w:rsid w:val="001C6936"/>
    <w:rsid w:val="00286616"/>
    <w:rsid w:val="0033316C"/>
    <w:rsid w:val="003439A7"/>
    <w:rsid w:val="0045593E"/>
    <w:rsid w:val="00512AAF"/>
    <w:rsid w:val="00531A18"/>
    <w:rsid w:val="00566254"/>
    <w:rsid w:val="005D0054"/>
    <w:rsid w:val="005D55D4"/>
    <w:rsid w:val="0074660A"/>
    <w:rsid w:val="00763C70"/>
    <w:rsid w:val="007E3E98"/>
    <w:rsid w:val="008075FF"/>
    <w:rsid w:val="00911ABF"/>
    <w:rsid w:val="00920D5C"/>
    <w:rsid w:val="009B0EE5"/>
    <w:rsid w:val="009B5DF7"/>
    <w:rsid w:val="00A44B19"/>
    <w:rsid w:val="00C46C96"/>
    <w:rsid w:val="00C752B8"/>
    <w:rsid w:val="00EC770A"/>
    <w:rsid w:val="00EF4B34"/>
    <w:rsid w:val="00F12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B483D0"/>
  <w14:defaultImageDpi w14:val="32767"/>
  <w15:chartTrackingRefBased/>
  <w15:docId w15:val="{27AD1CED-1B0E-E743-84EB-44FE4F2F4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0E14D7"/>
    <w:pPr>
      <w:spacing w:after="160" w:line="259" w:lineRule="auto"/>
    </w:pPr>
    <w:rPr>
      <w:rFonts w:ascii="Calibri" w:eastAsia="Calibri" w:hAnsi="Calibri" w:cs="Calibri"/>
      <w:sz w:val="22"/>
      <w:szCs w:val="22"/>
      <w:lang w:val="en-US"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920D5C"/>
    <w:pPr>
      <w:keepNext/>
      <w:keepLines/>
      <w:spacing w:before="240" w:after="0" w:line="240" w:lineRule="auto"/>
      <w:outlineLvl w:val="0"/>
    </w:pPr>
    <w:rPr>
      <w:rFonts w:asciiTheme="minorHAnsi" w:eastAsiaTheme="majorEastAsia" w:hAnsiTheme="minorHAnsi" w:cstheme="majorBidi"/>
      <w:b/>
      <w:color w:val="156082" w:themeColor="accent1"/>
      <w:sz w:val="44"/>
      <w:szCs w:val="32"/>
      <w:lang w:val="it-IT" w:eastAsia="en-US"/>
    </w:rPr>
  </w:style>
  <w:style w:type="paragraph" w:styleId="Titolo2">
    <w:name w:val="heading 2"/>
    <w:basedOn w:val="Normale"/>
    <w:next w:val="Normale"/>
    <w:link w:val="Titolo2Carattere"/>
    <w:autoRedefine/>
    <w:uiPriority w:val="9"/>
    <w:semiHidden/>
    <w:unhideWhenUsed/>
    <w:qFormat/>
    <w:rsid w:val="00920D5C"/>
    <w:pPr>
      <w:keepNext/>
      <w:keepLines/>
      <w:spacing w:before="40" w:after="0" w:line="240" w:lineRule="auto"/>
      <w:outlineLvl w:val="1"/>
    </w:pPr>
    <w:rPr>
      <w:rFonts w:asciiTheme="minorHAnsi" w:eastAsiaTheme="majorEastAsia" w:hAnsiTheme="minorHAnsi" w:cstheme="majorBidi"/>
      <w:b/>
      <w:color w:val="156082" w:themeColor="accent1"/>
      <w:sz w:val="32"/>
      <w:szCs w:val="26"/>
      <w:lang w:val="it-IT" w:eastAsia="en-US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920D5C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b/>
      <w:color w:val="156082" w:themeColor="accent1"/>
      <w:sz w:val="24"/>
      <w:szCs w:val="24"/>
      <w:lang w:val="it-IT" w:eastAsia="en-US"/>
    </w:rPr>
  </w:style>
  <w:style w:type="paragraph" w:styleId="Titolo4">
    <w:name w:val="heading 4"/>
    <w:basedOn w:val="Normale"/>
    <w:next w:val="Normale"/>
    <w:link w:val="Titolo4Carattere"/>
    <w:autoRedefine/>
    <w:uiPriority w:val="9"/>
    <w:semiHidden/>
    <w:unhideWhenUsed/>
    <w:qFormat/>
    <w:rsid w:val="00920D5C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156082" w:themeColor="accent1"/>
      <w:sz w:val="24"/>
      <w:szCs w:val="24"/>
      <w:lang w:val="it-IT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E14D7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  <w:szCs w:val="24"/>
      <w:lang w:val="it-IT"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E14D7"/>
    <w:pPr>
      <w:keepNext/>
      <w:keepLines/>
      <w:spacing w:before="40" w:after="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val="it-IT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E14D7"/>
    <w:pPr>
      <w:keepNext/>
      <w:keepLines/>
      <w:spacing w:before="40" w:after="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  <w:szCs w:val="24"/>
      <w:lang w:val="it-IT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E14D7"/>
    <w:pPr>
      <w:keepNext/>
      <w:keepLines/>
      <w:spacing w:after="0"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val="it-IT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E14D7"/>
    <w:pPr>
      <w:keepNext/>
      <w:keepLines/>
      <w:spacing w:after="0"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  <w:szCs w:val="24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20D5C"/>
    <w:rPr>
      <w:rFonts w:eastAsiaTheme="majorEastAsia" w:cstheme="majorBidi"/>
      <w:b/>
      <w:color w:val="156082" w:themeColor="accent1"/>
      <w:sz w:val="44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20D5C"/>
    <w:rPr>
      <w:rFonts w:eastAsiaTheme="majorEastAsia" w:cstheme="majorBidi"/>
      <w:b/>
      <w:color w:val="156082" w:themeColor="accent1"/>
      <w:sz w:val="32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20D5C"/>
    <w:rPr>
      <w:rFonts w:asciiTheme="majorHAnsi" w:eastAsiaTheme="majorEastAsia" w:hAnsiTheme="majorHAnsi" w:cstheme="majorBidi"/>
      <w:b/>
      <w:color w:val="156082" w:themeColor="accen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20D5C"/>
    <w:rPr>
      <w:rFonts w:asciiTheme="majorHAnsi" w:eastAsiaTheme="majorEastAsia" w:hAnsiTheme="majorHAnsi" w:cstheme="majorBidi"/>
      <w:i/>
      <w:iCs/>
      <w:color w:val="156082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E14D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E14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E14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E14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E14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E14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0E14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E14D7"/>
    <w:pPr>
      <w:numPr>
        <w:ilvl w:val="1"/>
      </w:numPr>
      <w:spacing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it-IT"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E14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E14D7"/>
    <w:pPr>
      <w:spacing w:before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4"/>
      <w:szCs w:val="24"/>
      <w:lang w:val="it-IT"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E14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E14D7"/>
    <w:pPr>
      <w:spacing w:after="0"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val="it-IT" w:eastAsia="en-US"/>
    </w:rPr>
  </w:style>
  <w:style w:type="character" w:styleId="Enfasiintensa">
    <w:name w:val="Intense Emphasis"/>
    <w:basedOn w:val="Carpredefinitoparagrafo"/>
    <w:uiPriority w:val="21"/>
    <w:qFormat/>
    <w:rsid w:val="000E14D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E14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4"/>
      <w:szCs w:val="24"/>
      <w:lang w:val="it-IT"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E14D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E14D7"/>
    <w:rPr>
      <w:b/>
      <w:bCs/>
      <w:smallCaps/>
      <w:color w:val="0F4761" w:themeColor="accent1" w:themeShade="BF"/>
      <w:spacing w:val="5"/>
    </w:rPr>
  </w:style>
  <w:style w:type="table" w:customStyle="1" w:styleId="1">
    <w:name w:val="1"/>
    <w:basedOn w:val="Tabellanormale"/>
    <w:rsid w:val="000E14D7"/>
    <w:pPr>
      <w:spacing w:after="160" w:line="259" w:lineRule="auto"/>
    </w:pPr>
    <w:rPr>
      <w:rFonts w:ascii="Calibri" w:eastAsia="Calibri" w:hAnsi="Calibri" w:cs="Calibri"/>
      <w:sz w:val="22"/>
      <w:szCs w:val="22"/>
      <w:lang w:val="en-US" w:eastAsia="it-IT"/>
    </w:rPr>
    <w:tblPr>
      <w:tblStyleRowBandSize w:val="1"/>
      <w:tblStyleColBandSize w:val="1"/>
      <w:tblInd w:w="0" w:type="nil"/>
      <w:tblCellMar>
        <w:top w:w="15" w:type="dxa"/>
        <w:left w:w="15" w:type="dxa"/>
        <w:bottom w:w="15" w:type="dxa"/>
        <w:right w:w="15" w:type="dxa"/>
      </w:tblCellMar>
    </w:tblPr>
  </w:style>
  <w:style w:type="paragraph" w:styleId="Revisione">
    <w:name w:val="Revision"/>
    <w:hidden/>
    <w:uiPriority w:val="99"/>
    <w:semiHidden/>
    <w:rsid w:val="001B0EE9"/>
    <w:rPr>
      <w:rFonts w:ascii="Calibri" w:eastAsia="Calibri" w:hAnsi="Calibri" w:cs="Calibri"/>
      <w:sz w:val="22"/>
      <w:szCs w:val="22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Bergonzini</dc:creator>
  <cp:keywords/>
  <dc:description/>
  <cp:lastModifiedBy>Luca Bergonzini</cp:lastModifiedBy>
  <cp:revision>3</cp:revision>
  <dcterms:created xsi:type="dcterms:W3CDTF">2024-07-17T14:23:00Z</dcterms:created>
  <dcterms:modified xsi:type="dcterms:W3CDTF">2024-07-17T14:23:00Z</dcterms:modified>
</cp:coreProperties>
</file>