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E101946" w14:textId="77777777" w:rsidR="00C0737B" w:rsidRPr="00AE64E1" w:rsidRDefault="00C0737B" w:rsidP="00AE64E1">
      <w:pPr>
        <w:rPr>
          <w:b/>
          <w:sz w:val="36"/>
          <w:szCs w:val="36"/>
          <w:lang w:val="en-US"/>
        </w:rPr>
      </w:pPr>
      <w:bookmarkStart w:id="0" w:name="_GoBack"/>
      <w:bookmarkEnd w:id="0"/>
      <w:r w:rsidRPr="00AE64E1">
        <w:rPr>
          <w:b/>
          <w:sz w:val="36"/>
          <w:szCs w:val="36"/>
          <w:lang w:val="en-US"/>
        </w:rPr>
        <w:t>Supplemental Material</w:t>
      </w:r>
    </w:p>
    <w:p w14:paraId="0560CFCA" w14:textId="77777777" w:rsidR="00C0737B" w:rsidRDefault="00C0737B" w:rsidP="00C0737B">
      <w:pPr>
        <w:rPr>
          <w:b/>
          <w:sz w:val="36"/>
          <w:szCs w:val="36"/>
          <w:lang w:val="en-US"/>
        </w:rPr>
      </w:pPr>
    </w:p>
    <w:p w14:paraId="1B580F9D" w14:textId="77777777" w:rsidR="00C0737B" w:rsidRPr="00AE64E1" w:rsidRDefault="00C0737B" w:rsidP="00C0737B">
      <w:pPr>
        <w:rPr>
          <w:b/>
          <w:sz w:val="36"/>
          <w:szCs w:val="36"/>
          <w:lang w:val="en-US"/>
        </w:rPr>
      </w:pPr>
      <w:r w:rsidRPr="00AE64E1">
        <w:rPr>
          <w:b/>
          <w:sz w:val="36"/>
          <w:szCs w:val="36"/>
          <w:lang w:val="en-US"/>
        </w:rPr>
        <w:t>Brain-derived neurotrophic factor</w:t>
      </w:r>
      <w:r w:rsidRPr="00AE64E1" w:rsidDel="001912C5">
        <w:rPr>
          <w:b/>
          <w:sz w:val="36"/>
          <w:szCs w:val="36"/>
          <w:lang w:val="en-US"/>
        </w:rPr>
        <w:t xml:space="preserve"> </w:t>
      </w:r>
      <w:r w:rsidRPr="00AE64E1">
        <w:rPr>
          <w:b/>
          <w:sz w:val="36"/>
          <w:szCs w:val="36"/>
          <w:lang w:val="en-US"/>
        </w:rPr>
        <w:t>protects serotonergic neurons against 3,4-methylenedioxymethamphetamine (“Ecstasy”) induced cytoskeletal damage</w:t>
      </w:r>
    </w:p>
    <w:p w14:paraId="1C5BAC04" w14:textId="77777777" w:rsidR="00C0737B" w:rsidRPr="00AE64E1" w:rsidRDefault="00C0737B" w:rsidP="00C0737B">
      <w:pPr>
        <w:rPr>
          <w:i/>
          <w:sz w:val="24"/>
          <w:szCs w:val="24"/>
          <w:lang w:val="en-US"/>
        </w:rPr>
      </w:pPr>
    </w:p>
    <w:p w14:paraId="03E2CEDA" w14:textId="77777777" w:rsidR="00C0737B" w:rsidRPr="00AE64E1" w:rsidRDefault="00C0737B" w:rsidP="00C0737B">
      <w:pPr>
        <w:rPr>
          <w:i/>
          <w:sz w:val="24"/>
          <w:szCs w:val="24"/>
          <w:lang w:val="en-US"/>
        </w:rPr>
      </w:pPr>
      <w:r w:rsidRPr="00AE64E1">
        <w:rPr>
          <w:i/>
          <w:sz w:val="24"/>
          <w:szCs w:val="24"/>
          <w:lang w:val="en-US"/>
        </w:rPr>
        <w:t>Bavato F., MD;</w:t>
      </w:r>
      <w:r w:rsidRPr="00AE64E1">
        <w:rPr>
          <w:i/>
          <w:iCs/>
          <w:sz w:val="24"/>
          <w:szCs w:val="24"/>
          <w:vertAlign w:val="superscript"/>
          <w:lang w:val="en-US"/>
        </w:rPr>
        <w:t xml:space="preserve"> 1</w:t>
      </w:r>
      <w:r w:rsidRPr="00AE64E1">
        <w:rPr>
          <w:i/>
          <w:sz w:val="24"/>
          <w:szCs w:val="24"/>
          <w:lang w:val="en-US"/>
        </w:rPr>
        <w:t>* Stamatakos S., PhD;</w:t>
      </w:r>
      <w:r w:rsidRPr="00AE64E1">
        <w:rPr>
          <w:i/>
          <w:iCs/>
          <w:sz w:val="24"/>
          <w:szCs w:val="24"/>
          <w:vertAlign w:val="superscript"/>
          <w:lang w:val="en-US"/>
        </w:rPr>
        <w:t xml:space="preserve"> 1,2</w:t>
      </w:r>
      <w:r w:rsidRPr="00AE64E1">
        <w:rPr>
          <w:i/>
          <w:sz w:val="24"/>
          <w:szCs w:val="24"/>
          <w:lang w:val="en-US"/>
        </w:rPr>
        <w:t xml:space="preserve">* </w:t>
      </w:r>
      <w:r w:rsidRPr="00AE64E1">
        <w:rPr>
          <w:sz w:val="24"/>
          <w:szCs w:val="24"/>
          <w:lang w:val="en-US"/>
        </w:rPr>
        <w:t xml:space="preserve">, </w:t>
      </w:r>
      <w:r w:rsidRPr="00AE64E1">
        <w:rPr>
          <w:i/>
          <w:sz w:val="24"/>
          <w:szCs w:val="24"/>
          <w:lang w:val="en-US"/>
        </w:rPr>
        <w:t>Yde Ohki CM, MSc</w:t>
      </w:r>
      <w:r w:rsidRPr="00AE64E1">
        <w:rPr>
          <w:i/>
          <w:sz w:val="24"/>
          <w:szCs w:val="24"/>
          <w:vertAlign w:val="superscript"/>
          <w:lang w:val="en-US"/>
        </w:rPr>
        <w:t>3</w:t>
      </w:r>
      <w:r w:rsidRPr="00AE64E1">
        <w:rPr>
          <w:i/>
          <w:sz w:val="24"/>
          <w:szCs w:val="24"/>
          <w:lang w:val="en-US"/>
        </w:rPr>
        <w:t>,</w:t>
      </w:r>
      <w:r w:rsidRPr="00AE64E1">
        <w:rPr>
          <w:sz w:val="24"/>
          <w:szCs w:val="24"/>
          <w:lang w:val="en-US"/>
        </w:rPr>
        <w:t xml:space="preserve"> </w:t>
      </w:r>
      <w:r w:rsidRPr="00AE64E1">
        <w:rPr>
          <w:i/>
          <w:iCs/>
          <w:sz w:val="24"/>
          <w:szCs w:val="24"/>
          <w:vertAlign w:val="superscript"/>
          <w:lang w:val="en-US"/>
        </w:rPr>
        <w:t xml:space="preserve"> </w:t>
      </w:r>
      <w:r w:rsidRPr="00AE64E1">
        <w:rPr>
          <w:i/>
          <w:sz w:val="24"/>
          <w:szCs w:val="24"/>
          <w:lang w:val="en-US"/>
        </w:rPr>
        <w:t>Seifritz E., MD;</w:t>
      </w:r>
      <w:r w:rsidRPr="00AE64E1">
        <w:rPr>
          <w:i/>
          <w:sz w:val="24"/>
          <w:szCs w:val="24"/>
          <w:vertAlign w:val="superscript"/>
          <w:lang w:val="en-US"/>
        </w:rPr>
        <w:t>1</w:t>
      </w:r>
      <w:r w:rsidRPr="00AE64E1">
        <w:rPr>
          <w:i/>
          <w:sz w:val="24"/>
          <w:szCs w:val="24"/>
          <w:lang w:val="en-US"/>
        </w:rPr>
        <w:t xml:space="preserve"> Romualdi P., PhD;</w:t>
      </w:r>
      <w:r w:rsidRPr="00AE64E1">
        <w:rPr>
          <w:i/>
          <w:iCs/>
          <w:sz w:val="24"/>
          <w:szCs w:val="24"/>
          <w:vertAlign w:val="superscript"/>
          <w:lang w:val="en-US"/>
        </w:rPr>
        <w:t xml:space="preserve"> 2</w:t>
      </w:r>
      <w:r w:rsidRPr="00AE64E1">
        <w:rPr>
          <w:i/>
          <w:sz w:val="24"/>
          <w:szCs w:val="24"/>
          <w:lang w:val="en-US"/>
        </w:rPr>
        <w:t xml:space="preserve"> Grünblatt E., PhD;</w:t>
      </w:r>
      <w:r w:rsidRPr="00AE64E1">
        <w:rPr>
          <w:i/>
          <w:iCs/>
          <w:sz w:val="24"/>
          <w:szCs w:val="24"/>
          <w:vertAlign w:val="superscript"/>
          <w:lang w:val="en-US"/>
        </w:rPr>
        <w:t>3,4,5</w:t>
      </w:r>
      <w:r w:rsidRPr="00AE64E1">
        <w:rPr>
          <w:i/>
          <w:sz w:val="24"/>
          <w:szCs w:val="24"/>
          <w:lang w:val="en-US"/>
        </w:rPr>
        <w:t>** Quednow B.B., PhD.</w:t>
      </w:r>
      <w:r w:rsidRPr="00AE64E1">
        <w:rPr>
          <w:i/>
          <w:sz w:val="24"/>
          <w:szCs w:val="24"/>
          <w:vertAlign w:val="superscript"/>
          <w:lang w:val="en-US"/>
        </w:rPr>
        <w:t>1,5</w:t>
      </w:r>
      <w:r w:rsidRPr="00AE64E1">
        <w:rPr>
          <w:i/>
          <w:sz w:val="24"/>
          <w:szCs w:val="24"/>
          <w:lang w:val="en-US"/>
        </w:rPr>
        <w:t>**</w:t>
      </w:r>
    </w:p>
    <w:p w14:paraId="2F2639EB" w14:textId="77777777" w:rsidR="00C0737B" w:rsidRPr="00AE64E1" w:rsidRDefault="00C0737B" w:rsidP="00C0737B">
      <w:pPr>
        <w:rPr>
          <w:i/>
          <w:sz w:val="24"/>
          <w:szCs w:val="24"/>
          <w:lang w:val="en-US"/>
        </w:rPr>
      </w:pPr>
    </w:p>
    <w:p w14:paraId="6888B31A" w14:textId="77777777" w:rsidR="00C0737B" w:rsidRPr="00AE64E1" w:rsidRDefault="00C0737B" w:rsidP="00C0737B">
      <w:pPr>
        <w:spacing w:after="0" w:line="276" w:lineRule="auto"/>
        <w:rPr>
          <w:i/>
          <w:iCs/>
          <w:lang w:val="en-US"/>
        </w:rPr>
      </w:pPr>
      <w:r w:rsidRPr="00AE64E1">
        <w:rPr>
          <w:i/>
          <w:iCs/>
          <w:vertAlign w:val="superscript"/>
          <w:lang w:val="en-US"/>
        </w:rPr>
        <w:t>1</w:t>
      </w:r>
      <w:r w:rsidRPr="00AE64E1">
        <w:rPr>
          <w:i/>
          <w:iCs/>
          <w:lang w:val="en-US"/>
        </w:rPr>
        <w:t>Department of Psychiatry, Psychotherapy, and Psychosomatics, Psychiatric Hospital, University of Zurich, Switzerland.</w:t>
      </w:r>
    </w:p>
    <w:p w14:paraId="5F4BD844" w14:textId="77777777" w:rsidR="00C0737B" w:rsidRPr="00AE64E1" w:rsidRDefault="00C0737B" w:rsidP="00C0737B">
      <w:pPr>
        <w:spacing w:after="0" w:line="276" w:lineRule="auto"/>
        <w:rPr>
          <w:i/>
          <w:iCs/>
          <w:lang w:val="en-US"/>
        </w:rPr>
      </w:pPr>
      <w:r w:rsidRPr="00AE64E1">
        <w:rPr>
          <w:i/>
          <w:iCs/>
          <w:vertAlign w:val="superscript"/>
          <w:lang w:val="en-US"/>
        </w:rPr>
        <w:t>2</w:t>
      </w:r>
      <w:r w:rsidRPr="00AE64E1">
        <w:rPr>
          <w:i/>
          <w:iCs/>
          <w:lang w:val="en-US"/>
        </w:rPr>
        <w:t>Department of Pharmacy and Biotechnology, Alma Mater Studiorum University of Bologna, Italy.</w:t>
      </w:r>
    </w:p>
    <w:p w14:paraId="7BB49126" w14:textId="77777777" w:rsidR="00C0737B" w:rsidRPr="00AE64E1" w:rsidRDefault="00C0737B" w:rsidP="00C0737B">
      <w:pPr>
        <w:spacing w:after="0" w:line="276" w:lineRule="auto"/>
        <w:rPr>
          <w:i/>
          <w:iCs/>
          <w:lang w:val="en-US"/>
        </w:rPr>
      </w:pPr>
      <w:r w:rsidRPr="00AE64E1">
        <w:rPr>
          <w:i/>
          <w:iCs/>
          <w:vertAlign w:val="superscript"/>
          <w:lang w:val="en-US"/>
        </w:rPr>
        <w:t>3</w:t>
      </w:r>
      <w:r w:rsidRPr="00AE64E1">
        <w:rPr>
          <w:i/>
          <w:iCs/>
          <w:lang w:val="en-US"/>
        </w:rPr>
        <w:t>Department of Child and Adolescent Psychiatry and Psychotherapy, Psychiatric University Hospital Zurich, University of Zurich, Switzerland.</w:t>
      </w:r>
    </w:p>
    <w:p w14:paraId="593166F3" w14:textId="77777777" w:rsidR="00C0737B" w:rsidRPr="00AE64E1" w:rsidRDefault="00C0737B" w:rsidP="00C0737B">
      <w:pPr>
        <w:spacing w:after="0" w:line="276" w:lineRule="auto"/>
        <w:rPr>
          <w:i/>
          <w:iCs/>
          <w:lang w:val="en-US"/>
        </w:rPr>
      </w:pPr>
      <w:r w:rsidRPr="00AE64E1">
        <w:rPr>
          <w:i/>
          <w:iCs/>
          <w:vertAlign w:val="superscript"/>
          <w:lang w:val="en-US"/>
        </w:rPr>
        <w:t>4</w:t>
      </w:r>
      <w:r w:rsidRPr="00AE64E1">
        <w:rPr>
          <w:i/>
          <w:iCs/>
          <w:lang w:val="en-US"/>
        </w:rPr>
        <w:t>Zurich Center for Integrative Human Physiology, University of Zurich, Switzerland.</w:t>
      </w:r>
    </w:p>
    <w:p w14:paraId="574753C4" w14:textId="77777777" w:rsidR="00C0737B" w:rsidRDefault="00C0737B" w:rsidP="00C0737B">
      <w:pPr>
        <w:spacing w:after="0" w:line="276" w:lineRule="auto"/>
        <w:rPr>
          <w:i/>
          <w:iCs/>
          <w:lang w:val="en-US"/>
        </w:rPr>
      </w:pPr>
      <w:r w:rsidRPr="00AE64E1">
        <w:rPr>
          <w:i/>
          <w:iCs/>
          <w:vertAlign w:val="superscript"/>
          <w:lang w:val="en-US"/>
        </w:rPr>
        <w:t>5</w:t>
      </w:r>
      <w:r w:rsidRPr="00AE64E1">
        <w:rPr>
          <w:i/>
          <w:iCs/>
          <w:lang w:val="en-US"/>
        </w:rPr>
        <w:t>Neuroscience Center Zurich, University of Zurich and Swiss Federal Institute of Technology Zurich, Switzerland.</w:t>
      </w:r>
    </w:p>
    <w:p w14:paraId="22022AA6" w14:textId="77777777" w:rsidR="00C0737B" w:rsidRDefault="00C0737B" w:rsidP="00C0737B">
      <w:pPr>
        <w:spacing w:after="0" w:line="276" w:lineRule="auto"/>
        <w:rPr>
          <w:i/>
          <w:iCs/>
          <w:lang w:val="en-US"/>
        </w:rPr>
      </w:pPr>
    </w:p>
    <w:p w14:paraId="18F7926B" w14:textId="77777777" w:rsidR="00C0737B" w:rsidRPr="00C0737B" w:rsidRDefault="00C0737B">
      <w:pPr>
        <w:rPr>
          <w:b/>
          <w:bCs/>
          <w:i/>
          <w:color w:val="000000" w:themeColor="text1"/>
          <w:lang w:val="en-US"/>
        </w:rPr>
      </w:pPr>
      <w:r w:rsidRPr="00AE64E1">
        <w:rPr>
          <w:b/>
          <w:bCs/>
          <w:i/>
          <w:color w:val="000000" w:themeColor="text1"/>
          <w:lang w:val="en-US"/>
        </w:rPr>
        <w:br w:type="page"/>
      </w:r>
    </w:p>
    <w:p w14:paraId="4D98912A" w14:textId="4DDF1307" w:rsidR="003A158D" w:rsidRPr="00AE64E1" w:rsidRDefault="00C0737B" w:rsidP="00AE64E1">
      <w:pPr>
        <w:rPr>
          <w:b/>
          <w:bCs/>
          <w:i/>
          <w:color w:val="000000" w:themeColor="text1"/>
        </w:rPr>
      </w:pPr>
      <w:r>
        <w:rPr>
          <w:b/>
          <w:bCs/>
          <w:i/>
          <w:color w:val="000000" w:themeColor="text1"/>
        </w:rPr>
        <w:t>Supplementary Material</w:t>
      </w:r>
      <w:r w:rsidR="008A27BA">
        <w:rPr>
          <w:b/>
          <w:bCs/>
          <w:i/>
          <w:color w:val="000000" w:themeColor="text1"/>
        </w:rPr>
        <w:t xml:space="preserve"> 1</w:t>
      </w:r>
      <w:r>
        <w:rPr>
          <w:b/>
          <w:bCs/>
          <w:i/>
          <w:color w:val="000000" w:themeColor="text1"/>
        </w:rPr>
        <w:t xml:space="preserve">: </w:t>
      </w:r>
      <w:r w:rsidR="003A158D" w:rsidRPr="00AE64E1">
        <w:rPr>
          <w:b/>
          <w:bCs/>
          <w:i/>
          <w:color w:val="000000" w:themeColor="text1"/>
        </w:rPr>
        <w:t>Reagents</w:t>
      </w:r>
    </w:p>
    <w:tbl>
      <w:tblPr>
        <w:tblStyle w:val="TableGrid"/>
        <w:tblW w:w="9918" w:type="dxa"/>
        <w:tblLayout w:type="fixed"/>
        <w:tblLook w:val="04A0" w:firstRow="1" w:lastRow="0" w:firstColumn="1" w:lastColumn="0" w:noHBand="0" w:noVBand="1"/>
      </w:tblPr>
      <w:tblGrid>
        <w:gridCol w:w="2189"/>
        <w:gridCol w:w="1372"/>
        <w:gridCol w:w="1646"/>
        <w:gridCol w:w="1783"/>
        <w:gridCol w:w="2928"/>
      </w:tblGrid>
      <w:tr w:rsidR="00ED7FBE" w:rsidRPr="00C0737B" w14:paraId="66F56916" w14:textId="77777777" w:rsidTr="00ED7FBE">
        <w:trPr>
          <w:trHeight w:val="496"/>
        </w:trPr>
        <w:tc>
          <w:tcPr>
            <w:tcW w:w="2189" w:type="dxa"/>
            <w:shd w:val="clear" w:color="auto" w:fill="E7E6E6" w:themeFill="background2"/>
          </w:tcPr>
          <w:p w14:paraId="7105CCC6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rPr>
                <w:rFonts w:cstheme="minorHAnsi"/>
                <w:b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b/>
                <w:color w:val="000000" w:themeColor="text1"/>
                <w:sz w:val="20"/>
                <w:szCs w:val="20"/>
              </w:rPr>
              <w:t xml:space="preserve">Reagent </w:t>
            </w:r>
          </w:p>
        </w:tc>
        <w:tc>
          <w:tcPr>
            <w:tcW w:w="1372" w:type="dxa"/>
            <w:shd w:val="clear" w:color="auto" w:fill="E7E6E6" w:themeFill="background2"/>
          </w:tcPr>
          <w:p w14:paraId="068DC3F1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rPr>
                <w:rFonts w:cstheme="minorHAnsi"/>
                <w:b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b/>
                <w:color w:val="000000" w:themeColor="text1"/>
                <w:sz w:val="20"/>
                <w:szCs w:val="20"/>
              </w:rPr>
              <w:t>Catalog number</w:t>
            </w:r>
          </w:p>
        </w:tc>
        <w:tc>
          <w:tcPr>
            <w:tcW w:w="1646" w:type="dxa"/>
            <w:shd w:val="clear" w:color="auto" w:fill="E7E6E6" w:themeFill="background2"/>
          </w:tcPr>
          <w:p w14:paraId="07A29958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rPr>
                <w:rFonts w:cstheme="minorHAnsi"/>
                <w:b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b/>
                <w:color w:val="000000" w:themeColor="text1"/>
                <w:sz w:val="20"/>
                <w:szCs w:val="20"/>
              </w:rPr>
              <w:t>Company</w:t>
            </w:r>
          </w:p>
        </w:tc>
        <w:tc>
          <w:tcPr>
            <w:tcW w:w="1783" w:type="dxa"/>
            <w:shd w:val="clear" w:color="auto" w:fill="E7E6E6" w:themeFill="background2"/>
          </w:tcPr>
          <w:p w14:paraId="03E17F91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rPr>
                <w:rFonts w:cstheme="minorHAnsi"/>
                <w:b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b/>
                <w:color w:val="000000" w:themeColor="text1"/>
                <w:sz w:val="20"/>
                <w:szCs w:val="20"/>
              </w:rPr>
              <w:t>Final concentration</w:t>
            </w:r>
          </w:p>
          <w:p w14:paraId="7CE792CC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rPr>
                <w:rFonts w:cstheme="minorHAnsi"/>
                <w:b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b/>
                <w:color w:val="000000" w:themeColor="text1"/>
                <w:sz w:val="20"/>
                <w:szCs w:val="20"/>
              </w:rPr>
              <w:t xml:space="preserve"> (if applicable) </w:t>
            </w:r>
          </w:p>
        </w:tc>
        <w:tc>
          <w:tcPr>
            <w:tcW w:w="2928" w:type="dxa"/>
            <w:shd w:val="clear" w:color="auto" w:fill="E7E6E6" w:themeFill="background2"/>
          </w:tcPr>
          <w:p w14:paraId="5AF793FE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rPr>
                <w:rFonts w:cstheme="minorHAnsi"/>
                <w:b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b/>
                <w:color w:val="000000" w:themeColor="text1"/>
                <w:sz w:val="20"/>
                <w:szCs w:val="20"/>
              </w:rPr>
              <w:t>Purpose</w:t>
            </w:r>
          </w:p>
        </w:tc>
      </w:tr>
      <w:tr w:rsidR="00DF6D1B" w:rsidRPr="00AE64E1" w14:paraId="0DD0C68D" w14:textId="77777777" w:rsidTr="00ED7FBE">
        <w:trPr>
          <w:trHeight w:val="278"/>
        </w:trPr>
        <w:tc>
          <w:tcPr>
            <w:tcW w:w="2189" w:type="dxa"/>
          </w:tcPr>
          <w:p w14:paraId="6FCD6DD2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DMEM/F-12 medium</w:t>
            </w:r>
          </w:p>
        </w:tc>
        <w:tc>
          <w:tcPr>
            <w:tcW w:w="1372" w:type="dxa"/>
          </w:tcPr>
          <w:p w14:paraId="36FB02A8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11320033</w:t>
            </w:r>
          </w:p>
        </w:tc>
        <w:tc>
          <w:tcPr>
            <w:tcW w:w="1646" w:type="dxa"/>
          </w:tcPr>
          <w:p w14:paraId="56A1BA20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Gibco™</w:t>
            </w:r>
          </w:p>
        </w:tc>
        <w:tc>
          <w:tcPr>
            <w:tcW w:w="1783" w:type="dxa"/>
          </w:tcPr>
          <w:p w14:paraId="156E4853" w14:textId="08FBB2B2" w:rsidR="003A158D" w:rsidRPr="00C0737B" w:rsidRDefault="0009517E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2928" w:type="dxa"/>
            <w:vMerge w:val="restart"/>
          </w:tcPr>
          <w:p w14:paraId="28FD05B5" w14:textId="1B004341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Culture of RN46A cells before differentiation</w:t>
            </w:r>
          </w:p>
        </w:tc>
      </w:tr>
      <w:tr w:rsidR="00DF6D1B" w:rsidRPr="00C0737B" w14:paraId="1469C8C0" w14:textId="77777777" w:rsidTr="00ED7FBE">
        <w:trPr>
          <w:trHeight w:val="278"/>
        </w:trPr>
        <w:tc>
          <w:tcPr>
            <w:tcW w:w="2189" w:type="dxa"/>
          </w:tcPr>
          <w:p w14:paraId="1D5DC1E0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 xml:space="preserve">Fetal Bovine Serum  </w:t>
            </w:r>
          </w:p>
        </w:tc>
        <w:tc>
          <w:tcPr>
            <w:tcW w:w="1372" w:type="dxa"/>
          </w:tcPr>
          <w:p w14:paraId="30E3801F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16000036</w:t>
            </w:r>
          </w:p>
        </w:tc>
        <w:tc>
          <w:tcPr>
            <w:tcW w:w="1646" w:type="dxa"/>
          </w:tcPr>
          <w:p w14:paraId="22B7059F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Gibco™</w:t>
            </w:r>
          </w:p>
        </w:tc>
        <w:tc>
          <w:tcPr>
            <w:tcW w:w="1783" w:type="dxa"/>
          </w:tcPr>
          <w:p w14:paraId="625F6EDD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10% in DMEM/F12</w:t>
            </w:r>
          </w:p>
        </w:tc>
        <w:tc>
          <w:tcPr>
            <w:tcW w:w="2928" w:type="dxa"/>
            <w:vMerge/>
          </w:tcPr>
          <w:p w14:paraId="022D06C8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</w:tr>
      <w:tr w:rsidR="00DF6D1B" w:rsidRPr="00C0737B" w14:paraId="6D6981E7" w14:textId="77777777" w:rsidTr="00ED7FBE">
        <w:trPr>
          <w:trHeight w:val="278"/>
        </w:trPr>
        <w:tc>
          <w:tcPr>
            <w:tcW w:w="2189" w:type="dxa"/>
          </w:tcPr>
          <w:p w14:paraId="39473A08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Trypsin-EDTA 0.25%</w:t>
            </w:r>
          </w:p>
        </w:tc>
        <w:tc>
          <w:tcPr>
            <w:tcW w:w="1372" w:type="dxa"/>
          </w:tcPr>
          <w:p w14:paraId="7C8A0BEF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25200056</w:t>
            </w:r>
          </w:p>
        </w:tc>
        <w:tc>
          <w:tcPr>
            <w:tcW w:w="1646" w:type="dxa"/>
          </w:tcPr>
          <w:p w14:paraId="56F8D785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Gibco™</w:t>
            </w:r>
          </w:p>
        </w:tc>
        <w:tc>
          <w:tcPr>
            <w:tcW w:w="1783" w:type="dxa"/>
          </w:tcPr>
          <w:p w14:paraId="2370E15C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2928" w:type="dxa"/>
            <w:vMerge/>
          </w:tcPr>
          <w:p w14:paraId="3C824A4F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</w:tr>
      <w:tr w:rsidR="00DF6D1B" w:rsidRPr="00AE64E1" w14:paraId="7FE5D56E" w14:textId="77777777" w:rsidTr="00ED7FBE">
        <w:trPr>
          <w:trHeight w:val="569"/>
        </w:trPr>
        <w:tc>
          <w:tcPr>
            <w:tcW w:w="2189" w:type="dxa"/>
          </w:tcPr>
          <w:p w14:paraId="03A96685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LookOut Mycoplasma PCR Detection kit</w:t>
            </w:r>
          </w:p>
        </w:tc>
        <w:tc>
          <w:tcPr>
            <w:tcW w:w="1372" w:type="dxa"/>
          </w:tcPr>
          <w:p w14:paraId="14CEA980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MP0035</w:t>
            </w:r>
          </w:p>
        </w:tc>
        <w:tc>
          <w:tcPr>
            <w:tcW w:w="1646" w:type="dxa"/>
          </w:tcPr>
          <w:p w14:paraId="57495B48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Sigma Aldrich</w:t>
            </w:r>
          </w:p>
        </w:tc>
        <w:tc>
          <w:tcPr>
            <w:tcW w:w="1783" w:type="dxa"/>
          </w:tcPr>
          <w:p w14:paraId="343FB372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2928" w:type="dxa"/>
          </w:tcPr>
          <w:p w14:paraId="0AD3F189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Verification of Mycoplasma-free RN46A culture</w:t>
            </w:r>
          </w:p>
        </w:tc>
      </w:tr>
      <w:tr w:rsidR="00DF6D1B" w:rsidRPr="00AE64E1" w14:paraId="44379052" w14:textId="77777777" w:rsidTr="00ED7FBE">
        <w:trPr>
          <w:trHeight w:val="278"/>
        </w:trPr>
        <w:tc>
          <w:tcPr>
            <w:tcW w:w="2189" w:type="dxa"/>
          </w:tcPr>
          <w:p w14:paraId="2F39D3CC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Neurobasal Medium</w:t>
            </w:r>
          </w:p>
        </w:tc>
        <w:tc>
          <w:tcPr>
            <w:tcW w:w="1372" w:type="dxa"/>
          </w:tcPr>
          <w:p w14:paraId="587F163E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21103049</w:t>
            </w:r>
          </w:p>
        </w:tc>
        <w:tc>
          <w:tcPr>
            <w:tcW w:w="1646" w:type="dxa"/>
          </w:tcPr>
          <w:p w14:paraId="1E854043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Gibco™</w:t>
            </w:r>
          </w:p>
        </w:tc>
        <w:tc>
          <w:tcPr>
            <w:tcW w:w="1783" w:type="dxa"/>
          </w:tcPr>
          <w:p w14:paraId="78FF07DA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2928" w:type="dxa"/>
            <w:vMerge w:val="restart"/>
          </w:tcPr>
          <w:p w14:paraId="6ADD3B44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Differentiation and culture of differentiated RN46A cells</w:t>
            </w:r>
          </w:p>
        </w:tc>
      </w:tr>
      <w:tr w:rsidR="00DF6D1B" w:rsidRPr="00C0737B" w14:paraId="424048AE" w14:textId="77777777" w:rsidTr="00ED7FBE">
        <w:trPr>
          <w:trHeight w:val="569"/>
        </w:trPr>
        <w:tc>
          <w:tcPr>
            <w:tcW w:w="2189" w:type="dxa"/>
          </w:tcPr>
          <w:p w14:paraId="22A873EE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B27 Supplement</w:t>
            </w:r>
          </w:p>
        </w:tc>
        <w:tc>
          <w:tcPr>
            <w:tcW w:w="1372" w:type="dxa"/>
          </w:tcPr>
          <w:p w14:paraId="337438A5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17504044</w:t>
            </w:r>
          </w:p>
        </w:tc>
        <w:tc>
          <w:tcPr>
            <w:tcW w:w="1646" w:type="dxa"/>
          </w:tcPr>
          <w:p w14:paraId="0CADDADA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Gibco™</w:t>
            </w:r>
          </w:p>
        </w:tc>
        <w:tc>
          <w:tcPr>
            <w:tcW w:w="1783" w:type="dxa"/>
          </w:tcPr>
          <w:p w14:paraId="04B1868F" w14:textId="0B99CC00" w:rsidR="003A158D" w:rsidRPr="00C0737B" w:rsidRDefault="00C9594F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ind w:left="28" w:hanging="28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2%</w:t>
            </w:r>
            <w:r w:rsidR="003A158D" w:rsidRPr="00C0737B">
              <w:rPr>
                <w:rFonts w:cstheme="minorHAnsi"/>
                <w:color w:val="000000" w:themeColor="text1"/>
                <w:sz w:val="20"/>
                <w:szCs w:val="20"/>
              </w:rPr>
              <w:t xml:space="preserve"> in Neurobasal Medium</w:t>
            </w:r>
          </w:p>
        </w:tc>
        <w:tc>
          <w:tcPr>
            <w:tcW w:w="2928" w:type="dxa"/>
            <w:vMerge/>
          </w:tcPr>
          <w:p w14:paraId="2983D99E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</w:tr>
      <w:tr w:rsidR="00DF6D1B" w:rsidRPr="00AE64E1" w14:paraId="73C5FE92" w14:textId="77777777" w:rsidTr="00ED7FBE">
        <w:trPr>
          <w:trHeight w:val="557"/>
        </w:trPr>
        <w:tc>
          <w:tcPr>
            <w:tcW w:w="2189" w:type="dxa"/>
          </w:tcPr>
          <w:p w14:paraId="37312396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PBS with calcium and magnesium</w:t>
            </w:r>
          </w:p>
        </w:tc>
        <w:tc>
          <w:tcPr>
            <w:tcW w:w="1372" w:type="dxa"/>
          </w:tcPr>
          <w:p w14:paraId="732F0C4D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10010015</w:t>
            </w:r>
          </w:p>
        </w:tc>
        <w:tc>
          <w:tcPr>
            <w:tcW w:w="1646" w:type="dxa"/>
          </w:tcPr>
          <w:p w14:paraId="6EF7EBDE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Gibco™</w:t>
            </w:r>
          </w:p>
        </w:tc>
        <w:tc>
          <w:tcPr>
            <w:tcW w:w="1783" w:type="dxa"/>
          </w:tcPr>
          <w:p w14:paraId="38209444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2928" w:type="dxa"/>
            <w:vMerge w:val="restart"/>
          </w:tcPr>
          <w:p w14:paraId="68DFFBA6" w14:textId="2CF5DA7F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Coating for differentiated RN46A cells</w:t>
            </w:r>
          </w:p>
        </w:tc>
      </w:tr>
      <w:tr w:rsidR="00DF6D1B" w:rsidRPr="00C0737B" w14:paraId="64FC8908" w14:textId="77777777" w:rsidTr="00ED7FBE">
        <w:trPr>
          <w:trHeight w:val="290"/>
        </w:trPr>
        <w:tc>
          <w:tcPr>
            <w:tcW w:w="2189" w:type="dxa"/>
          </w:tcPr>
          <w:p w14:paraId="0DC41D21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Poly-D-Lysine</w:t>
            </w:r>
          </w:p>
        </w:tc>
        <w:tc>
          <w:tcPr>
            <w:tcW w:w="1372" w:type="dxa"/>
          </w:tcPr>
          <w:p w14:paraId="379E38A8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P0899</w:t>
            </w:r>
          </w:p>
        </w:tc>
        <w:tc>
          <w:tcPr>
            <w:tcW w:w="1646" w:type="dxa"/>
          </w:tcPr>
          <w:p w14:paraId="4BF04B50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Sigma Aldrich</w:t>
            </w:r>
          </w:p>
        </w:tc>
        <w:tc>
          <w:tcPr>
            <w:tcW w:w="1783" w:type="dxa"/>
          </w:tcPr>
          <w:p w14:paraId="5C862470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color w:val="000000"/>
                <w:sz w:val="20"/>
                <w:szCs w:val="20"/>
              </w:rPr>
              <w:t>0.05 mg/mL</w:t>
            </w:r>
          </w:p>
        </w:tc>
        <w:tc>
          <w:tcPr>
            <w:tcW w:w="2928" w:type="dxa"/>
            <w:vMerge/>
          </w:tcPr>
          <w:p w14:paraId="2130B781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</w:tr>
      <w:tr w:rsidR="00DF6D1B" w:rsidRPr="00C0737B" w14:paraId="4D8E977B" w14:textId="77777777" w:rsidTr="00ED7FBE">
        <w:trPr>
          <w:trHeight w:val="278"/>
        </w:trPr>
        <w:tc>
          <w:tcPr>
            <w:tcW w:w="2189" w:type="dxa"/>
          </w:tcPr>
          <w:p w14:paraId="4721E873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Mouse laminin</w:t>
            </w:r>
          </w:p>
        </w:tc>
        <w:tc>
          <w:tcPr>
            <w:tcW w:w="1372" w:type="dxa"/>
          </w:tcPr>
          <w:p w14:paraId="7ADF56DF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23017015</w:t>
            </w:r>
          </w:p>
        </w:tc>
        <w:tc>
          <w:tcPr>
            <w:tcW w:w="1646" w:type="dxa"/>
          </w:tcPr>
          <w:p w14:paraId="651493B5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Gibco™</w:t>
            </w:r>
          </w:p>
        </w:tc>
        <w:tc>
          <w:tcPr>
            <w:tcW w:w="1783" w:type="dxa"/>
          </w:tcPr>
          <w:p w14:paraId="617379C4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color w:val="000000"/>
                <w:sz w:val="20"/>
                <w:szCs w:val="20"/>
              </w:rPr>
              <w:t>0.01 mg/mL</w:t>
            </w:r>
          </w:p>
        </w:tc>
        <w:tc>
          <w:tcPr>
            <w:tcW w:w="2928" w:type="dxa"/>
            <w:vMerge/>
          </w:tcPr>
          <w:p w14:paraId="26134D70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</w:tr>
      <w:tr w:rsidR="00DF6D1B" w:rsidRPr="00AE64E1" w14:paraId="79731A2E" w14:textId="77777777" w:rsidTr="00ED7FBE">
        <w:trPr>
          <w:trHeight w:val="557"/>
        </w:trPr>
        <w:tc>
          <w:tcPr>
            <w:tcW w:w="2189" w:type="dxa"/>
          </w:tcPr>
          <w:p w14:paraId="725622B2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PBS, pH 7.4 without Calcium and magnesium</w:t>
            </w:r>
          </w:p>
        </w:tc>
        <w:tc>
          <w:tcPr>
            <w:tcW w:w="1372" w:type="dxa"/>
          </w:tcPr>
          <w:p w14:paraId="6D7DFEC6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10010015</w:t>
            </w:r>
          </w:p>
        </w:tc>
        <w:tc>
          <w:tcPr>
            <w:tcW w:w="1646" w:type="dxa"/>
          </w:tcPr>
          <w:p w14:paraId="15A3D25E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Gibco™</w:t>
            </w:r>
          </w:p>
        </w:tc>
        <w:tc>
          <w:tcPr>
            <w:tcW w:w="1783" w:type="dxa"/>
          </w:tcPr>
          <w:p w14:paraId="48CA0AEF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2928" w:type="dxa"/>
          </w:tcPr>
          <w:p w14:paraId="0A1241CD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General cell culture and immunocytochemistry</w:t>
            </w:r>
          </w:p>
        </w:tc>
      </w:tr>
      <w:tr w:rsidR="00DF6D1B" w:rsidRPr="00AE64E1" w14:paraId="5E37FB80" w14:textId="77777777" w:rsidTr="00ED7FBE">
        <w:trPr>
          <w:trHeight w:val="290"/>
        </w:trPr>
        <w:tc>
          <w:tcPr>
            <w:tcW w:w="2189" w:type="dxa"/>
          </w:tcPr>
          <w:p w14:paraId="4FC04634" w14:textId="45C18D28" w:rsidR="003A158D" w:rsidRPr="00C0737B" w:rsidRDefault="00DD6EF9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d</w:t>
            </w:r>
            <w:r w:rsidR="003A158D" w:rsidRPr="00C0737B">
              <w:rPr>
                <w:rFonts w:cstheme="minorHAnsi"/>
                <w:color w:val="000000" w:themeColor="text1"/>
                <w:sz w:val="20"/>
                <w:szCs w:val="20"/>
              </w:rPr>
              <w:t>,l-MDMA.HCl</w:t>
            </w:r>
          </w:p>
        </w:tc>
        <w:tc>
          <w:tcPr>
            <w:tcW w:w="1372" w:type="dxa"/>
          </w:tcPr>
          <w:p w14:paraId="1E521D86" w14:textId="17DC5FE2" w:rsidR="003A158D" w:rsidRPr="00C0737B" w:rsidRDefault="009F5CE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MDM-</w:t>
            </w:r>
            <w:r w:rsidR="0009517E" w:rsidRPr="00C0737B">
              <w:rPr>
                <w:rFonts w:cstheme="minorHAnsi"/>
                <w:color w:val="000000" w:themeColor="text1"/>
                <w:sz w:val="20"/>
                <w:szCs w:val="20"/>
              </w:rPr>
              <w:t>94-HC</w:t>
            </w:r>
          </w:p>
        </w:tc>
        <w:tc>
          <w:tcPr>
            <w:tcW w:w="1646" w:type="dxa"/>
          </w:tcPr>
          <w:p w14:paraId="4F434EFB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Lipomed</w:t>
            </w:r>
          </w:p>
        </w:tc>
        <w:tc>
          <w:tcPr>
            <w:tcW w:w="1783" w:type="dxa"/>
          </w:tcPr>
          <w:p w14:paraId="6439E0F4" w14:textId="3B031D8C" w:rsidR="003A158D" w:rsidRPr="00C0737B" w:rsidRDefault="0009517E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2928" w:type="dxa"/>
          </w:tcPr>
          <w:p w14:paraId="1B77CE74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Treatment of differentiated RN46A cells</w:t>
            </w:r>
          </w:p>
        </w:tc>
      </w:tr>
      <w:tr w:rsidR="00DF6D1B" w:rsidRPr="00AE64E1" w14:paraId="0CFE8B6C" w14:textId="77777777" w:rsidTr="00ED7FBE">
        <w:trPr>
          <w:trHeight w:val="278"/>
        </w:trPr>
        <w:tc>
          <w:tcPr>
            <w:tcW w:w="2189" w:type="dxa"/>
          </w:tcPr>
          <w:p w14:paraId="24B842A8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 xml:space="preserve">BDNF </w:t>
            </w:r>
          </w:p>
        </w:tc>
        <w:tc>
          <w:tcPr>
            <w:tcW w:w="1372" w:type="dxa"/>
          </w:tcPr>
          <w:p w14:paraId="4BE1E2C0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B3795</w:t>
            </w:r>
          </w:p>
        </w:tc>
        <w:tc>
          <w:tcPr>
            <w:tcW w:w="1646" w:type="dxa"/>
          </w:tcPr>
          <w:p w14:paraId="33C4B0AC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ThermoFisher</w:t>
            </w:r>
          </w:p>
        </w:tc>
        <w:tc>
          <w:tcPr>
            <w:tcW w:w="1783" w:type="dxa"/>
          </w:tcPr>
          <w:p w14:paraId="1BBA96EB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100 ng/mL</w:t>
            </w:r>
          </w:p>
        </w:tc>
        <w:tc>
          <w:tcPr>
            <w:tcW w:w="2928" w:type="dxa"/>
          </w:tcPr>
          <w:p w14:paraId="603C8671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Treatment of differentiated RN46A cells</w:t>
            </w:r>
          </w:p>
        </w:tc>
      </w:tr>
      <w:tr w:rsidR="00DF6D1B" w:rsidRPr="00AE64E1" w14:paraId="61EF8ED5" w14:textId="77777777" w:rsidTr="00ED7FBE">
        <w:trPr>
          <w:trHeight w:val="557"/>
        </w:trPr>
        <w:tc>
          <w:tcPr>
            <w:tcW w:w="2189" w:type="dxa"/>
          </w:tcPr>
          <w:p w14:paraId="1C377711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Cell Proliferation Kit I (MTT)</w:t>
            </w:r>
          </w:p>
        </w:tc>
        <w:tc>
          <w:tcPr>
            <w:tcW w:w="1372" w:type="dxa"/>
          </w:tcPr>
          <w:p w14:paraId="16DF8FEF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11465007001</w:t>
            </w:r>
          </w:p>
        </w:tc>
        <w:tc>
          <w:tcPr>
            <w:tcW w:w="1646" w:type="dxa"/>
          </w:tcPr>
          <w:p w14:paraId="19A1859D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Roche</w:t>
            </w:r>
          </w:p>
        </w:tc>
        <w:tc>
          <w:tcPr>
            <w:tcW w:w="1783" w:type="dxa"/>
          </w:tcPr>
          <w:p w14:paraId="648F9DF1" w14:textId="7D07B065" w:rsidR="003A158D" w:rsidRPr="00C0737B" w:rsidRDefault="00BA2D14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MTT final conc: 0.5mg/ml</w:t>
            </w:r>
          </w:p>
        </w:tc>
        <w:tc>
          <w:tcPr>
            <w:tcW w:w="2928" w:type="dxa"/>
          </w:tcPr>
          <w:p w14:paraId="74AB1272" w14:textId="527EE7C8" w:rsidR="003A158D" w:rsidRPr="00C0737B" w:rsidRDefault="00A84C7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 xml:space="preserve">Colorimetric assay </w:t>
            </w:r>
            <w:r w:rsidR="00BA2D14" w:rsidRPr="00C0737B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for the quantification of cell viability</w:t>
            </w:r>
          </w:p>
        </w:tc>
      </w:tr>
      <w:tr w:rsidR="00DF6D1B" w:rsidRPr="00AE64E1" w14:paraId="593E1EFB" w14:textId="77777777" w:rsidTr="00ED7FBE">
        <w:trPr>
          <w:trHeight w:val="860"/>
        </w:trPr>
        <w:tc>
          <w:tcPr>
            <w:tcW w:w="2189" w:type="dxa"/>
          </w:tcPr>
          <w:p w14:paraId="3E475F1D" w14:textId="0FCD1D74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  <w:lang w:val="it-IT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  <w:lang w:val="it-IT"/>
              </w:rPr>
              <w:t>Anti-MAP</w:t>
            </w:r>
            <w:r w:rsidR="00EC13AA">
              <w:rPr>
                <w:rFonts w:cstheme="minorHAnsi"/>
                <w:color w:val="000000" w:themeColor="text1"/>
                <w:sz w:val="20"/>
                <w:szCs w:val="20"/>
                <w:lang w:val="it-IT"/>
              </w:rPr>
              <w:t>-</w:t>
            </w:r>
            <w:r w:rsidRPr="00C0737B">
              <w:rPr>
                <w:rFonts w:cstheme="minorHAnsi"/>
                <w:color w:val="000000" w:themeColor="text1"/>
                <w:sz w:val="20"/>
                <w:szCs w:val="20"/>
                <w:lang w:val="it-IT"/>
              </w:rPr>
              <w:t xml:space="preserve">2 </w:t>
            </w:r>
            <w:r w:rsidR="0009517E" w:rsidRPr="00C0737B">
              <w:rPr>
                <w:rFonts w:cstheme="minorHAnsi"/>
                <w:color w:val="000000" w:themeColor="text1"/>
                <w:sz w:val="20"/>
                <w:szCs w:val="20"/>
                <w:lang w:val="it-IT"/>
              </w:rPr>
              <w:t xml:space="preserve">guinea pig </w:t>
            </w:r>
            <w:r w:rsidRPr="00C0737B">
              <w:rPr>
                <w:rFonts w:cstheme="minorHAnsi"/>
                <w:color w:val="000000" w:themeColor="text1"/>
                <w:sz w:val="20"/>
                <w:szCs w:val="20"/>
                <w:lang w:val="it-IT"/>
              </w:rPr>
              <w:t>antibody</w:t>
            </w:r>
          </w:p>
        </w:tc>
        <w:tc>
          <w:tcPr>
            <w:tcW w:w="1372" w:type="dxa"/>
          </w:tcPr>
          <w:p w14:paraId="5318BE4A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188 004</w:t>
            </w:r>
          </w:p>
        </w:tc>
        <w:tc>
          <w:tcPr>
            <w:tcW w:w="1646" w:type="dxa"/>
          </w:tcPr>
          <w:p w14:paraId="77490627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Synaptic Systems</w:t>
            </w:r>
          </w:p>
        </w:tc>
        <w:tc>
          <w:tcPr>
            <w:tcW w:w="1783" w:type="dxa"/>
          </w:tcPr>
          <w:p w14:paraId="477E0E3D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 xml:space="preserve">1:1000 </w:t>
            </w:r>
          </w:p>
        </w:tc>
        <w:tc>
          <w:tcPr>
            <w:tcW w:w="2928" w:type="dxa"/>
          </w:tcPr>
          <w:p w14:paraId="49F50E9B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 xml:space="preserve">Primary antibody for immunocytochemistry (Marker of mature neurons) </w:t>
            </w:r>
          </w:p>
        </w:tc>
      </w:tr>
      <w:tr w:rsidR="00DF6D1B" w:rsidRPr="00AE64E1" w14:paraId="199B35FB" w14:textId="77777777" w:rsidTr="00ED7FBE">
        <w:trPr>
          <w:trHeight w:val="848"/>
        </w:trPr>
        <w:tc>
          <w:tcPr>
            <w:tcW w:w="2189" w:type="dxa"/>
          </w:tcPr>
          <w:p w14:paraId="53EBB6FB" w14:textId="01915742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 xml:space="preserve">Anti-NfL </w:t>
            </w:r>
            <w:r w:rsidR="0009517E" w:rsidRPr="00C0737B">
              <w:rPr>
                <w:rFonts w:cstheme="minorHAnsi"/>
                <w:color w:val="000000" w:themeColor="text1"/>
                <w:sz w:val="20"/>
                <w:szCs w:val="20"/>
              </w:rPr>
              <w:t xml:space="preserve">mouse </w:t>
            </w: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 xml:space="preserve">antibody </w:t>
            </w:r>
          </w:p>
        </w:tc>
        <w:tc>
          <w:tcPr>
            <w:tcW w:w="1372" w:type="dxa"/>
          </w:tcPr>
          <w:p w14:paraId="14D79686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2835</w:t>
            </w:r>
          </w:p>
        </w:tc>
        <w:tc>
          <w:tcPr>
            <w:tcW w:w="1646" w:type="dxa"/>
          </w:tcPr>
          <w:p w14:paraId="2DB65644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Cell Signaling</w:t>
            </w:r>
          </w:p>
        </w:tc>
        <w:tc>
          <w:tcPr>
            <w:tcW w:w="1783" w:type="dxa"/>
          </w:tcPr>
          <w:p w14:paraId="47184266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1:50</w:t>
            </w:r>
          </w:p>
        </w:tc>
        <w:tc>
          <w:tcPr>
            <w:tcW w:w="2928" w:type="dxa"/>
          </w:tcPr>
          <w:p w14:paraId="08B818C7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Primary antibody for immunocytochemistry (Staining and quantification of NfL)</w:t>
            </w:r>
          </w:p>
        </w:tc>
      </w:tr>
      <w:tr w:rsidR="00DF6D1B" w:rsidRPr="00C0737B" w14:paraId="6463609F" w14:textId="77777777" w:rsidTr="00ED7FBE">
        <w:trPr>
          <w:trHeight w:val="278"/>
        </w:trPr>
        <w:tc>
          <w:tcPr>
            <w:tcW w:w="2189" w:type="dxa"/>
          </w:tcPr>
          <w:p w14:paraId="72728DAF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DAPI</w:t>
            </w:r>
          </w:p>
        </w:tc>
        <w:tc>
          <w:tcPr>
            <w:tcW w:w="1372" w:type="dxa"/>
          </w:tcPr>
          <w:p w14:paraId="2FB278EC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ab228549</w:t>
            </w:r>
          </w:p>
        </w:tc>
        <w:tc>
          <w:tcPr>
            <w:tcW w:w="1646" w:type="dxa"/>
          </w:tcPr>
          <w:p w14:paraId="6CD5C36F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Abcam</w:t>
            </w:r>
          </w:p>
        </w:tc>
        <w:tc>
          <w:tcPr>
            <w:tcW w:w="1783" w:type="dxa"/>
          </w:tcPr>
          <w:p w14:paraId="5FB76106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1:100</w:t>
            </w:r>
          </w:p>
        </w:tc>
        <w:tc>
          <w:tcPr>
            <w:tcW w:w="2928" w:type="dxa"/>
          </w:tcPr>
          <w:p w14:paraId="19120C02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Immunocytochemistry (Nuclei staining)</w:t>
            </w:r>
          </w:p>
        </w:tc>
      </w:tr>
      <w:tr w:rsidR="00DF6D1B" w:rsidRPr="00C0737B" w14:paraId="7A27A422" w14:textId="77777777" w:rsidTr="00ED7FBE">
        <w:trPr>
          <w:trHeight w:val="848"/>
        </w:trPr>
        <w:tc>
          <w:tcPr>
            <w:tcW w:w="2189" w:type="dxa"/>
          </w:tcPr>
          <w:p w14:paraId="537EA0EE" w14:textId="1B16EF8C" w:rsidR="003A158D" w:rsidRPr="00C0737B" w:rsidRDefault="003A158D" w:rsidP="00DD6EF9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 xml:space="preserve">Alexa Fluor® 647 AffiniPure Donkey Anti- </w:t>
            </w:r>
            <w:r w:rsidR="00DD6EF9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g</w:t>
            </w:r>
            <w:r w:rsidRPr="00C0737B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 xml:space="preserve">uinea </w:t>
            </w:r>
            <w:r w:rsidR="00DD6EF9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p</w:t>
            </w:r>
            <w:r w:rsidRPr="00C0737B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>ig IgG 800X</w:t>
            </w:r>
          </w:p>
        </w:tc>
        <w:tc>
          <w:tcPr>
            <w:tcW w:w="1372" w:type="dxa"/>
          </w:tcPr>
          <w:p w14:paraId="3BF0BD40" w14:textId="77777777" w:rsidR="003A158D" w:rsidRPr="00AE64E1" w:rsidRDefault="003A158D" w:rsidP="00ED7FBE">
            <w:pPr>
              <w:spacing w:line="276" w:lineRule="auto"/>
              <w:rPr>
                <w:rFonts w:cs="Calibri"/>
                <w:color w:val="000000"/>
                <w:sz w:val="20"/>
                <w:szCs w:val="20"/>
              </w:rPr>
            </w:pPr>
            <w:r w:rsidRPr="00AE64E1">
              <w:rPr>
                <w:rFonts w:cs="Calibri"/>
                <w:color w:val="000000"/>
                <w:sz w:val="20"/>
                <w:szCs w:val="20"/>
              </w:rPr>
              <w:t>715-545-151</w:t>
            </w:r>
          </w:p>
          <w:p w14:paraId="1D992495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646" w:type="dxa"/>
          </w:tcPr>
          <w:p w14:paraId="171D23ED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Jackson ImmunoResearch</w:t>
            </w:r>
          </w:p>
        </w:tc>
        <w:tc>
          <w:tcPr>
            <w:tcW w:w="1783" w:type="dxa"/>
          </w:tcPr>
          <w:p w14:paraId="53F7ECA0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1:1000</w:t>
            </w:r>
          </w:p>
        </w:tc>
        <w:tc>
          <w:tcPr>
            <w:tcW w:w="2928" w:type="dxa"/>
          </w:tcPr>
          <w:p w14:paraId="693D926F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Secondary antibody for immunocytochemistry</w:t>
            </w:r>
          </w:p>
        </w:tc>
      </w:tr>
      <w:tr w:rsidR="00C9594F" w:rsidRPr="00C0737B" w14:paraId="49D0F257" w14:textId="77777777" w:rsidTr="00ED7FBE">
        <w:trPr>
          <w:trHeight w:val="617"/>
        </w:trPr>
        <w:tc>
          <w:tcPr>
            <w:tcW w:w="2189" w:type="dxa"/>
          </w:tcPr>
          <w:p w14:paraId="2BDBE417" w14:textId="262564BC" w:rsidR="00C9594F" w:rsidRPr="00C0737B" w:rsidRDefault="0009517E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C0737B">
              <w:rPr>
                <w:rFonts w:cstheme="minorHAnsi"/>
                <w:color w:val="000000" w:themeColor="text1"/>
                <w:lang w:val="en-US"/>
              </w:rPr>
              <w:t>Alexa Fluor 555 goat anti-mouse IgG1</w:t>
            </w:r>
            <w:r w:rsidR="00C9594F" w:rsidRPr="00C0737B">
              <w:rPr>
                <w:rFonts w:cstheme="minorHAnsi"/>
                <w:color w:val="000000" w:themeColor="text1"/>
                <w:lang w:val="en-US"/>
              </w:rPr>
              <w:t xml:space="preserve"> </w:t>
            </w:r>
          </w:p>
        </w:tc>
        <w:tc>
          <w:tcPr>
            <w:tcW w:w="1372" w:type="dxa"/>
          </w:tcPr>
          <w:p w14:paraId="2DCA1DB9" w14:textId="12D8A80F" w:rsidR="00C9594F" w:rsidRPr="00AE64E1" w:rsidRDefault="00C9594F" w:rsidP="00ED7FBE">
            <w:pPr>
              <w:spacing w:line="276" w:lineRule="auto"/>
              <w:rPr>
                <w:rFonts w:cs="Calibri"/>
                <w:color w:val="000000"/>
                <w:sz w:val="20"/>
                <w:szCs w:val="20"/>
              </w:rPr>
            </w:pPr>
            <w:r w:rsidRPr="00AE64E1">
              <w:rPr>
                <w:rFonts w:cs="Calibri"/>
                <w:color w:val="000000"/>
                <w:sz w:val="20"/>
                <w:szCs w:val="20"/>
              </w:rPr>
              <w:t>A-21</w:t>
            </w:r>
            <w:r w:rsidR="0009517E" w:rsidRPr="00AE64E1">
              <w:rPr>
                <w:rFonts w:cs="Calibri"/>
                <w:color w:val="000000"/>
                <w:sz w:val="20"/>
                <w:szCs w:val="20"/>
              </w:rPr>
              <w:t>127</w:t>
            </w:r>
          </w:p>
        </w:tc>
        <w:tc>
          <w:tcPr>
            <w:tcW w:w="1646" w:type="dxa"/>
          </w:tcPr>
          <w:p w14:paraId="3DE3141B" w14:textId="6FEDDB61" w:rsidR="00C9594F" w:rsidRPr="00C0737B" w:rsidRDefault="00C9594F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ThermoFisher</w:t>
            </w:r>
          </w:p>
        </w:tc>
        <w:tc>
          <w:tcPr>
            <w:tcW w:w="1783" w:type="dxa"/>
          </w:tcPr>
          <w:p w14:paraId="4B8717BD" w14:textId="13060809" w:rsidR="00C9594F" w:rsidRPr="00C0737B" w:rsidRDefault="00C9594F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1:50</w:t>
            </w:r>
          </w:p>
        </w:tc>
        <w:tc>
          <w:tcPr>
            <w:tcW w:w="2928" w:type="dxa"/>
          </w:tcPr>
          <w:p w14:paraId="18A695E3" w14:textId="696EF50B" w:rsidR="00C9594F" w:rsidRPr="00C0737B" w:rsidRDefault="00C9594F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Secondary antibody for immunocytochemistry</w:t>
            </w:r>
          </w:p>
        </w:tc>
      </w:tr>
      <w:tr w:rsidR="00DF6D1B" w:rsidRPr="00AE64E1" w14:paraId="40312EDE" w14:textId="77777777" w:rsidTr="00ED7FBE">
        <w:trPr>
          <w:trHeight w:val="848"/>
        </w:trPr>
        <w:tc>
          <w:tcPr>
            <w:tcW w:w="2189" w:type="dxa"/>
          </w:tcPr>
          <w:p w14:paraId="5DD09733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DAKO Fluorescence Mounting Medium</w:t>
            </w:r>
          </w:p>
        </w:tc>
        <w:tc>
          <w:tcPr>
            <w:tcW w:w="1372" w:type="dxa"/>
          </w:tcPr>
          <w:p w14:paraId="26455A44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S3023</w:t>
            </w:r>
          </w:p>
        </w:tc>
        <w:tc>
          <w:tcPr>
            <w:tcW w:w="1646" w:type="dxa"/>
          </w:tcPr>
          <w:p w14:paraId="4DA4BB45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Agilent</w:t>
            </w:r>
          </w:p>
        </w:tc>
        <w:tc>
          <w:tcPr>
            <w:tcW w:w="1783" w:type="dxa"/>
          </w:tcPr>
          <w:p w14:paraId="43B1145E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2928" w:type="dxa"/>
          </w:tcPr>
          <w:p w14:paraId="7B672CDE" w14:textId="77777777" w:rsidR="003A158D" w:rsidRPr="00C0737B" w:rsidRDefault="003A158D" w:rsidP="00ED7FB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</w:pPr>
            <w:r w:rsidRPr="00C0737B">
              <w:rPr>
                <w:rFonts w:cstheme="minorHAnsi"/>
                <w:color w:val="000000" w:themeColor="text1"/>
                <w:sz w:val="20"/>
                <w:szCs w:val="20"/>
                <w:lang w:val="en-US"/>
              </w:rPr>
              <w:t xml:space="preserve">Enhancement of visualization of fluorescent samples after immunocytochemistry assays </w:t>
            </w:r>
          </w:p>
        </w:tc>
      </w:tr>
    </w:tbl>
    <w:p w14:paraId="39DFDBFB" w14:textId="11D1EE16" w:rsidR="00DF6D1B" w:rsidRPr="00C0737B" w:rsidRDefault="00DF6D1B" w:rsidP="007930B5">
      <w:pPr>
        <w:rPr>
          <w:b/>
          <w:bCs/>
          <w:i/>
          <w:color w:val="000000" w:themeColor="text1"/>
          <w:highlight w:val="yellow"/>
          <w:lang w:val="en-US"/>
        </w:rPr>
      </w:pPr>
    </w:p>
    <w:p w14:paraId="3DA78E92" w14:textId="77777777" w:rsidR="00DF6D1B" w:rsidRPr="00C0737B" w:rsidRDefault="00DF6D1B">
      <w:pPr>
        <w:rPr>
          <w:b/>
          <w:bCs/>
          <w:i/>
          <w:color w:val="000000" w:themeColor="text1"/>
          <w:highlight w:val="yellow"/>
          <w:lang w:val="en-US"/>
        </w:rPr>
      </w:pPr>
      <w:r w:rsidRPr="00C0737B">
        <w:rPr>
          <w:b/>
          <w:bCs/>
          <w:i/>
          <w:color w:val="000000" w:themeColor="text1"/>
          <w:highlight w:val="yellow"/>
          <w:lang w:val="en-US"/>
        </w:rPr>
        <w:br w:type="page"/>
      </w:r>
    </w:p>
    <w:p w14:paraId="14370916" w14:textId="01E9E54A" w:rsidR="007930B5" w:rsidRPr="00AE64E1" w:rsidRDefault="00C0737B" w:rsidP="00AE64E1">
      <w:pPr>
        <w:rPr>
          <w:b/>
          <w:bCs/>
          <w:i/>
          <w:color w:val="000000" w:themeColor="text1"/>
          <w:lang w:val="en-US"/>
        </w:rPr>
      </w:pPr>
      <w:r w:rsidRPr="00EC13AA">
        <w:rPr>
          <w:b/>
          <w:bCs/>
          <w:i/>
          <w:color w:val="000000" w:themeColor="text1"/>
          <w:lang w:val="en-US"/>
        </w:rPr>
        <w:t>Supplementary Material</w:t>
      </w:r>
      <w:r w:rsidR="008A27BA" w:rsidRPr="00EC13AA">
        <w:rPr>
          <w:b/>
          <w:bCs/>
          <w:i/>
          <w:color w:val="000000" w:themeColor="text1"/>
          <w:lang w:val="en-US"/>
        </w:rPr>
        <w:t xml:space="preserve"> 2</w:t>
      </w:r>
      <w:r w:rsidRPr="00EC13AA">
        <w:rPr>
          <w:b/>
          <w:bCs/>
          <w:i/>
          <w:color w:val="000000" w:themeColor="text1"/>
          <w:lang w:val="en-US"/>
        </w:rPr>
        <w:t xml:space="preserve">: </w:t>
      </w:r>
      <w:r w:rsidR="007930B5" w:rsidRPr="00EC13AA">
        <w:rPr>
          <w:b/>
          <w:bCs/>
          <w:i/>
          <w:color w:val="000000" w:themeColor="text1"/>
          <w:lang w:val="en-US"/>
        </w:rPr>
        <w:t xml:space="preserve">Mycoplasma Contamination Assay </w:t>
      </w:r>
    </w:p>
    <w:p w14:paraId="1E645E52" w14:textId="77777777" w:rsidR="007930B5" w:rsidRPr="00C0737B" w:rsidRDefault="007930B5" w:rsidP="007930B5">
      <w:pPr>
        <w:spacing w:line="360" w:lineRule="auto"/>
        <w:jc w:val="both"/>
        <w:rPr>
          <w:lang w:val="en-US"/>
        </w:rPr>
      </w:pPr>
      <w:r w:rsidRPr="00C0737B">
        <w:rPr>
          <w:lang w:val="en-US"/>
        </w:rPr>
        <w:t>LookOut® Mycoplasma PCR Detection kit was used to check a possible mycoplasma contamination in the cell line. The PCR products were run on a 1.2% agarose gel. Mycoplasma positive samples were expected to show bands in the range of 260 ± 8 bp and the positive control was expected to show a distinct band at 259 bp. A negative control showed a band at 481 bp, indicating a successful performance of the reaction, was present in every run. The absence of a band at 259 bp in the samples of supernatant of RN46A line confirmed the absence of mycoplasma (figure below).</w:t>
      </w:r>
    </w:p>
    <w:p w14:paraId="0B8334A7" w14:textId="754AF4AF" w:rsidR="007930B5" w:rsidRPr="00C0737B" w:rsidRDefault="0009517E" w:rsidP="007930B5">
      <w:pPr>
        <w:spacing w:line="360" w:lineRule="auto"/>
        <w:jc w:val="both"/>
        <w:rPr>
          <w:highlight w:val="yellow"/>
          <w:lang w:val="en-US"/>
        </w:rPr>
      </w:pPr>
      <w:r w:rsidRPr="00C0737B"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7759E1FD" wp14:editId="2CA6D383">
                <wp:simplePos x="0" y="0"/>
                <wp:positionH relativeFrom="column">
                  <wp:posOffset>456209</wp:posOffset>
                </wp:positionH>
                <wp:positionV relativeFrom="paragraph">
                  <wp:posOffset>233680</wp:posOffset>
                </wp:positionV>
                <wp:extent cx="1058545" cy="186055"/>
                <wp:effectExtent l="0" t="0" r="0" b="0"/>
                <wp:wrapNone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58545" cy="1860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5633404" w14:textId="77777777" w:rsidR="0009517E" w:rsidRDefault="0009517E" w:rsidP="0009517E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 w:themeColor="background1"/>
                                <w:sz w:val="10"/>
                                <w:szCs w:val="10"/>
                              </w:rPr>
                              <w:t>RN46A</w:t>
                            </w:r>
                            <w:r>
                              <w:rPr>
                                <w:rFonts w:ascii="Arial" w:hAnsi="Arial" w:cs="Arial"/>
                                <w:color w:val="FFFFFF" w:themeColor="background1"/>
                                <w:sz w:val="12"/>
                                <w:szCs w:val="12"/>
                              </w:rPr>
                              <w:t xml:space="preserve">       -         +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type w14:anchorId="7759E1FD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35.9pt;margin-top:18.4pt;width:83.35pt;height:14.6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" filled="f" stroked="f" strokeweight=".5pt">
                <v:textbox>
                  <w:txbxContent>
                    <w:p w14:paraId="55633404" w14:textId="77777777" w:rsidR="0009517E" w:rsidRDefault="0009517E" w:rsidP="0009517E">
                      <w:pPr>
                        <w:rPr>
                          <w:rFonts w:ascii="Arial" w:hAnsi="Arial" w:cs="Arial"/>
                          <w:color w:val="FFFFFF" w:themeColor="background1"/>
                          <w:sz w:val="12"/>
                          <w:szCs w:val="12"/>
                        </w:rPr>
                      </w:pPr>
                      <w:r>
                        <w:rPr>
                          <w:rFonts w:ascii="Arial" w:hAnsi="Arial" w:cs="Arial"/>
                          <w:color w:val="FFFFFF" w:themeColor="background1"/>
                          <w:sz w:val="10"/>
                          <w:szCs w:val="10"/>
                        </w:rPr>
                        <w:t>RN46A</w:t>
                      </w:r>
                      <w:r>
                        <w:rPr>
                          <w:rFonts w:ascii="Arial" w:hAnsi="Arial" w:cs="Arial"/>
                          <w:color w:val="FFFFFF" w:themeColor="background1"/>
                          <w:sz w:val="12"/>
                          <w:szCs w:val="12"/>
                        </w:rPr>
                        <w:t xml:space="preserve">       -         +</w:t>
                      </w:r>
                    </w:p>
                  </w:txbxContent>
                </v:textbox>
              </v:shape>
            </w:pict>
          </mc:Fallback>
        </mc:AlternateContent>
      </w:r>
      <w:r w:rsidR="003A158D" w:rsidRPr="00AE64E1">
        <w:rPr>
          <w:b/>
          <w:noProof/>
          <w:highlight w:val="yellow"/>
          <w:lang w:val="en-IN" w:eastAsia="en-IN"/>
        </w:rPr>
        <w:drawing>
          <wp:anchor distT="0" distB="0" distL="114300" distR="114300" simplePos="0" relativeHeight="251666432" behindDoc="1" locked="0" layoutInCell="1" allowOverlap="1" wp14:anchorId="7211FA8F" wp14:editId="36C62315">
            <wp:simplePos x="0" y="0"/>
            <wp:positionH relativeFrom="margin">
              <wp:align>left</wp:align>
            </wp:positionH>
            <wp:positionV relativeFrom="paragraph">
              <wp:posOffset>6350</wp:posOffset>
            </wp:positionV>
            <wp:extent cx="1539240" cy="2026920"/>
            <wp:effectExtent l="0" t="0" r="3810" b="0"/>
            <wp:wrapTight wrapText="bothSides">
              <wp:wrapPolygon edited="0">
                <wp:start x="0" y="0"/>
                <wp:lineTo x="0" y="21316"/>
                <wp:lineTo x="21386" y="21316"/>
                <wp:lineTo x="21386" y="0"/>
                <wp:lineTo x="0" y="0"/>
              </wp:wrapPolygon>
            </wp:wrapTight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9921" t="35121" r="11668" b="1438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9240" cy="2026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3879B5F" w14:textId="0D579DBC" w:rsidR="007930B5" w:rsidRPr="00C0737B" w:rsidRDefault="007930B5" w:rsidP="007930B5">
      <w:pPr>
        <w:spacing w:line="360" w:lineRule="auto"/>
        <w:jc w:val="center"/>
        <w:rPr>
          <w:b/>
          <w:highlight w:val="yellow"/>
          <w:lang w:val="en-GB"/>
        </w:rPr>
      </w:pPr>
      <w:r w:rsidRPr="00C0737B">
        <w:rPr>
          <w:noProof/>
          <w:highlight w:val="yellow"/>
          <w:lang w:val="en-IN" w:eastAsia="en-I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6EDC292" wp14:editId="1A4E4451">
                <wp:simplePos x="0" y="0"/>
                <wp:positionH relativeFrom="column">
                  <wp:posOffset>2185035</wp:posOffset>
                </wp:positionH>
                <wp:positionV relativeFrom="paragraph">
                  <wp:posOffset>1301115</wp:posOffset>
                </wp:positionV>
                <wp:extent cx="406400" cy="236855"/>
                <wp:effectExtent l="0" t="0" r="0" b="0"/>
                <wp:wrapNone/>
                <wp:docPr id="60" name="Text Box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6400" cy="2368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BEAE0FA" w14:textId="77777777" w:rsidR="007930B5" w:rsidRDefault="007930B5" w:rsidP="007930B5">
                            <w:pPr>
                              <w:rPr>
                                <w:color w:val="FFFFFF" w:themeColor="background1"/>
                                <w:sz w:val="12"/>
                                <w:szCs w:val="12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2"/>
                                <w:szCs w:val="12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100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w14:anchorId="76EDC292" id="Text Box 60" o:spid="_x0000_s1027" type="#_x0000_t202" style="position:absolute;left:0;text-align:left;margin-left:172.05pt;margin-top:102.45pt;width:32pt;height:18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" filled="f" stroked="f" strokeweight=".5pt">
                <v:textbox>
                  <w:txbxContent>
                    <w:p w14:paraId="3BEAE0FA" w14:textId="77777777" w:rsidR="007930B5" w:rsidRDefault="007930B5" w:rsidP="007930B5">
                      <w:pPr>
                        <w:rPr>
                          <w:color w:val="FFFFFF" w:themeColor="background1"/>
                          <w:sz w:val="12"/>
                          <w:szCs w:val="12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color w:val="FFFFFF" w:themeColor="background1"/>
                          <w:sz w:val="12"/>
                          <w:szCs w:val="12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100</w:t>
                      </w:r>
                    </w:p>
                  </w:txbxContent>
                </v:textbox>
              </v:shape>
            </w:pict>
          </mc:Fallback>
        </mc:AlternateContent>
      </w:r>
      <w:r w:rsidRPr="00AE64E1">
        <w:rPr>
          <w:noProof/>
          <w:highlight w:val="yellow"/>
          <w:lang w:val="en-IN" w:eastAsia="en-I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79F92D8" wp14:editId="4FD143E1">
                <wp:simplePos x="0" y="0"/>
                <wp:positionH relativeFrom="column">
                  <wp:posOffset>2195195</wp:posOffset>
                </wp:positionH>
                <wp:positionV relativeFrom="paragraph">
                  <wp:posOffset>971550</wp:posOffset>
                </wp:positionV>
                <wp:extent cx="406400" cy="236855"/>
                <wp:effectExtent l="0" t="0" r="0" b="0"/>
                <wp:wrapNone/>
                <wp:docPr id="61" name="Text Box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6400" cy="2368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3C43B5A" w14:textId="77777777" w:rsidR="007930B5" w:rsidRDefault="007930B5" w:rsidP="007930B5">
                            <w:pPr>
                              <w:rPr>
                                <w:color w:val="FFFFFF" w:themeColor="background1"/>
                                <w:sz w:val="12"/>
                                <w:szCs w:val="12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2"/>
                                <w:szCs w:val="12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500</w:t>
                            </w:r>
                          </w:p>
                          <w:p w14:paraId="1A2596EE" w14:textId="77777777" w:rsidR="007930B5" w:rsidRDefault="007930B5" w:rsidP="007930B5">
                            <w:pPr>
                              <w:rPr>
                                <w:color w:val="FFFFFF" w:themeColor="background1"/>
                                <w:sz w:val="12"/>
                                <w:szCs w:val="12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w14:anchorId="479F92D8" id="Text Box 61" o:spid="_x0000_s1028" type="#_x0000_t202" style="position:absolute;left:0;text-align:left;margin-left:172.85pt;margin-top:76.5pt;width:32pt;height:18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" filled="f" stroked="f" strokeweight=".5pt">
                <v:textbox>
                  <w:txbxContent>
                    <w:p w14:paraId="03C43B5A" w14:textId="77777777" w:rsidR="007930B5" w:rsidRDefault="007930B5" w:rsidP="007930B5">
                      <w:pPr>
                        <w:rPr>
                          <w:color w:val="FFFFFF" w:themeColor="background1"/>
                          <w:sz w:val="12"/>
                          <w:szCs w:val="12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color w:val="FFFFFF" w:themeColor="background1"/>
                          <w:sz w:val="12"/>
                          <w:szCs w:val="12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500</w:t>
                      </w:r>
                    </w:p>
                    <w:p w14:paraId="1A2596EE" w14:textId="77777777" w:rsidR="007930B5" w:rsidRDefault="007930B5" w:rsidP="007930B5">
                      <w:pPr>
                        <w:rPr>
                          <w:color w:val="FFFFFF" w:themeColor="background1"/>
                          <w:sz w:val="12"/>
                          <w:szCs w:val="12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AE64E1">
        <w:rPr>
          <w:noProof/>
          <w:highlight w:val="yellow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A25FFA8" wp14:editId="0ECD9F9C">
                <wp:simplePos x="0" y="0"/>
                <wp:positionH relativeFrom="column">
                  <wp:posOffset>2149475</wp:posOffset>
                </wp:positionH>
                <wp:positionV relativeFrom="paragraph">
                  <wp:posOffset>531495</wp:posOffset>
                </wp:positionV>
                <wp:extent cx="406400" cy="236855"/>
                <wp:effectExtent l="0" t="0" r="0" b="0"/>
                <wp:wrapNone/>
                <wp:docPr id="62" name="Text Box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6400" cy="2368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F748272" w14:textId="77777777" w:rsidR="007930B5" w:rsidRDefault="007930B5" w:rsidP="007930B5">
                            <w:pPr>
                              <w:rPr>
                                <w:color w:val="FFFFFF" w:themeColor="background1"/>
                                <w:sz w:val="12"/>
                                <w:szCs w:val="12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2"/>
                                <w:szCs w:val="12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1500</w:t>
                            </w:r>
                          </w:p>
                          <w:p w14:paraId="13BD4129" w14:textId="77777777" w:rsidR="007930B5" w:rsidRDefault="007930B5" w:rsidP="007930B5">
                            <w:pPr>
                              <w:rPr>
                                <w:color w:val="FFFFFF" w:themeColor="background1"/>
                                <w:sz w:val="12"/>
                                <w:szCs w:val="12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w14:anchorId="2A25FFA8" id="Text Box 62" o:spid="_x0000_s1029" type="#_x0000_t202" style="position:absolute;left:0;text-align:left;margin-left:169.25pt;margin-top:41.85pt;width:32pt;height:18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" filled="f" stroked="f" strokeweight=".5pt">
                <v:textbox>
                  <w:txbxContent>
                    <w:p w14:paraId="5F748272" w14:textId="77777777" w:rsidR="007930B5" w:rsidRDefault="007930B5" w:rsidP="007930B5">
                      <w:pPr>
                        <w:rPr>
                          <w:color w:val="FFFFFF" w:themeColor="background1"/>
                          <w:sz w:val="12"/>
                          <w:szCs w:val="12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color w:val="FFFFFF" w:themeColor="background1"/>
                          <w:sz w:val="12"/>
                          <w:szCs w:val="12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1500</w:t>
                      </w:r>
                    </w:p>
                    <w:p w14:paraId="13BD4129" w14:textId="77777777" w:rsidR="007930B5" w:rsidRDefault="007930B5" w:rsidP="007930B5">
                      <w:pPr>
                        <w:rPr>
                          <w:color w:val="FFFFFF" w:themeColor="background1"/>
                          <w:sz w:val="12"/>
                          <w:szCs w:val="12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AE64E1">
        <w:rPr>
          <w:noProof/>
          <w:highlight w:val="yellow"/>
          <w:lang w:val="en-IN" w:eastAsia="en-IN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170D368" wp14:editId="606AE4F1">
                <wp:simplePos x="0" y="0"/>
                <wp:positionH relativeFrom="column">
                  <wp:posOffset>2536190</wp:posOffset>
                </wp:positionH>
                <wp:positionV relativeFrom="paragraph">
                  <wp:posOffset>361950</wp:posOffset>
                </wp:positionV>
                <wp:extent cx="1058545" cy="186055"/>
                <wp:effectExtent l="0" t="0" r="0" b="4445"/>
                <wp:wrapNone/>
                <wp:docPr id="63" name="Text Box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58545" cy="1860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30BE107" w14:textId="77777777" w:rsidR="007930B5" w:rsidRDefault="007930B5" w:rsidP="007930B5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 w:themeColor="background1"/>
                                <w:sz w:val="10"/>
                                <w:szCs w:val="10"/>
                              </w:rPr>
                              <w:t>RN46A</w:t>
                            </w:r>
                            <w:r>
                              <w:rPr>
                                <w:rFonts w:ascii="Arial" w:hAnsi="Arial" w:cs="Arial"/>
                                <w:color w:val="FFFFFF" w:themeColor="background1"/>
                                <w:sz w:val="12"/>
                                <w:szCs w:val="12"/>
                              </w:rPr>
                              <w:t xml:space="preserve">       -         +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w14:anchorId="0170D368" id="Text Box 63" o:spid="_x0000_s1030" type="#_x0000_t202" style="position:absolute;left:0;text-align:left;margin-left:199.7pt;margin-top:28.5pt;width:83.35pt;height:14.6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" filled="f" stroked="f" strokeweight=".5pt">
                <v:textbox>
                  <w:txbxContent>
                    <w:p w14:paraId="730BE107" w14:textId="77777777" w:rsidR="007930B5" w:rsidRDefault="007930B5" w:rsidP="007930B5">
                      <w:pPr>
                        <w:rPr>
                          <w:rFonts w:ascii="Arial" w:hAnsi="Arial" w:cs="Arial"/>
                          <w:color w:val="FFFFFF" w:themeColor="background1"/>
                          <w:sz w:val="12"/>
                          <w:szCs w:val="12"/>
                        </w:rPr>
                      </w:pPr>
                      <w:r>
                        <w:rPr>
                          <w:rFonts w:ascii="Arial" w:hAnsi="Arial" w:cs="Arial"/>
                          <w:color w:val="FFFFFF" w:themeColor="background1"/>
                          <w:sz w:val="10"/>
                          <w:szCs w:val="10"/>
                        </w:rPr>
                        <w:t>RN46A</w:t>
                      </w:r>
                      <w:r>
                        <w:rPr>
                          <w:rFonts w:ascii="Arial" w:hAnsi="Arial" w:cs="Arial"/>
                          <w:color w:val="FFFFFF" w:themeColor="background1"/>
                          <w:sz w:val="12"/>
                          <w:szCs w:val="12"/>
                        </w:rPr>
                        <w:t xml:space="preserve">       -         +</w:t>
                      </w:r>
                    </w:p>
                  </w:txbxContent>
                </v:textbox>
              </v:shape>
            </w:pict>
          </mc:Fallback>
        </mc:AlternateContent>
      </w:r>
    </w:p>
    <w:p w14:paraId="446067E6" w14:textId="77777777" w:rsidR="007930B5" w:rsidRPr="00C0737B" w:rsidRDefault="007930B5" w:rsidP="007930B5">
      <w:pPr>
        <w:spacing w:line="360" w:lineRule="auto"/>
        <w:rPr>
          <w:b/>
          <w:highlight w:val="yellow"/>
          <w:lang w:val="en-US"/>
        </w:rPr>
      </w:pPr>
    </w:p>
    <w:p w14:paraId="417EBAF8" w14:textId="77777777" w:rsidR="007930B5" w:rsidRPr="00C0737B" w:rsidRDefault="007930B5" w:rsidP="007930B5">
      <w:pPr>
        <w:spacing w:line="360" w:lineRule="auto"/>
        <w:jc w:val="both"/>
        <w:rPr>
          <w:lang w:val="en-US"/>
        </w:rPr>
      </w:pPr>
    </w:p>
    <w:p w14:paraId="35D7A2D2" w14:textId="77777777" w:rsidR="007930B5" w:rsidRPr="00C0737B" w:rsidRDefault="007930B5" w:rsidP="007930B5">
      <w:pPr>
        <w:spacing w:line="360" w:lineRule="auto"/>
        <w:jc w:val="both"/>
        <w:rPr>
          <w:lang w:val="en-US"/>
        </w:rPr>
      </w:pPr>
    </w:p>
    <w:p w14:paraId="2C8E2D41" w14:textId="77777777" w:rsidR="007930B5" w:rsidRPr="00C0737B" w:rsidRDefault="007930B5" w:rsidP="007930B5">
      <w:pPr>
        <w:spacing w:line="360" w:lineRule="auto"/>
        <w:jc w:val="both"/>
        <w:rPr>
          <w:lang w:val="en-US"/>
        </w:rPr>
      </w:pPr>
    </w:p>
    <w:p w14:paraId="656ADDB8" w14:textId="77777777" w:rsidR="003A158D" w:rsidRPr="00C0737B" w:rsidRDefault="003A158D" w:rsidP="007930B5">
      <w:pPr>
        <w:spacing w:line="360" w:lineRule="auto"/>
        <w:jc w:val="both"/>
        <w:rPr>
          <w:lang w:val="en-US"/>
        </w:rPr>
      </w:pPr>
    </w:p>
    <w:p w14:paraId="154C8C07" w14:textId="77777777" w:rsidR="00C0737B" w:rsidRPr="00C0737B" w:rsidRDefault="00C0737B">
      <w:pPr>
        <w:rPr>
          <w:b/>
          <w:i/>
          <w:color w:val="1C1D1E"/>
          <w:shd w:val="clear" w:color="auto" w:fill="FFFFFF"/>
          <w:lang w:val="en-US"/>
        </w:rPr>
      </w:pPr>
      <w:r w:rsidRPr="00AE64E1">
        <w:rPr>
          <w:b/>
          <w:i/>
          <w:color w:val="1C1D1E"/>
          <w:shd w:val="clear" w:color="auto" w:fill="FFFFFF"/>
          <w:lang w:val="en-US"/>
        </w:rPr>
        <w:br w:type="page"/>
      </w:r>
    </w:p>
    <w:p w14:paraId="4FC8C425" w14:textId="050DF106" w:rsidR="003A158D" w:rsidRPr="00C0737B" w:rsidRDefault="00C0737B" w:rsidP="00AE64E1">
      <w:pPr>
        <w:spacing w:line="360" w:lineRule="auto"/>
        <w:jc w:val="both"/>
        <w:rPr>
          <w:b/>
          <w:i/>
          <w:color w:val="1C1D1E"/>
          <w:shd w:val="clear" w:color="auto" w:fill="FFFFFF"/>
        </w:rPr>
      </w:pPr>
      <w:r w:rsidRPr="00C0737B">
        <w:rPr>
          <w:b/>
          <w:bCs/>
          <w:i/>
          <w:color w:val="000000" w:themeColor="text1"/>
          <w:lang w:val="en-US"/>
        </w:rPr>
        <w:t>Supplementary Material</w:t>
      </w:r>
      <w:r w:rsidR="008A27BA">
        <w:rPr>
          <w:b/>
          <w:bCs/>
          <w:i/>
          <w:color w:val="000000" w:themeColor="text1"/>
          <w:lang w:val="en-US"/>
        </w:rPr>
        <w:t xml:space="preserve"> 3</w:t>
      </w:r>
      <w:r w:rsidRPr="00C0737B">
        <w:rPr>
          <w:b/>
          <w:i/>
          <w:color w:val="1C1D1E"/>
          <w:shd w:val="clear" w:color="auto" w:fill="FFFFFF"/>
          <w:lang w:val="en-US"/>
        </w:rPr>
        <w:t xml:space="preserve">: </w:t>
      </w:r>
      <w:r w:rsidR="003A158D" w:rsidRPr="00C0737B">
        <w:rPr>
          <w:b/>
          <w:i/>
          <w:color w:val="1C1D1E"/>
          <w:shd w:val="clear" w:color="auto" w:fill="FFFFFF"/>
          <w:lang w:val="en-US"/>
        </w:rPr>
        <w:t>Cell viability curves</w:t>
      </w:r>
    </w:p>
    <w:p w14:paraId="64199349" w14:textId="77777777" w:rsidR="003A158D" w:rsidRPr="00C0737B" w:rsidRDefault="007930B5" w:rsidP="003A158D">
      <w:pPr>
        <w:spacing w:line="360" w:lineRule="auto"/>
        <w:jc w:val="both"/>
        <w:rPr>
          <w:lang w:val="en-US"/>
        </w:rPr>
      </w:pPr>
      <w:r w:rsidRPr="00C0737B">
        <w:rPr>
          <w:color w:val="1C1D1E"/>
          <w:shd w:val="clear" w:color="auto" w:fill="FFFFFF"/>
          <w:lang w:val="en-US"/>
        </w:rPr>
        <w:t>To determine the concentration of MDMA needed to cause 50% cell death/cell survival, differentiated RN46A cell line was exposed to different doses of MDMA for 24h</w:t>
      </w:r>
      <w:r w:rsidR="003A158D" w:rsidRPr="00C0737B">
        <w:rPr>
          <w:color w:val="1C1D1E"/>
          <w:shd w:val="clear" w:color="auto" w:fill="FFFFFF"/>
          <w:lang w:val="en-US"/>
        </w:rPr>
        <w:t xml:space="preserve"> and 48h</w:t>
      </w:r>
      <w:r w:rsidRPr="00C0737B">
        <w:rPr>
          <w:color w:val="1C1D1E"/>
          <w:shd w:val="clear" w:color="auto" w:fill="FFFFFF"/>
          <w:lang w:val="en-US"/>
        </w:rPr>
        <w:t xml:space="preserve">. </w:t>
      </w:r>
      <w:r w:rsidR="003A158D" w:rsidRPr="00C0737B">
        <w:rPr>
          <w:color w:val="1C1D1E"/>
          <w:shd w:val="clear" w:color="auto" w:fill="FFFFFF"/>
          <w:lang w:val="en-US"/>
        </w:rPr>
        <w:t xml:space="preserve">Cell viability was determined using the MTT assay incubated for four hours. </w:t>
      </w:r>
      <w:r w:rsidRPr="00C0737B">
        <w:rPr>
          <w:color w:val="1C1D1E"/>
          <w:shd w:val="clear" w:color="auto" w:fill="FFFFFF"/>
          <w:lang w:val="en-US"/>
        </w:rPr>
        <w:t>The IC</w:t>
      </w:r>
      <w:r w:rsidRPr="00C0737B">
        <w:rPr>
          <w:color w:val="1C1D1E"/>
          <w:shd w:val="clear" w:color="auto" w:fill="FFFFFF"/>
          <w:vertAlign w:val="subscript"/>
          <w:lang w:val="en-US"/>
        </w:rPr>
        <w:t xml:space="preserve">50, </w:t>
      </w:r>
      <w:r w:rsidRPr="00C0737B">
        <w:rPr>
          <w:color w:val="1C1D1E"/>
          <w:shd w:val="clear" w:color="auto" w:fill="FFFFFF"/>
          <w:lang w:val="en-US"/>
        </w:rPr>
        <w:t>defined as the dose able to inhibit 50% of the cell growth, was found to be 1.75 mM after 24h and 1.15</w:t>
      </w:r>
      <w:r w:rsidR="003A158D" w:rsidRPr="00C0737B">
        <w:rPr>
          <w:color w:val="1C1D1E"/>
          <w:shd w:val="clear" w:color="auto" w:fill="FFFFFF"/>
          <w:lang w:val="en-US"/>
        </w:rPr>
        <w:t xml:space="preserve"> </w:t>
      </w:r>
      <w:r w:rsidRPr="00C0737B">
        <w:rPr>
          <w:color w:val="1C1D1E"/>
          <w:shd w:val="clear" w:color="auto" w:fill="FFFFFF"/>
          <w:lang w:val="en-US"/>
        </w:rPr>
        <w:t>mM</w:t>
      </w:r>
      <w:r w:rsidR="003A158D" w:rsidRPr="00C0737B">
        <w:rPr>
          <w:color w:val="1C1D1E"/>
          <w:shd w:val="clear" w:color="auto" w:fill="FFFFFF"/>
          <w:lang w:val="en-US"/>
        </w:rPr>
        <w:t xml:space="preserve"> after 48h.</w:t>
      </w:r>
      <w:r w:rsidRPr="00C0737B">
        <w:rPr>
          <w:color w:val="1C1D1E"/>
          <w:shd w:val="clear" w:color="auto" w:fill="FFFFFF"/>
          <w:lang w:val="en-US"/>
        </w:rPr>
        <w:t xml:space="preserve"> </w:t>
      </w:r>
      <w:r w:rsidR="003A158D" w:rsidRPr="00C0737B">
        <w:rPr>
          <w:color w:val="000000"/>
          <w:shd w:val="clear" w:color="auto" w:fill="FFFFFF"/>
          <w:lang w:val="en-US"/>
        </w:rPr>
        <w:t xml:space="preserve">To compare the effect on MDMA both at 24h and 48h, the dose of MDMA used with 100 ng/ml BDNF pre-treatment was selected to be at 1.3 mM. </w:t>
      </w:r>
      <w:r w:rsidR="003A158D" w:rsidRPr="00C0737B">
        <w:rPr>
          <w:color w:val="333333"/>
          <w:shd w:val="clear" w:color="auto" w:fill="FFFFFF"/>
          <w:lang w:val="en-US"/>
        </w:rPr>
        <w:t>Graphs representing % cell viability curves and IC</w:t>
      </w:r>
      <w:r w:rsidR="003A158D" w:rsidRPr="00C0737B">
        <w:rPr>
          <w:color w:val="333333"/>
          <w:shd w:val="clear" w:color="auto" w:fill="FFFFFF"/>
          <w:vertAlign w:val="subscript"/>
          <w:lang w:val="en-US"/>
        </w:rPr>
        <w:t>50</w:t>
      </w:r>
      <w:r w:rsidR="003A158D" w:rsidRPr="00C0737B">
        <w:rPr>
          <w:color w:val="333333"/>
          <w:shd w:val="clear" w:color="auto" w:fill="FFFFFF"/>
          <w:lang w:val="en-US"/>
        </w:rPr>
        <w:t xml:space="preserve"> values (concentration responsible for 50% cells growth inhibition)</w:t>
      </w:r>
      <w:r w:rsidR="003A158D" w:rsidRPr="00C0737B">
        <w:rPr>
          <w:lang w:val="en-US"/>
        </w:rPr>
        <w:t xml:space="preserve"> </w:t>
      </w:r>
      <w:r w:rsidR="003A158D" w:rsidRPr="00C0737B">
        <w:rPr>
          <w:color w:val="333333"/>
          <w:shd w:val="clear" w:color="auto" w:fill="FFFFFF"/>
          <w:lang w:val="en-US"/>
        </w:rPr>
        <w:t xml:space="preserve">of RN46A differentiated cell line versus the concentration of MDMA are reported below. </w:t>
      </w:r>
      <w:r w:rsidR="003A158D" w:rsidRPr="00C0737B">
        <w:rPr>
          <w:color w:val="1C1D1E"/>
          <w:shd w:val="clear" w:color="auto" w:fill="FFFFFF"/>
          <w:lang w:val="en-US"/>
        </w:rPr>
        <w:t xml:space="preserve">The values reported are the mean of two independent </w:t>
      </w:r>
      <w:r w:rsidR="003A158D" w:rsidRPr="00C0737B">
        <w:rPr>
          <w:color w:val="333333"/>
          <w:shd w:val="clear" w:color="auto" w:fill="FFFFFF"/>
          <w:lang w:val="en-US"/>
        </w:rPr>
        <w:t>experiments (n=6 each experiment; Total n=12) ± SD.</w:t>
      </w:r>
    </w:p>
    <w:p w14:paraId="78EC69C8" w14:textId="77777777" w:rsidR="007930B5" w:rsidRPr="00C0737B" w:rsidRDefault="003A158D" w:rsidP="007930B5">
      <w:pPr>
        <w:spacing w:line="360" w:lineRule="auto"/>
        <w:rPr>
          <w:color w:val="000000"/>
          <w:shd w:val="clear" w:color="auto" w:fill="FFFFFF"/>
          <w:lang w:val="en-US"/>
        </w:rPr>
      </w:pPr>
      <w:r w:rsidRPr="00C0737B">
        <w:rPr>
          <w:noProof/>
          <w:lang w:val="en-IN" w:eastAsia="en-IN"/>
        </w:rPr>
        <w:drawing>
          <wp:anchor distT="0" distB="0" distL="114300" distR="114300" simplePos="0" relativeHeight="251683840" behindDoc="0" locked="0" layoutInCell="1" allowOverlap="1" wp14:anchorId="056CB71E" wp14:editId="36B9A18A">
            <wp:simplePos x="0" y="0"/>
            <wp:positionH relativeFrom="margin">
              <wp:posOffset>-635</wp:posOffset>
            </wp:positionH>
            <wp:positionV relativeFrom="paragraph">
              <wp:posOffset>2902585</wp:posOffset>
            </wp:positionV>
            <wp:extent cx="4152900" cy="2537460"/>
            <wp:effectExtent l="0" t="0" r="0" b="15240"/>
            <wp:wrapTopAndBottom/>
            <wp:docPr id="28" name="Chart 28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="http://schemas.openxmlformats.org/wordprocessingml/2006/main" xmlns:w10="urn:schemas-microsoft-com:office:word" xmlns:v="urn:schemas-microsoft-com:vml" xmlns:o="urn:schemas-microsoft-com:office:office" xmlns:cx1="http://schemas.microsoft.com/office/drawing/2015/9/8/chartex" xmlns:cx="http://schemas.microsoft.com/office/drawing/2014/chartex" xmlns="" id="{AB9348EE-5509-E447-8BE5-AB5536CD6E9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anchor>
        </w:drawing>
      </w:r>
      <w:r w:rsidRPr="00AE64E1">
        <w:rPr>
          <w:noProof/>
          <w:color w:val="000000"/>
          <w:shd w:val="clear" w:color="auto" w:fill="FFFFFF"/>
          <w:lang w:val="en-IN" w:eastAsia="en-IN"/>
        </w:rPr>
        <w:drawing>
          <wp:anchor distT="0" distB="0" distL="114300" distR="114300" simplePos="0" relativeHeight="251682816" behindDoc="0" locked="0" layoutInCell="1" allowOverlap="1" wp14:anchorId="31E38A72" wp14:editId="01431441">
            <wp:simplePos x="0" y="0"/>
            <wp:positionH relativeFrom="margin">
              <wp:posOffset>-635</wp:posOffset>
            </wp:positionH>
            <wp:positionV relativeFrom="paragraph">
              <wp:posOffset>349885</wp:posOffset>
            </wp:positionV>
            <wp:extent cx="4152900" cy="2552700"/>
            <wp:effectExtent l="0" t="0" r="0" b="0"/>
            <wp:wrapTopAndBottom/>
            <wp:docPr id="29" name="Chart 29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="http://schemas.openxmlformats.org/wordprocessingml/2006/main" xmlns:w10="urn:schemas-microsoft-com:office:word" xmlns:v="urn:schemas-microsoft-com:vml" xmlns:o="urn:schemas-microsoft-com:office:office" xmlns:cx1="http://schemas.microsoft.com/office/drawing/2015/9/8/chartex" xmlns:cx="http://schemas.microsoft.com/office/drawing/2014/chartex" xmlns="" id="{C126A7C3-DB59-3440-8AA7-AFF77649407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anchor>
        </w:drawing>
      </w:r>
    </w:p>
    <w:p w14:paraId="1BD7C877" w14:textId="77777777" w:rsidR="00C0737B" w:rsidRPr="00C0737B" w:rsidRDefault="00C0737B">
      <w:pPr>
        <w:rPr>
          <w:b/>
          <w:i/>
          <w:color w:val="1C1D1E"/>
          <w:shd w:val="clear" w:color="auto" w:fill="FFFFFF"/>
          <w:lang w:val="en-US"/>
        </w:rPr>
      </w:pPr>
      <w:r w:rsidRPr="00AE64E1">
        <w:rPr>
          <w:b/>
          <w:i/>
          <w:color w:val="1C1D1E"/>
          <w:shd w:val="clear" w:color="auto" w:fill="FFFFFF"/>
          <w:lang w:val="en-US"/>
        </w:rPr>
        <w:br w:type="page"/>
      </w:r>
    </w:p>
    <w:p w14:paraId="58304158" w14:textId="02E41BF2" w:rsidR="003A158D" w:rsidRPr="00AE64E1" w:rsidRDefault="00C0737B" w:rsidP="00AE64E1">
      <w:pPr>
        <w:spacing w:line="360" w:lineRule="auto"/>
        <w:jc w:val="both"/>
        <w:rPr>
          <w:b/>
          <w:i/>
          <w:color w:val="1C1D1E"/>
          <w:shd w:val="clear" w:color="auto" w:fill="FFFFFF"/>
          <w:lang w:val="en-US"/>
        </w:rPr>
      </w:pPr>
      <w:r w:rsidRPr="008A27BA">
        <w:rPr>
          <w:b/>
          <w:bCs/>
          <w:i/>
          <w:color w:val="000000" w:themeColor="text1"/>
          <w:lang w:val="en-US"/>
        </w:rPr>
        <w:t>Supplementary Material</w:t>
      </w:r>
      <w:r w:rsidR="008A27BA">
        <w:rPr>
          <w:b/>
          <w:bCs/>
          <w:i/>
          <w:color w:val="000000" w:themeColor="text1"/>
          <w:lang w:val="en-US"/>
        </w:rPr>
        <w:t xml:space="preserve"> 4</w:t>
      </w:r>
      <w:r w:rsidRPr="008A27BA">
        <w:rPr>
          <w:b/>
          <w:i/>
          <w:color w:val="1C1D1E"/>
          <w:shd w:val="clear" w:color="auto" w:fill="FFFFFF"/>
          <w:lang w:val="en-US"/>
        </w:rPr>
        <w:t xml:space="preserve">: </w:t>
      </w:r>
      <w:r w:rsidR="003A158D" w:rsidRPr="008A27BA">
        <w:rPr>
          <w:b/>
          <w:i/>
          <w:color w:val="1C1D1E"/>
          <w:shd w:val="clear" w:color="auto" w:fill="FFFFFF"/>
          <w:lang w:val="en-US"/>
        </w:rPr>
        <w:t xml:space="preserve">Differentiated RN46A cell line </w:t>
      </w:r>
    </w:p>
    <w:p w14:paraId="4E47C18E" w14:textId="4AEF99BF" w:rsidR="003A158D" w:rsidRPr="00C0737B" w:rsidRDefault="003A158D" w:rsidP="003A158D">
      <w:pPr>
        <w:spacing w:line="360" w:lineRule="auto"/>
        <w:jc w:val="both"/>
        <w:rPr>
          <w:color w:val="1C1D1E"/>
          <w:shd w:val="clear" w:color="auto" w:fill="FFFFFF"/>
        </w:rPr>
      </w:pPr>
      <w:r w:rsidRPr="00C0737B">
        <w:rPr>
          <w:color w:val="1C1D1E"/>
          <w:shd w:val="clear" w:color="auto" w:fill="FFFFFF"/>
          <w:lang w:val="en-US"/>
        </w:rPr>
        <w:t>Exemplary immunofluorescence staining of differentiated RN46A cell line showing the expression of MAP</w:t>
      </w:r>
      <w:r w:rsidR="00EC13AA">
        <w:rPr>
          <w:color w:val="1C1D1E"/>
          <w:shd w:val="clear" w:color="auto" w:fill="FFFFFF"/>
          <w:lang w:val="en-US"/>
        </w:rPr>
        <w:t>-</w:t>
      </w:r>
      <w:r w:rsidRPr="00C0737B">
        <w:rPr>
          <w:color w:val="1C1D1E"/>
          <w:shd w:val="clear" w:color="auto" w:fill="FFFFFF"/>
          <w:lang w:val="en-US"/>
        </w:rPr>
        <w:t xml:space="preserve">2 in green with cell nuclei marked in blue (DAPI). RN46A cells proliferating at 33 °C have a fibroblastic morphology, while at 37 °C, they cease dividing and take on a generally bipolar neuronal-like morphology. </w:t>
      </w:r>
      <w:r w:rsidRPr="00C0737B">
        <w:rPr>
          <w:color w:val="1C1D1E"/>
          <w:shd w:val="clear" w:color="auto" w:fill="FFFFFF"/>
        </w:rPr>
        <w:t xml:space="preserve">Scale bar: </w:t>
      </w:r>
      <w:r w:rsidRPr="00C0737B">
        <w:rPr>
          <w:color w:val="000000" w:themeColor="text1"/>
          <w:shd w:val="clear" w:color="auto" w:fill="FFFFFF"/>
        </w:rPr>
        <w:t xml:space="preserve">200 μm. </w:t>
      </w:r>
    </w:p>
    <w:p w14:paraId="31D956B4" w14:textId="0F2BCD2C" w:rsidR="003A158D" w:rsidRPr="00C0737B" w:rsidRDefault="00BE6894" w:rsidP="003A158D">
      <w:pPr>
        <w:tabs>
          <w:tab w:val="left" w:pos="7870"/>
        </w:tabs>
        <w:spacing w:line="360" w:lineRule="auto"/>
        <w:rPr>
          <w:color w:val="1C1D1E"/>
          <w:highlight w:val="yellow"/>
          <w:shd w:val="clear" w:color="auto" w:fill="FFFFFF"/>
        </w:rPr>
      </w:pPr>
      <w:r w:rsidRPr="00C0737B">
        <w:rPr>
          <w:noProof/>
          <w:highlight w:val="yellow"/>
          <w:lang w:val="en-IN" w:eastAsia="en-IN"/>
        </w:rPr>
        <w:drawing>
          <wp:anchor distT="0" distB="0" distL="114300" distR="114300" simplePos="0" relativeHeight="251675648" behindDoc="1" locked="0" layoutInCell="1" allowOverlap="1" wp14:anchorId="2C08138B" wp14:editId="585989B6">
            <wp:simplePos x="0" y="0"/>
            <wp:positionH relativeFrom="column">
              <wp:posOffset>1851025</wp:posOffset>
            </wp:positionH>
            <wp:positionV relativeFrom="paragraph">
              <wp:posOffset>118110</wp:posOffset>
            </wp:positionV>
            <wp:extent cx="1781810" cy="1356995"/>
            <wp:effectExtent l="0" t="0" r="889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810" cy="1356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E64E1">
        <w:rPr>
          <w:noProof/>
          <w:highlight w:val="yellow"/>
          <w:lang w:val="en-IN" w:eastAsia="en-IN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624FF19" wp14:editId="1E80BCEA">
                <wp:simplePos x="0" y="0"/>
                <wp:positionH relativeFrom="column">
                  <wp:posOffset>1847215</wp:posOffset>
                </wp:positionH>
                <wp:positionV relativeFrom="paragraph">
                  <wp:posOffset>102235</wp:posOffset>
                </wp:positionV>
                <wp:extent cx="803910" cy="266065"/>
                <wp:effectExtent l="0" t="0" r="0" b="635"/>
                <wp:wrapNone/>
                <wp:docPr id="52" name="Text Box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03910" cy="2660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D8A2926" w14:textId="77777777" w:rsidR="003A158D" w:rsidRDefault="003A158D" w:rsidP="003A158D">
                            <w:pPr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color w:val="FFFFFF" w:themeColor="background1"/>
                              </w:rPr>
                              <w:t>DAPI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w14:anchorId="6624FF19" id="Text Box 52" o:spid="_x0000_s1031" type="#_x0000_t202" style="position:absolute;margin-left:145.45pt;margin-top:8.05pt;width:63.3pt;height:20.9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" filled="f" stroked="f" strokeweight=".5pt">
                <v:textbox>
                  <w:txbxContent>
                    <w:p w14:paraId="6D8A2926" w14:textId="77777777" w:rsidR="003A158D" w:rsidRDefault="003A158D" w:rsidP="003A158D">
                      <w:pPr>
                        <w:rPr>
                          <w:color w:val="FFFFFF" w:themeColor="background1"/>
                        </w:rPr>
                      </w:pPr>
                      <w:r>
                        <w:rPr>
                          <w:color w:val="FFFFFF" w:themeColor="background1"/>
                        </w:rPr>
                        <w:t>DAPI</w:t>
                      </w:r>
                    </w:p>
                  </w:txbxContent>
                </v:textbox>
              </v:shape>
            </w:pict>
          </mc:Fallback>
        </mc:AlternateContent>
      </w:r>
      <w:r w:rsidRPr="00AE64E1">
        <w:rPr>
          <w:noProof/>
          <w:highlight w:val="yellow"/>
          <w:lang w:val="en-IN" w:eastAsia="en-IN"/>
        </w:rPr>
        <w:drawing>
          <wp:anchor distT="0" distB="0" distL="114300" distR="114300" simplePos="0" relativeHeight="251670528" behindDoc="1" locked="0" layoutInCell="1" allowOverlap="1" wp14:anchorId="0966EAA0" wp14:editId="612FF391">
            <wp:simplePos x="0" y="0"/>
            <wp:positionH relativeFrom="margin">
              <wp:posOffset>-635</wp:posOffset>
            </wp:positionH>
            <wp:positionV relativeFrom="paragraph">
              <wp:posOffset>118110</wp:posOffset>
            </wp:positionV>
            <wp:extent cx="1781810" cy="1356995"/>
            <wp:effectExtent l="0" t="0" r="8890" b="0"/>
            <wp:wrapNone/>
            <wp:docPr id="23" name="Picture 2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0"/>
                    <pic:cNvPicPr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810" cy="1356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9E0035D" w14:textId="77777777" w:rsidR="003A158D" w:rsidRPr="00C0737B" w:rsidRDefault="003A158D" w:rsidP="003A158D">
      <w:pPr>
        <w:spacing w:line="360" w:lineRule="auto"/>
        <w:rPr>
          <w:color w:val="1C1D1E"/>
          <w:highlight w:val="yellow"/>
          <w:shd w:val="clear" w:color="auto" w:fill="FFFFFF"/>
        </w:rPr>
      </w:pPr>
    </w:p>
    <w:p w14:paraId="21EE0E08" w14:textId="77777777" w:rsidR="003A158D" w:rsidRPr="00C0737B" w:rsidRDefault="003A158D" w:rsidP="003A158D">
      <w:pPr>
        <w:spacing w:line="360" w:lineRule="auto"/>
        <w:rPr>
          <w:color w:val="1C1D1E"/>
          <w:highlight w:val="yellow"/>
          <w:shd w:val="clear" w:color="auto" w:fill="FFFFFF"/>
        </w:rPr>
      </w:pPr>
    </w:p>
    <w:p w14:paraId="449D1D80" w14:textId="77777777" w:rsidR="003A158D" w:rsidRPr="00C0737B" w:rsidRDefault="003A158D" w:rsidP="003A158D">
      <w:pPr>
        <w:spacing w:line="360" w:lineRule="auto"/>
        <w:rPr>
          <w:color w:val="1C1D1E"/>
          <w:highlight w:val="yellow"/>
          <w:shd w:val="clear" w:color="auto" w:fill="FFFFFF"/>
        </w:rPr>
      </w:pPr>
    </w:p>
    <w:p w14:paraId="5A81941C" w14:textId="33728418" w:rsidR="003A158D" w:rsidRPr="00C0737B" w:rsidRDefault="00BE6894" w:rsidP="003A158D">
      <w:pPr>
        <w:spacing w:line="360" w:lineRule="auto"/>
        <w:rPr>
          <w:color w:val="1C1D1E"/>
          <w:highlight w:val="yellow"/>
          <w:shd w:val="clear" w:color="auto" w:fill="FFFFFF"/>
        </w:rPr>
      </w:pPr>
      <w:r w:rsidRPr="00C0737B">
        <w:rPr>
          <w:noProof/>
          <w:highlight w:val="yellow"/>
          <w:lang w:val="en-IN" w:eastAsia="en-IN"/>
        </w:rPr>
        <w:drawing>
          <wp:anchor distT="0" distB="0" distL="114300" distR="114300" simplePos="0" relativeHeight="251688960" behindDoc="1" locked="0" layoutInCell="1" allowOverlap="1" wp14:anchorId="6FC78E07" wp14:editId="0EF0FE9A">
            <wp:simplePos x="0" y="0"/>
            <wp:positionH relativeFrom="column">
              <wp:posOffset>1843405</wp:posOffset>
            </wp:positionH>
            <wp:positionV relativeFrom="paragraph">
              <wp:posOffset>128905</wp:posOffset>
            </wp:positionV>
            <wp:extent cx="1781810" cy="1356995"/>
            <wp:effectExtent l="0" t="0" r="889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810" cy="1356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E64E1">
        <w:rPr>
          <w:noProof/>
          <w:highlight w:val="yellow"/>
          <w:lang w:val="en-IN" w:eastAsia="en-IN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0A6E7ABB" wp14:editId="1E0DB54D">
                <wp:simplePos x="0" y="0"/>
                <wp:positionH relativeFrom="column">
                  <wp:posOffset>1838325</wp:posOffset>
                </wp:positionH>
                <wp:positionV relativeFrom="paragraph">
                  <wp:posOffset>118110</wp:posOffset>
                </wp:positionV>
                <wp:extent cx="779145" cy="266065"/>
                <wp:effectExtent l="0" t="0" r="0" b="635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9145" cy="2660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427B888" w14:textId="77777777" w:rsidR="00BE6894" w:rsidRDefault="00BE6894" w:rsidP="003A158D">
                            <w:pPr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color w:val="FFFFFF" w:themeColor="background1"/>
                              </w:rPr>
                              <w:t>MERGE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w14:anchorId="0A6E7ABB" id="Text Box 4" o:spid="_x0000_s1032" type="#_x0000_t202" style="position:absolute;margin-left:144.75pt;margin-top:9.3pt;width:61.35pt;height:20.9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" filled="f" stroked="f" strokeweight=".5pt">
                <v:textbox>
                  <w:txbxContent>
                    <w:p w14:paraId="3427B888" w14:textId="77777777" w:rsidR="00BE6894" w:rsidRDefault="00BE6894" w:rsidP="003A158D">
                      <w:pPr>
                        <w:rPr>
                          <w:color w:val="FFFFFF" w:themeColor="background1"/>
                        </w:rPr>
                      </w:pPr>
                      <w:r>
                        <w:rPr>
                          <w:color w:val="FFFFFF" w:themeColor="background1"/>
                        </w:rPr>
                        <w:t>MERGE</w:t>
                      </w:r>
                    </w:p>
                  </w:txbxContent>
                </v:textbox>
              </v:shape>
            </w:pict>
          </mc:Fallback>
        </mc:AlternateContent>
      </w:r>
      <w:r w:rsidRPr="00AE64E1">
        <w:rPr>
          <w:noProof/>
          <w:highlight w:val="yellow"/>
          <w:lang w:val="en-IN" w:eastAsia="en-IN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4474D58" wp14:editId="456ABE0B">
                <wp:simplePos x="0" y="0"/>
                <wp:positionH relativeFrom="column">
                  <wp:posOffset>10795</wp:posOffset>
                </wp:positionH>
                <wp:positionV relativeFrom="paragraph">
                  <wp:posOffset>127000</wp:posOffset>
                </wp:positionV>
                <wp:extent cx="852805" cy="272415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52805" cy="27241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4E863E0" w14:textId="64EA0D79" w:rsidR="00BE6894" w:rsidRDefault="00BE6894" w:rsidP="003A158D">
                            <w:r>
                              <w:rPr>
                                <w:color w:val="FFFFFF"/>
                                <w:kern w:val="24"/>
                                <w:lang w:val="de-DE"/>
                              </w:rPr>
                              <w:t>MAP</w:t>
                            </w:r>
                            <w:r w:rsidR="00EC13AA">
                              <w:rPr>
                                <w:color w:val="FFFFFF"/>
                                <w:kern w:val="24"/>
                                <w:lang w:val="de-DE"/>
                              </w:rPr>
                              <w:t>-</w:t>
                            </w:r>
                            <w:r>
                              <w:rPr>
                                <w:color w:val="FFFFFF"/>
                                <w:kern w:val="24"/>
                                <w:lang w:val="de-DE"/>
                              </w:rPr>
                              <w:t>2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w14:anchorId="54474D58" id="Text Box 2" o:spid="_x0000_s1033" type="#_x0000_t202" style="position:absolute;margin-left:.85pt;margin-top:10pt;width:67.15pt;height:21.4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" filled="f" stroked="f">
                <v:textbox style="mso-fit-shape-to-text:t">
                  <w:txbxContent>
                    <w:p w14:paraId="34E863E0" w14:textId="64EA0D79" w:rsidR="00BE6894" w:rsidRDefault="00BE6894" w:rsidP="003A158D">
                      <w:r>
                        <w:rPr>
                          <w:color w:val="FFFFFF"/>
                          <w:kern w:val="24"/>
                          <w:lang w:val="de-DE"/>
                        </w:rPr>
                        <w:t>MAP</w:t>
                      </w:r>
                      <w:r w:rsidR="00EC13AA">
                        <w:rPr>
                          <w:color w:val="FFFFFF"/>
                          <w:kern w:val="24"/>
                          <w:lang w:val="de-DE"/>
                        </w:rPr>
                        <w:t>-</w:t>
                      </w:r>
                      <w:r>
                        <w:rPr>
                          <w:color w:val="FFFFFF"/>
                          <w:kern w:val="24"/>
                          <w:lang w:val="de-DE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Pr="00AE64E1">
        <w:rPr>
          <w:noProof/>
          <w:highlight w:val="yellow"/>
          <w:lang w:val="en-IN" w:eastAsia="en-IN"/>
        </w:rPr>
        <w:drawing>
          <wp:anchor distT="0" distB="0" distL="114300" distR="114300" simplePos="0" relativeHeight="251686912" behindDoc="1" locked="0" layoutInCell="1" allowOverlap="1" wp14:anchorId="1774A6B7" wp14:editId="2B098DA1">
            <wp:simplePos x="0" y="0"/>
            <wp:positionH relativeFrom="column">
              <wp:posOffset>-635</wp:posOffset>
            </wp:positionH>
            <wp:positionV relativeFrom="paragraph">
              <wp:posOffset>128905</wp:posOffset>
            </wp:positionV>
            <wp:extent cx="1781810" cy="1356995"/>
            <wp:effectExtent l="0" t="0" r="889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810" cy="1356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81BE37E" w14:textId="77777777" w:rsidR="003A158D" w:rsidRPr="00C0737B" w:rsidRDefault="003A158D" w:rsidP="003A158D">
      <w:pPr>
        <w:spacing w:line="360" w:lineRule="auto"/>
        <w:rPr>
          <w:color w:val="1C1D1E"/>
          <w:highlight w:val="yellow"/>
          <w:shd w:val="clear" w:color="auto" w:fill="FFFFFF"/>
        </w:rPr>
      </w:pPr>
    </w:p>
    <w:p w14:paraId="20F33324" w14:textId="77777777" w:rsidR="003A158D" w:rsidRPr="00C0737B" w:rsidRDefault="003A158D" w:rsidP="003A158D">
      <w:pPr>
        <w:spacing w:line="360" w:lineRule="auto"/>
        <w:rPr>
          <w:color w:val="1C1D1E"/>
          <w:highlight w:val="yellow"/>
          <w:shd w:val="clear" w:color="auto" w:fill="FFFFFF"/>
        </w:rPr>
      </w:pPr>
    </w:p>
    <w:p w14:paraId="2CFDA1CE" w14:textId="77777777" w:rsidR="003A158D" w:rsidRPr="00C0737B" w:rsidRDefault="003A158D" w:rsidP="003A158D">
      <w:pPr>
        <w:spacing w:line="360" w:lineRule="auto"/>
        <w:rPr>
          <w:color w:val="1C1D1E"/>
          <w:highlight w:val="yellow"/>
          <w:shd w:val="clear" w:color="auto" w:fill="FFFFFF"/>
        </w:rPr>
      </w:pPr>
    </w:p>
    <w:p w14:paraId="19351861" w14:textId="77777777" w:rsidR="003A158D" w:rsidRPr="00C0737B" w:rsidRDefault="003A158D" w:rsidP="003A158D">
      <w:pPr>
        <w:spacing w:line="360" w:lineRule="auto"/>
        <w:rPr>
          <w:color w:val="1C1D1E"/>
          <w:highlight w:val="yellow"/>
          <w:shd w:val="clear" w:color="auto" w:fill="FFFFFF"/>
        </w:rPr>
      </w:pPr>
    </w:p>
    <w:p w14:paraId="140D8347" w14:textId="77777777" w:rsidR="00DA759E" w:rsidRPr="00C0737B" w:rsidRDefault="00DA759E" w:rsidP="00AE64E1">
      <w:pPr>
        <w:spacing w:line="360" w:lineRule="auto"/>
      </w:pPr>
    </w:p>
    <w:sectPr w:rsidR="00DA759E" w:rsidRPr="00C0737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F842CDE" w16cid:durableId="25B11DEB"/>
  <w16cid:commentId w16cid:paraId="1CBA1971" w16cid:durableId="25B11DEC"/>
  <w16cid:commentId w16cid:paraId="051CE9D6" w16cid:durableId="25B7C460"/>
  <w16cid:commentId w16cid:paraId="727076F4" w16cid:durableId="25B7C6F5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861377"/>
    <w:multiLevelType w:val="multilevel"/>
    <w:tmpl w:val="2BE43E2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i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  <w:i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  <w:i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  <w:i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  <w:i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  <w:i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  <w:i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  <w:i/>
      </w:rPr>
    </w:lvl>
  </w:abstractNum>
  <w:abstractNum w:abstractNumId="1" w15:restartNumberingAfterBreak="0">
    <w:nsid w:val="11C434EC"/>
    <w:multiLevelType w:val="hybridMultilevel"/>
    <w:tmpl w:val="2CBEBD0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3FCD"/>
    <w:rsid w:val="0009517E"/>
    <w:rsid w:val="00182FCC"/>
    <w:rsid w:val="003A158D"/>
    <w:rsid w:val="00534FA0"/>
    <w:rsid w:val="005A0083"/>
    <w:rsid w:val="0061119D"/>
    <w:rsid w:val="00654155"/>
    <w:rsid w:val="006B3FCD"/>
    <w:rsid w:val="007930B5"/>
    <w:rsid w:val="008A27BA"/>
    <w:rsid w:val="00943F02"/>
    <w:rsid w:val="009F5BFC"/>
    <w:rsid w:val="009F5CED"/>
    <w:rsid w:val="00A21F0A"/>
    <w:rsid w:val="00A84C7D"/>
    <w:rsid w:val="00AA2720"/>
    <w:rsid w:val="00AD6DED"/>
    <w:rsid w:val="00AE64E1"/>
    <w:rsid w:val="00BA2D14"/>
    <w:rsid w:val="00BE6894"/>
    <w:rsid w:val="00C0737B"/>
    <w:rsid w:val="00C07CEF"/>
    <w:rsid w:val="00C9594F"/>
    <w:rsid w:val="00DA759E"/>
    <w:rsid w:val="00DD6EF9"/>
    <w:rsid w:val="00DF6D1B"/>
    <w:rsid w:val="00EC13AA"/>
    <w:rsid w:val="00ED7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EDFCB0"/>
  <w15:docId w15:val="{EF264641-39F3-4A25-AA7F-8AE6197090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930B5"/>
    <w:pPr>
      <w:ind w:left="720"/>
      <w:contextualSpacing/>
    </w:pPr>
    <w:rPr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A158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A158D"/>
    <w:pPr>
      <w:spacing w:line="240" w:lineRule="auto"/>
    </w:pPr>
    <w:rPr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A158D"/>
    <w:rPr>
      <w:sz w:val="20"/>
      <w:szCs w:val="20"/>
      <w:lang w:val="en-US"/>
    </w:rPr>
  </w:style>
  <w:style w:type="table" w:styleId="TableGrid">
    <w:name w:val="Table Grid"/>
    <w:basedOn w:val="TableNormal"/>
    <w:uiPriority w:val="39"/>
    <w:rsid w:val="003A15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A158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158D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3A158D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it-IT" w:eastAsia="it-I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4C7D"/>
    <w:rPr>
      <w:b/>
      <w:bCs/>
      <w:lang w:val="de-CH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4C7D"/>
    <w:rPr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81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2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microsoft.com/office/2016/09/relationships/commentsIds" Target="commentsIds.xml"/><Relationship Id="rId1" Type="http://schemas.openxmlformats.org/officeDocument/2006/relationships/numbering" Target="numbering.xml"/><Relationship Id="rId6" Type="http://schemas.openxmlformats.org/officeDocument/2006/relationships/chart" Target="charts/chart1.xml"/><Relationship Id="rId11" Type="http://schemas.openxmlformats.org/officeDocument/2006/relationships/image" Target="media/image5.jpeg"/><Relationship Id="rId5" Type="http://schemas.openxmlformats.org/officeDocument/2006/relationships/image" Target="media/image1.pn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Users\serena\Desktop\PUK%20UZH\MTT\ANALYSIS%20MDMA%202mtt%2048h%20ok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Users\serena\Desktop\PUK%20UZH\MTT\ANALYSIS%20MDMA%202mtt%2024h-ok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it-IT"/>
              <a:t>48h</a:t>
            </a:r>
          </a:p>
        </c:rich>
      </c:tx>
      <c:layout>
        <c:manualLayout>
          <c:xMode val="edge"/>
          <c:yMode val="edge"/>
          <c:x val="0.46431660742533004"/>
          <c:y val="3.7937183391559104E-2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1905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trendline>
            <c:spPr>
              <a:ln w="19050" cap="rnd">
                <a:solidFill>
                  <a:schemeClr val="accent1"/>
                </a:solidFill>
                <a:prstDash val="sysDot"/>
              </a:ln>
              <a:effectLst/>
            </c:spPr>
            <c:trendlineType val="log"/>
            <c:dispRSqr val="1"/>
            <c:dispEq val="1"/>
            <c:trendlineLbl>
              <c:layout>
                <c:manualLayout>
                  <c:x val="0.10904461942257218"/>
                  <c:y val="-0.3585644502770487"/>
                </c:manualLayout>
              </c:layout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anchor="ctr" anchorCtr="1"/>
                <a:lstStyle/>
                <a:p>
                  <a:pPr>
                    <a:defRPr sz="900" b="0" i="0" u="none" strike="noStrike" kern="1200" baseline="0"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</c:trendlineLbl>
          </c:trendline>
          <c:errBars>
            <c:errDir val="y"/>
            <c:errBarType val="both"/>
            <c:errValType val="cust"/>
            <c:noEndCap val="0"/>
            <c:plus>
              <c:numRef>
                <c:f>'Tabelle1 (2)'!$V$27:$V$31</c:f>
                <c:numCache>
                  <c:formatCode>General</c:formatCode>
                  <c:ptCount val="5"/>
                  <c:pt idx="0">
                    <c:v>17.025109129405358</c:v>
                  </c:pt>
                  <c:pt idx="1">
                    <c:v>16.173282131090975</c:v>
                  </c:pt>
                  <c:pt idx="2">
                    <c:v>4.1188433831611242</c:v>
                  </c:pt>
                  <c:pt idx="3">
                    <c:v>5.0402595837577175</c:v>
                  </c:pt>
                  <c:pt idx="4">
                    <c:v>7.1782874262791188</c:v>
                  </c:pt>
                </c:numCache>
              </c:numRef>
            </c:plus>
            <c:minus>
              <c:numRef>
                <c:f>'Tabelle1 (2)'!$V$27:$V$31</c:f>
                <c:numCache>
                  <c:formatCode>General</c:formatCode>
                  <c:ptCount val="5"/>
                  <c:pt idx="0">
                    <c:v>17.025109129405358</c:v>
                  </c:pt>
                  <c:pt idx="1">
                    <c:v>16.173282131090975</c:v>
                  </c:pt>
                  <c:pt idx="2">
                    <c:v>4.1188433831611242</c:v>
                  </c:pt>
                  <c:pt idx="3">
                    <c:v>5.0402595837577175</c:v>
                  </c:pt>
                  <c:pt idx="4">
                    <c:v>7.1782874262791188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xVal>
            <c:numRef>
              <c:f>'Tabelle1 (2)'!$T$27:$T$31</c:f>
              <c:numCache>
                <c:formatCode>General</c:formatCode>
                <c:ptCount val="5"/>
                <c:pt idx="0">
                  <c:v>0.25</c:v>
                </c:pt>
                <c:pt idx="1">
                  <c:v>0.5</c:v>
                </c:pt>
                <c:pt idx="2">
                  <c:v>1</c:v>
                </c:pt>
                <c:pt idx="3">
                  <c:v>1.5</c:v>
                </c:pt>
                <c:pt idx="4">
                  <c:v>2</c:v>
                </c:pt>
              </c:numCache>
            </c:numRef>
          </c:xVal>
          <c:yVal>
            <c:numRef>
              <c:f>'Tabelle1 (2)'!$U$27:$U$31</c:f>
              <c:numCache>
                <c:formatCode>General</c:formatCode>
                <c:ptCount val="5"/>
                <c:pt idx="0">
                  <c:v>115.23101441981404</c:v>
                </c:pt>
                <c:pt idx="1">
                  <c:v>83.217212270949105</c:v>
                </c:pt>
                <c:pt idx="2">
                  <c:v>55.087807593469506</c:v>
                </c:pt>
                <c:pt idx="3">
                  <c:v>35.732162057053955</c:v>
                </c:pt>
                <c:pt idx="4">
                  <c:v>31.260875864540665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7BDB-4F39-8972-213D70BC879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845439968"/>
        <c:axId val="845440512"/>
      </c:scatterChart>
      <c:valAx>
        <c:axId val="84543996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/>
                  <a:t>Conc</a:t>
                </a:r>
                <a:r>
                  <a:rPr lang="it-IT" baseline="0"/>
                  <a:t> MDMA (mM)</a:t>
                </a:r>
                <a:endParaRPr lang="it-IT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845440512"/>
        <c:crosses val="autoZero"/>
        <c:crossBetween val="midCat"/>
      </c:valAx>
      <c:valAx>
        <c:axId val="84544051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/>
                  <a:t>% cell viability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845439968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it-IT"/>
              <a:t>24h</a:t>
            </a:r>
          </a:p>
        </c:rich>
      </c:tx>
      <c:layout>
        <c:manualLayout>
          <c:xMode val="edge"/>
          <c:yMode val="edge"/>
          <c:x val="0.46995594329546087"/>
          <c:y val="4.5170840843689719E-2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1905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trendline>
            <c:spPr>
              <a:ln w="19050" cap="rnd">
                <a:solidFill>
                  <a:schemeClr val="accent1"/>
                </a:solidFill>
                <a:prstDash val="sysDot"/>
              </a:ln>
              <a:effectLst/>
            </c:spPr>
            <c:trendlineType val="log"/>
            <c:dispRSqr val="1"/>
            <c:dispEq val="1"/>
            <c:trendlineLbl>
              <c:layout>
                <c:manualLayout>
                  <c:x val="6.0626269040141297E-2"/>
                  <c:y val="-0.22429499873772774"/>
                </c:manualLayout>
              </c:layout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anchor="ctr" anchorCtr="1"/>
                <a:lstStyle/>
                <a:p>
                  <a:pPr>
                    <a:defRPr sz="900" b="0" i="0" u="none" strike="noStrike" kern="1200" baseline="0"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</c:trendlineLbl>
          </c:trendline>
          <c:errBars>
            <c:errDir val="y"/>
            <c:errBarType val="both"/>
            <c:errValType val="cust"/>
            <c:noEndCap val="0"/>
            <c:plus>
              <c:numRef>
                <c:f>'Tabelle1 (2)'!$V$27:$V$31</c:f>
                <c:numCache>
                  <c:formatCode>General</c:formatCode>
                  <c:ptCount val="5"/>
                  <c:pt idx="0">
                    <c:v>14.711034054139063</c:v>
                  </c:pt>
                  <c:pt idx="1">
                    <c:v>8.9153357233264803</c:v>
                  </c:pt>
                  <c:pt idx="2">
                    <c:v>5.8714527269242325</c:v>
                  </c:pt>
                  <c:pt idx="3">
                    <c:v>3.017571600227221</c:v>
                  </c:pt>
                  <c:pt idx="4">
                    <c:v>2.9739649792461296</c:v>
                  </c:pt>
                </c:numCache>
              </c:numRef>
            </c:plus>
            <c:minus>
              <c:numRef>
                <c:f>'Tabelle1 (2)'!$V$27:$V$31</c:f>
                <c:numCache>
                  <c:formatCode>General</c:formatCode>
                  <c:ptCount val="5"/>
                  <c:pt idx="0">
                    <c:v>14.711034054139063</c:v>
                  </c:pt>
                  <c:pt idx="1">
                    <c:v>8.9153357233264803</c:v>
                  </c:pt>
                  <c:pt idx="2">
                    <c:v>5.8714527269242325</c:v>
                  </c:pt>
                  <c:pt idx="3">
                    <c:v>3.017571600227221</c:v>
                  </c:pt>
                  <c:pt idx="4">
                    <c:v>2.9739649792461296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xVal>
            <c:numRef>
              <c:f>'Tabelle1 (2)'!$T$27:$T$31</c:f>
              <c:numCache>
                <c:formatCode>General</c:formatCode>
                <c:ptCount val="5"/>
                <c:pt idx="0">
                  <c:v>0.25</c:v>
                </c:pt>
                <c:pt idx="1">
                  <c:v>0.5</c:v>
                </c:pt>
                <c:pt idx="2">
                  <c:v>1</c:v>
                </c:pt>
                <c:pt idx="3">
                  <c:v>1.5</c:v>
                </c:pt>
                <c:pt idx="4">
                  <c:v>2</c:v>
                </c:pt>
              </c:numCache>
            </c:numRef>
          </c:xVal>
          <c:yVal>
            <c:numRef>
              <c:f>'Tabelle1 (2)'!$U$27:$U$31</c:f>
              <c:numCache>
                <c:formatCode>General</c:formatCode>
                <c:ptCount val="5"/>
                <c:pt idx="0">
                  <c:v>91.833613278029944</c:v>
                </c:pt>
                <c:pt idx="1">
                  <c:v>81.031806299321346</c:v>
                </c:pt>
                <c:pt idx="2">
                  <c:v>65.147086964401126</c:v>
                </c:pt>
                <c:pt idx="3">
                  <c:v>53.381263062514485</c:v>
                </c:pt>
                <c:pt idx="4">
                  <c:v>45.602401754946754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7F3E-4F41-BF4E-6D7412E9E61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677541456"/>
        <c:axId val="677539824"/>
      </c:scatterChart>
      <c:valAx>
        <c:axId val="67754145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/>
                  <a:t>Conc MDMA</a:t>
                </a:r>
                <a:r>
                  <a:rPr lang="it-IT" baseline="0"/>
                  <a:t> (</a:t>
                </a:r>
                <a:r>
                  <a:rPr lang="it-IT"/>
                  <a:t>mM)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77539824"/>
        <c:crosses val="autoZero"/>
        <c:crossBetween val="midCat"/>
      </c:valAx>
      <c:valAx>
        <c:axId val="67753982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/>
                  <a:t>% cell</a:t>
                </a:r>
                <a:r>
                  <a:rPr lang="it-IT" baseline="0"/>
                  <a:t> viability</a:t>
                </a:r>
                <a:endParaRPr lang="it-IT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77541456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693</Words>
  <Characters>3952</Characters>
  <Application>Microsoft Office Word</Application>
  <DocSecurity>0</DocSecurity>
  <Lines>32</Lines>
  <Paragraphs>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University of Zurich</Company>
  <LinksUpToDate>false</LinksUpToDate>
  <CharactersWithSpaces>4636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KPPPForschung</dc:creator>
  <cp:lastModifiedBy>Vijayalakshmi R.</cp:lastModifiedBy>
  <cp:revision>2</cp:revision>
  <dcterms:created xsi:type="dcterms:W3CDTF">2022-04-08T06:17:00Z</dcterms:created>
  <dcterms:modified xsi:type="dcterms:W3CDTF">2022-04-08T06:17:00Z</dcterms:modified>
</cp:coreProperties>
</file>