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4A84" w14:textId="577E98CC" w:rsidR="002868E2" w:rsidRPr="00E54F8B" w:rsidRDefault="00264CDC" w:rsidP="00E54F8B">
      <w:pPr>
        <w:pStyle w:val="Title"/>
        <w:spacing w:before="0" w:after="160" w:line="480" w:lineRule="auto"/>
        <w:rPr>
          <w:rFonts w:ascii="Arial" w:hAnsi="Arial" w:cs="Arial"/>
          <w:szCs w:val="24"/>
          <w:lang w:val="en-GB"/>
        </w:rPr>
      </w:pPr>
      <w:r w:rsidRPr="00E54F8B">
        <w:rPr>
          <w:rFonts w:ascii="Arial" w:hAnsi="Arial" w:cs="Arial"/>
          <w:szCs w:val="24"/>
          <w:lang w:val="en-GB"/>
        </w:rPr>
        <w:t>Neural correlates of Theory of Mind in early Alzheimer’s disease</w:t>
      </w:r>
      <w:r w:rsidRPr="00E54F8B" w:rsidDel="00264CDC">
        <w:rPr>
          <w:rFonts w:ascii="Arial" w:hAnsi="Arial" w:cs="Arial"/>
          <w:szCs w:val="24"/>
          <w:lang w:val="en-GB"/>
        </w:rPr>
        <w:t xml:space="preserve"> </w:t>
      </w:r>
    </w:p>
    <w:p w14:paraId="15CB0651" w14:textId="77777777" w:rsidR="00482D7F" w:rsidRPr="007402F7" w:rsidRDefault="00482D7F" w:rsidP="00482D7F">
      <w:pPr>
        <w:spacing w:before="240" w:after="0"/>
        <w:rPr>
          <w:rFonts w:cs="Times New Roman"/>
          <w:b/>
          <w:szCs w:val="24"/>
          <w:lang w:val="it-IT"/>
        </w:rPr>
      </w:pPr>
      <w:r w:rsidRPr="007402F7">
        <w:rPr>
          <w:rFonts w:cs="Times New Roman"/>
          <w:b/>
          <w:szCs w:val="24"/>
          <w:lang w:val="it-IT"/>
        </w:rPr>
        <w:t>Jose Manuel Valera-Bermejo 1, Matteo De Marco 2, Micaela Mitolo 3, Chiara Cerami 4,5, Alessandra Dodich 6, Annalena Venneri 1,2*.</w:t>
      </w:r>
    </w:p>
    <w:p w14:paraId="28BE08A6" w14:textId="77777777" w:rsidR="00482D7F" w:rsidRPr="00533CCF" w:rsidRDefault="00482D7F" w:rsidP="00482D7F">
      <w:pPr>
        <w:spacing w:before="240" w:after="0"/>
        <w:rPr>
          <w:rFonts w:cs="Times New Roman"/>
          <w:szCs w:val="24"/>
          <w:lang w:val="en-GB"/>
        </w:rPr>
      </w:pPr>
      <w:r w:rsidRPr="00D16688">
        <w:rPr>
          <w:rFonts w:cs="Times New Roman"/>
          <w:szCs w:val="24"/>
          <w:vertAlign w:val="superscript"/>
          <w:lang w:val="en-GB"/>
        </w:rPr>
        <w:t xml:space="preserve">1 </w:t>
      </w:r>
      <w:r w:rsidRPr="00533CCF">
        <w:rPr>
          <w:rFonts w:cs="Times New Roman"/>
          <w:szCs w:val="24"/>
          <w:lang w:val="en-GB"/>
        </w:rPr>
        <w:t xml:space="preserve">Department of Neuroscience, University of Sheffield, Sheffield, </w:t>
      </w:r>
      <w:proofErr w:type="gramStart"/>
      <w:r w:rsidRPr="00533CCF">
        <w:rPr>
          <w:rFonts w:cs="Times New Roman"/>
          <w:szCs w:val="24"/>
          <w:lang w:val="en-GB"/>
        </w:rPr>
        <w:t>UK;</w:t>
      </w:r>
      <w:proofErr w:type="gramEnd"/>
    </w:p>
    <w:p w14:paraId="1D5E9D20" w14:textId="77777777" w:rsidR="00482D7F" w:rsidRPr="00D16688" w:rsidRDefault="00482D7F" w:rsidP="00482D7F">
      <w:pPr>
        <w:spacing w:before="240" w:after="0"/>
        <w:rPr>
          <w:rFonts w:cs="Times New Roman"/>
          <w:szCs w:val="24"/>
          <w:vertAlign w:val="superscript"/>
          <w:lang w:val="en-GB"/>
        </w:rPr>
      </w:pPr>
      <w:r w:rsidRPr="00D16688">
        <w:rPr>
          <w:rFonts w:cs="Times New Roman"/>
          <w:szCs w:val="24"/>
          <w:vertAlign w:val="superscript"/>
          <w:lang w:val="en-GB"/>
        </w:rPr>
        <w:t xml:space="preserve">2 </w:t>
      </w:r>
      <w:r w:rsidRPr="00533CCF">
        <w:rPr>
          <w:rFonts w:cs="Times New Roman"/>
          <w:szCs w:val="24"/>
          <w:lang w:val="en-GB"/>
        </w:rPr>
        <w:t>Brunel University London, London, UK</w:t>
      </w:r>
      <w:r w:rsidRPr="00D16688">
        <w:rPr>
          <w:rFonts w:cs="Times New Roman"/>
          <w:szCs w:val="24"/>
          <w:vertAlign w:val="superscript"/>
          <w:lang w:val="en-GB"/>
        </w:rPr>
        <w:t xml:space="preserve"> </w:t>
      </w:r>
    </w:p>
    <w:p w14:paraId="51BE9FC7" w14:textId="77777777" w:rsidR="00482D7F" w:rsidRPr="00533CCF" w:rsidRDefault="00482D7F" w:rsidP="00482D7F">
      <w:pPr>
        <w:spacing w:before="240" w:after="0"/>
        <w:rPr>
          <w:rFonts w:cs="Times New Roman"/>
          <w:szCs w:val="24"/>
          <w:lang w:val="en-GB"/>
        </w:rPr>
      </w:pPr>
      <w:r w:rsidRPr="00D16688">
        <w:rPr>
          <w:rFonts w:cs="Times New Roman"/>
          <w:szCs w:val="24"/>
          <w:vertAlign w:val="superscript"/>
          <w:lang w:val="en-GB"/>
        </w:rPr>
        <w:t xml:space="preserve">3 </w:t>
      </w:r>
      <w:r w:rsidRPr="00533CCF">
        <w:rPr>
          <w:rFonts w:cs="Times New Roman"/>
          <w:szCs w:val="24"/>
          <w:lang w:val="en-GB"/>
        </w:rPr>
        <w:t xml:space="preserve">IRCCS </w:t>
      </w:r>
      <w:proofErr w:type="spellStart"/>
      <w:r w:rsidRPr="00533CCF">
        <w:rPr>
          <w:rFonts w:cs="Times New Roman"/>
          <w:szCs w:val="24"/>
          <w:lang w:val="en-GB"/>
        </w:rPr>
        <w:t>Istituto</w:t>
      </w:r>
      <w:proofErr w:type="spellEnd"/>
      <w:r w:rsidRPr="00533CCF">
        <w:rPr>
          <w:rFonts w:cs="Times New Roman"/>
          <w:szCs w:val="24"/>
          <w:lang w:val="en-GB"/>
        </w:rPr>
        <w:t xml:space="preserve"> </w:t>
      </w:r>
      <w:proofErr w:type="spellStart"/>
      <w:r w:rsidRPr="00533CCF">
        <w:rPr>
          <w:rFonts w:cs="Times New Roman"/>
          <w:szCs w:val="24"/>
          <w:lang w:val="en-GB"/>
        </w:rPr>
        <w:t>delle</w:t>
      </w:r>
      <w:proofErr w:type="spellEnd"/>
      <w:r w:rsidRPr="00533CCF">
        <w:rPr>
          <w:rFonts w:cs="Times New Roman"/>
          <w:szCs w:val="24"/>
          <w:lang w:val="en-GB"/>
        </w:rPr>
        <w:t xml:space="preserve"> </w:t>
      </w:r>
      <w:proofErr w:type="spellStart"/>
      <w:r w:rsidRPr="00533CCF">
        <w:rPr>
          <w:rFonts w:cs="Times New Roman"/>
          <w:szCs w:val="24"/>
          <w:lang w:val="en-GB"/>
        </w:rPr>
        <w:t>Scienze</w:t>
      </w:r>
      <w:proofErr w:type="spellEnd"/>
      <w:r w:rsidRPr="00533CCF">
        <w:rPr>
          <w:rFonts w:cs="Times New Roman"/>
          <w:szCs w:val="24"/>
          <w:lang w:val="en-GB"/>
        </w:rPr>
        <w:t xml:space="preserve"> </w:t>
      </w:r>
      <w:proofErr w:type="spellStart"/>
      <w:r w:rsidRPr="00533CCF">
        <w:rPr>
          <w:rFonts w:cs="Times New Roman"/>
          <w:szCs w:val="24"/>
          <w:lang w:val="en-GB"/>
        </w:rPr>
        <w:t>Neurologiche</w:t>
      </w:r>
      <w:proofErr w:type="spellEnd"/>
      <w:r w:rsidRPr="00533CCF">
        <w:rPr>
          <w:rFonts w:cs="Times New Roman"/>
          <w:szCs w:val="24"/>
          <w:lang w:val="en-GB"/>
        </w:rPr>
        <w:t xml:space="preserve"> di Bologna, Functional and Molecular Neuroimaging Unit, Bologna, </w:t>
      </w:r>
      <w:proofErr w:type="gramStart"/>
      <w:r w:rsidRPr="00533CCF">
        <w:rPr>
          <w:rFonts w:cs="Times New Roman"/>
          <w:szCs w:val="24"/>
          <w:lang w:val="en-GB"/>
        </w:rPr>
        <w:t>Italy;</w:t>
      </w:r>
      <w:proofErr w:type="gramEnd"/>
    </w:p>
    <w:p w14:paraId="19047641" w14:textId="77777777" w:rsidR="00482D7F" w:rsidRPr="007402F7" w:rsidRDefault="00482D7F" w:rsidP="00482D7F">
      <w:pPr>
        <w:spacing w:before="240" w:after="0"/>
        <w:rPr>
          <w:rFonts w:cs="Times New Roman"/>
          <w:szCs w:val="24"/>
          <w:lang w:val="it-IT"/>
        </w:rPr>
      </w:pPr>
      <w:r w:rsidRPr="007402F7">
        <w:rPr>
          <w:rFonts w:cs="Times New Roman"/>
          <w:szCs w:val="24"/>
          <w:vertAlign w:val="superscript"/>
          <w:lang w:val="it-IT"/>
        </w:rPr>
        <w:t xml:space="preserve">4 </w:t>
      </w:r>
      <w:r w:rsidRPr="007402F7">
        <w:rPr>
          <w:rFonts w:cs="Times New Roman"/>
          <w:szCs w:val="24"/>
          <w:lang w:val="it-IT"/>
        </w:rPr>
        <w:t>Scuola Universitaria di Studi Superiori IUSS Pavia, Pavia, Italy</w:t>
      </w:r>
    </w:p>
    <w:p w14:paraId="5B3950BC" w14:textId="77777777" w:rsidR="00482D7F" w:rsidRPr="007402F7" w:rsidRDefault="00482D7F" w:rsidP="00482D7F">
      <w:pPr>
        <w:spacing w:before="240" w:after="0"/>
        <w:rPr>
          <w:rFonts w:cs="Times New Roman"/>
          <w:szCs w:val="24"/>
          <w:lang w:val="it-IT"/>
        </w:rPr>
      </w:pPr>
      <w:r w:rsidRPr="007402F7">
        <w:rPr>
          <w:rFonts w:cs="Times New Roman"/>
          <w:szCs w:val="24"/>
          <w:vertAlign w:val="superscript"/>
          <w:lang w:val="it-IT"/>
        </w:rPr>
        <w:t xml:space="preserve">5 </w:t>
      </w:r>
      <w:r w:rsidRPr="007402F7">
        <w:rPr>
          <w:rFonts w:cs="Times New Roman"/>
          <w:szCs w:val="24"/>
          <w:lang w:val="it-IT"/>
        </w:rPr>
        <w:t>Cognitive Computational Neuroscience Research Unit, IRCCS Mondino Foundation, Pavia, Italy</w:t>
      </w:r>
    </w:p>
    <w:p w14:paraId="40DB342F" w14:textId="77777777" w:rsidR="00482D7F" w:rsidRPr="007402F7" w:rsidRDefault="00482D7F" w:rsidP="00482D7F">
      <w:pPr>
        <w:spacing w:before="240" w:after="0"/>
        <w:rPr>
          <w:rFonts w:cs="Times New Roman"/>
          <w:szCs w:val="24"/>
          <w:lang w:val="it-IT"/>
        </w:rPr>
      </w:pPr>
      <w:r w:rsidRPr="007402F7">
        <w:rPr>
          <w:rFonts w:cs="Times New Roman"/>
          <w:szCs w:val="24"/>
          <w:vertAlign w:val="superscript"/>
          <w:lang w:val="it-IT"/>
        </w:rPr>
        <w:t xml:space="preserve">6 </w:t>
      </w:r>
      <w:r w:rsidRPr="007402F7">
        <w:rPr>
          <w:rFonts w:cs="Times New Roman"/>
          <w:szCs w:val="24"/>
          <w:lang w:val="it-IT"/>
        </w:rPr>
        <w:t xml:space="preserve">CIMeC Università degli Studi di Trento, Rovereto, Italy </w:t>
      </w:r>
    </w:p>
    <w:p w14:paraId="39D5D20E" w14:textId="77777777" w:rsidR="005C1EB9" w:rsidRPr="00E54F8B" w:rsidRDefault="005C1EB9" w:rsidP="00E54F8B">
      <w:pPr>
        <w:spacing w:before="0" w:after="160" w:line="480" w:lineRule="auto"/>
        <w:rPr>
          <w:rFonts w:ascii="Arial" w:hAnsi="Arial" w:cs="Arial"/>
          <w:szCs w:val="24"/>
          <w:lang w:val="en-GB"/>
        </w:rPr>
      </w:pPr>
    </w:p>
    <w:p w14:paraId="3895C005" w14:textId="5713B5AE" w:rsidR="00264CDC" w:rsidRPr="00E54F8B" w:rsidRDefault="005C1EB9" w:rsidP="00E54F8B">
      <w:pPr>
        <w:spacing w:before="0" w:after="160" w:line="480" w:lineRule="auto"/>
        <w:jc w:val="center"/>
        <w:rPr>
          <w:rFonts w:ascii="Arial" w:hAnsi="Arial" w:cs="Arial"/>
          <w:b/>
          <w:i/>
          <w:szCs w:val="24"/>
          <w:lang w:val="en-GB"/>
        </w:rPr>
      </w:pPr>
      <w:r w:rsidRPr="00E54F8B">
        <w:rPr>
          <w:rFonts w:ascii="Arial" w:hAnsi="Arial" w:cs="Arial"/>
          <w:b/>
          <w:i/>
          <w:szCs w:val="24"/>
          <w:lang w:val="en-GB"/>
        </w:rPr>
        <w:t>Supplementary Material</w:t>
      </w:r>
    </w:p>
    <w:p w14:paraId="093E7364" w14:textId="4473692D" w:rsidR="00264CDC" w:rsidRPr="00E54F8B" w:rsidRDefault="00264CDC" w:rsidP="00E54F8B">
      <w:pPr>
        <w:spacing w:before="0" w:after="160" w:line="480" w:lineRule="auto"/>
        <w:rPr>
          <w:rFonts w:ascii="Arial" w:eastAsia="Times New Roman" w:hAnsi="Arial" w:cs="Arial"/>
          <w:szCs w:val="24"/>
          <w:lang w:val="en-GB" w:eastAsia="en-GB"/>
        </w:rPr>
      </w:pPr>
      <w:proofErr w:type="gramStart"/>
      <w:r w:rsidRPr="00E54F8B">
        <w:rPr>
          <w:rFonts w:ascii="Arial" w:eastAsia="Times New Roman" w:hAnsi="Arial" w:cs="Arial"/>
          <w:szCs w:val="24"/>
          <w:lang w:val="en-GB" w:eastAsia="en-GB"/>
        </w:rPr>
        <w:t>In order to</w:t>
      </w:r>
      <w:proofErr w:type="gramEnd"/>
      <w:r w:rsidRPr="00E54F8B">
        <w:rPr>
          <w:rFonts w:ascii="Arial" w:eastAsia="Times New Roman" w:hAnsi="Arial" w:cs="Arial"/>
          <w:szCs w:val="24"/>
          <w:lang w:val="en-GB" w:eastAsia="en-GB"/>
        </w:rPr>
        <w:t xml:space="preserve"> characterise the </w:t>
      </w:r>
      <w:r w:rsidR="001D09FE" w:rsidRPr="00E54F8B">
        <w:rPr>
          <w:rFonts w:ascii="Arial" w:eastAsia="Times New Roman" w:hAnsi="Arial" w:cs="Arial"/>
          <w:szCs w:val="24"/>
          <w:lang w:val="en-GB" w:eastAsia="en-GB"/>
        </w:rPr>
        <w:t>neurological status of patients</w:t>
      </w:r>
      <w:r w:rsidRPr="00E54F8B">
        <w:rPr>
          <w:rFonts w:ascii="Arial" w:eastAsia="Times New Roman" w:hAnsi="Arial" w:cs="Arial"/>
          <w:szCs w:val="24"/>
          <w:lang w:val="en-GB" w:eastAsia="en-GB"/>
        </w:rPr>
        <w:t xml:space="preserve"> in more detail</w:t>
      </w:r>
      <w:r w:rsidR="001D09FE" w:rsidRPr="00E54F8B">
        <w:rPr>
          <w:rFonts w:ascii="Arial" w:eastAsia="Times New Roman" w:hAnsi="Arial" w:cs="Arial"/>
          <w:szCs w:val="24"/>
          <w:lang w:val="en-GB" w:eastAsia="en-GB"/>
        </w:rPr>
        <w:t xml:space="preserve">, we compared their neurofunctional architecture with that of the </w:t>
      </w:r>
      <w:r w:rsidR="00D078EA">
        <w:rPr>
          <w:rFonts w:ascii="Arial" w:eastAsia="Times New Roman" w:hAnsi="Arial" w:cs="Arial"/>
          <w:szCs w:val="24"/>
          <w:lang w:val="en-GB" w:eastAsia="en-GB"/>
        </w:rPr>
        <w:t xml:space="preserve">healthy </w:t>
      </w:r>
      <w:r w:rsidR="001D09FE" w:rsidRPr="00E54F8B">
        <w:rPr>
          <w:rFonts w:ascii="Arial" w:eastAsia="Times New Roman" w:hAnsi="Arial" w:cs="Arial"/>
          <w:szCs w:val="24"/>
          <w:lang w:val="en-GB" w:eastAsia="en-GB"/>
        </w:rPr>
        <w:t xml:space="preserve">control group. This was carried out </w:t>
      </w:r>
      <w:r w:rsidR="00990726" w:rsidRPr="00E54F8B">
        <w:rPr>
          <w:rFonts w:ascii="Arial" w:eastAsia="Times New Roman" w:hAnsi="Arial" w:cs="Arial"/>
          <w:szCs w:val="24"/>
          <w:lang w:val="en-GB" w:eastAsia="en-GB"/>
        </w:rPr>
        <w:t xml:space="preserve">with the same rationale </w:t>
      </w:r>
      <w:r w:rsidR="002D7B74">
        <w:rPr>
          <w:rFonts w:ascii="Arial" w:eastAsia="Times New Roman" w:hAnsi="Arial" w:cs="Arial"/>
          <w:szCs w:val="24"/>
          <w:lang w:val="en-GB" w:eastAsia="en-GB"/>
        </w:rPr>
        <w:t>as</w:t>
      </w:r>
      <w:r w:rsidR="00990726" w:rsidRPr="00E54F8B">
        <w:rPr>
          <w:rFonts w:ascii="Arial" w:eastAsia="Times New Roman" w:hAnsi="Arial" w:cs="Arial"/>
          <w:szCs w:val="24"/>
          <w:lang w:val="en-GB" w:eastAsia="en-GB"/>
        </w:rPr>
        <w:t xml:space="preserve"> the </w:t>
      </w:r>
      <w:r w:rsidR="002D7B74">
        <w:rPr>
          <w:rFonts w:ascii="Arial" w:eastAsia="Times New Roman" w:hAnsi="Arial" w:cs="Arial"/>
          <w:szCs w:val="24"/>
          <w:lang w:val="en-GB" w:eastAsia="en-GB"/>
        </w:rPr>
        <w:t>‘</w:t>
      </w:r>
      <w:r w:rsidR="00990726" w:rsidRPr="00E54F8B">
        <w:rPr>
          <w:rFonts w:ascii="Arial" w:eastAsia="Times New Roman" w:hAnsi="Arial" w:cs="Arial"/>
          <w:szCs w:val="24"/>
          <w:lang w:val="en-GB" w:eastAsia="en-GB"/>
        </w:rPr>
        <w:t>patients-vs.-controls</w:t>
      </w:r>
      <w:r w:rsidR="002D7B74">
        <w:rPr>
          <w:rFonts w:ascii="Arial" w:eastAsia="Times New Roman" w:hAnsi="Arial" w:cs="Arial"/>
          <w:szCs w:val="24"/>
          <w:lang w:val="en-GB" w:eastAsia="en-GB"/>
        </w:rPr>
        <w:t>’</w:t>
      </w:r>
      <w:r w:rsidR="00990726" w:rsidRPr="00E54F8B">
        <w:rPr>
          <w:rFonts w:ascii="Arial" w:eastAsia="Times New Roman" w:hAnsi="Arial" w:cs="Arial"/>
          <w:szCs w:val="24"/>
          <w:lang w:val="en-GB" w:eastAsia="en-GB"/>
        </w:rPr>
        <w:t xml:space="preserve"> </w:t>
      </w:r>
      <w:r w:rsidR="00492D2D" w:rsidRPr="00E54F8B">
        <w:rPr>
          <w:rFonts w:ascii="Arial" w:eastAsia="Times New Roman" w:hAnsi="Arial" w:cs="Arial"/>
          <w:szCs w:val="24"/>
          <w:lang w:val="en-GB" w:eastAsia="en-GB"/>
        </w:rPr>
        <w:t xml:space="preserve">grey-matter map </w:t>
      </w:r>
      <w:r w:rsidR="00990726" w:rsidRPr="00E54F8B">
        <w:rPr>
          <w:rFonts w:ascii="Arial" w:eastAsia="Times New Roman" w:hAnsi="Arial" w:cs="Arial"/>
          <w:szCs w:val="24"/>
          <w:lang w:val="en-GB" w:eastAsia="en-GB"/>
        </w:rPr>
        <w:t xml:space="preserve">comparison </w:t>
      </w:r>
      <w:r w:rsidR="00492D2D" w:rsidRPr="00E54F8B">
        <w:rPr>
          <w:rFonts w:ascii="Arial" w:eastAsia="Times New Roman" w:hAnsi="Arial" w:cs="Arial"/>
          <w:szCs w:val="24"/>
          <w:lang w:val="en-GB" w:eastAsia="en-GB"/>
        </w:rPr>
        <w:t xml:space="preserve">described in the </w:t>
      </w:r>
      <w:r w:rsidR="00D078EA">
        <w:rPr>
          <w:rFonts w:ascii="Arial" w:eastAsia="Times New Roman" w:hAnsi="Arial" w:cs="Arial"/>
          <w:szCs w:val="24"/>
          <w:lang w:val="en-GB" w:eastAsia="en-GB"/>
        </w:rPr>
        <w:t xml:space="preserve">main </w:t>
      </w:r>
      <w:r w:rsidR="00492D2D" w:rsidRPr="00E54F8B">
        <w:rPr>
          <w:rFonts w:ascii="Arial" w:eastAsia="Times New Roman" w:hAnsi="Arial" w:cs="Arial"/>
          <w:szCs w:val="24"/>
          <w:lang w:val="en-GB" w:eastAsia="en-GB"/>
        </w:rPr>
        <w:t>manuscript.</w:t>
      </w:r>
    </w:p>
    <w:p w14:paraId="63208E39" w14:textId="3EE0C53E" w:rsidR="003D0E61" w:rsidRPr="00E54F8B" w:rsidRDefault="00492D2D" w:rsidP="00E54F8B">
      <w:pPr>
        <w:spacing w:before="0" w:after="160" w:line="480" w:lineRule="auto"/>
        <w:rPr>
          <w:rFonts w:ascii="Arial" w:eastAsia="Times New Roman" w:hAnsi="Arial" w:cs="Arial"/>
          <w:szCs w:val="24"/>
          <w:lang w:val="en-GB" w:eastAsia="en-GB"/>
        </w:rPr>
      </w:pPr>
      <w:r w:rsidRPr="00E54F8B">
        <w:rPr>
          <w:rFonts w:ascii="Arial" w:eastAsia="Times New Roman" w:hAnsi="Arial" w:cs="Arial"/>
          <w:szCs w:val="24"/>
          <w:lang w:val="en-GB" w:eastAsia="en-GB"/>
        </w:rPr>
        <w:t>A r</w:t>
      </w:r>
      <w:r w:rsidR="001D09FE" w:rsidRPr="00E54F8B">
        <w:rPr>
          <w:rFonts w:ascii="Arial" w:eastAsia="Times New Roman" w:hAnsi="Arial" w:cs="Arial"/>
          <w:szCs w:val="24"/>
          <w:lang w:val="en-GB" w:eastAsia="en-GB"/>
        </w:rPr>
        <w:t xml:space="preserve">esting-state fMRI sequence </w:t>
      </w:r>
      <w:r w:rsidRPr="00E54F8B">
        <w:rPr>
          <w:rFonts w:ascii="Arial" w:eastAsia="Times New Roman" w:hAnsi="Arial" w:cs="Arial"/>
          <w:szCs w:val="24"/>
          <w:lang w:val="en-GB" w:eastAsia="en-GB"/>
        </w:rPr>
        <w:t xml:space="preserve">was also acquired for each of the </w:t>
      </w:r>
      <w:r w:rsidR="001D09FE" w:rsidRPr="00E54F8B">
        <w:rPr>
          <w:rFonts w:ascii="Arial" w:eastAsia="Times New Roman" w:hAnsi="Arial" w:cs="Arial"/>
          <w:szCs w:val="24"/>
          <w:lang w:val="en-GB" w:eastAsia="en-GB"/>
        </w:rPr>
        <w:t>34 controls</w:t>
      </w:r>
      <w:r w:rsidRPr="00E54F8B">
        <w:rPr>
          <w:rFonts w:ascii="Arial" w:eastAsia="Times New Roman" w:hAnsi="Arial" w:cs="Arial"/>
          <w:szCs w:val="24"/>
          <w:lang w:val="en-GB" w:eastAsia="en-GB"/>
        </w:rPr>
        <w:t xml:space="preserve">.  </w:t>
      </w:r>
      <w:r w:rsidR="002D7B74">
        <w:rPr>
          <w:rFonts w:ascii="Arial" w:eastAsia="Times New Roman" w:hAnsi="Arial" w:cs="Arial"/>
          <w:szCs w:val="24"/>
          <w:lang w:val="en-GB" w:eastAsia="en-GB"/>
        </w:rPr>
        <w:t>This</w:t>
      </w:r>
      <w:r w:rsidRPr="00E54F8B">
        <w:rPr>
          <w:rFonts w:ascii="Arial" w:eastAsia="Times New Roman" w:hAnsi="Arial" w:cs="Arial"/>
          <w:szCs w:val="24"/>
          <w:lang w:val="en-GB" w:eastAsia="en-GB"/>
        </w:rPr>
        <w:t xml:space="preserve"> w</w:t>
      </w:r>
      <w:r w:rsidR="002D7B74">
        <w:rPr>
          <w:rFonts w:ascii="Arial" w:eastAsia="Times New Roman" w:hAnsi="Arial" w:cs="Arial"/>
          <w:szCs w:val="24"/>
          <w:lang w:val="en-GB" w:eastAsia="en-GB"/>
        </w:rPr>
        <w:t>as</w:t>
      </w:r>
      <w:r w:rsidRPr="00E54F8B">
        <w:rPr>
          <w:rFonts w:ascii="Arial" w:eastAsia="Times New Roman" w:hAnsi="Arial" w:cs="Arial"/>
          <w:szCs w:val="24"/>
          <w:lang w:val="en-GB" w:eastAsia="en-GB"/>
        </w:rPr>
        <w:t xml:space="preserve"> based on the same technical specifications as t</w:t>
      </w:r>
      <w:r w:rsidR="003D0E61" w:rsidRPr="00E54F8B">
        <w:rPr>
          <w:rFonts w:ascii="Arial" w:eastAsia="Times New Roman" w:hAnsi="Arial" w:cs="Arial"/>
          <w:szCs w:val="24"/>
          <w:lang w:val="en-GB" w:eastAsia="en-GB"/>
        </w:rPr>
        <w:t xml:space="preserve">hose of the patients’ images.  Similarly, the same routines were applied to </w:t>
      </w:r>
      <w:proofErr w:type="spellStart"/>
      <w:r w:rsidR="003D0E61" w:rsidRPr="00E54F8B">
        <w:rPr>
          <w:rFonts w:ascii="Arial" w:eastAsia="Times New Roman" w:hAnsi="Arial" w:cs="Arial"/>
          <w:szCs w:val="24"/>
          <w:lang w:val="en-GB" w:eastAsia="en-GB"/>
        </w:rPr>
        <w:t>preprocess</w:t>
      </w:r>
      <w:r w:rsidR="00065195">
        <w:rPr>
          <w:rFonts w:ascii="Arial" w:eastAsia="Times New Roman" w:hAnsi="Arial" w:cs="Arial"/>
          <w:szCs w:val="24"/>
          <w:lang w:val="en-GB" w:eastAsia="en-GB"/>
        </w:rPr>
        <w:t>ing</w:t>
      </w:r>
      <w:proofErr w:type="spellEnd"/>
      <w:r w:rsidR="00065195">
        <w:rPr>
          <w:rFonts w:ascii="Arial" w:eastAsia="Times New Roman" w:hAnsi="Arial" w:cs="Arial"/>
          <w:szCs w:val="24"/>
          <w:lang w:val="en-GB" w:eastAsia="en-GB"/>
        </w:rPr>
        <w:t xml:space="preserve"> of</w:t>
      </w:r>
      <w:r w:rsidR="003D0E61" w:rsidRPr="00E54F8B">
        <w:rPr>
          <w:rFonts w:ascii="Arial" w:eastAsia="Times New Roman" w:hAnsi="Arial" w:cs="Arial"/>
          <w:szCs w:val="24"/>
          <w:lang w:val="en-GB" w:eastAsia="en-GB"/>
        </w:rPr>
        <w:t xml:space="preserve"> these images.</w:t>
      </w:r>
    </w:p>
    <w:p w14:paraId="42E2BFBF" w14:textId="2C9E5D9F" w:rsidR="001D09FE" w:rsidRPr="00E54F8B" w:rsidRDefault="003D0E61" w:rsidP="00E54F8B">
      <w:pPr>
        <w:spacing w:before="0" w:after="160" w:line="480" w:lineRule="auto"/>
        <w:rPr>
          <w:rFonts w:ascii="Arial" w:eastAsia="Times New Roman" w:hAnsi="Arial" w:cs="Arial"/>
          <w:szCs w:val="24"/>
          <w:lang w:val="en-GB" w:eastAsia="en-GB"/>
        </w:rPr>
      </w:pPr>
      <w:r w:rsidRPr="00E54F8B">
        <w:rPr>
          <w:rFonts w:ascii="Arial" w:eastAsia="Times New Roman" w:hAnsi="Arial" w:cs="Arial"/>
          <w:szCs w:val="24"/>
          <w:lang w:val="en-GB" w:eastAsia="en-GB"/>
        </w:rPr>
        <w:t>A second group-level independent component analysis (ICA) was thus run, this time across the entire cohort</w:t>
      </w:r>
      <w:r w:rsidR="00065195">
        <w:rPr>
          <w:rFonts w:ascii="Arial" w:eastAsia="Times New Roman" w:hAnsi="Arial" w:cs="Arial"/>
          <w:szCs w:val="24"/>
          <w:lang w:val="en-GB" w:eastAsia="en-GB"/>
        </w:rPr>
        <w:t xml:space="preserve"> of patients and healthy controls</w:t>
      </w:r>
      <w:r w:rsidRPr="00E54F8B">
        <w:rPr>
          <w:rFonts w:ascii="Arial" w:eastAsia="Times New Roman" w:hAnsi="Arial" w:cs="Arial"/>
          <w:szCs w:val="24"/>
          <w:lang w:val="en-GB" w:eastAsia="en-GB"/>
        </w:rPr>
        <w:t xml:space="preserve"> (</w:t>
      </w:r>
      <w:r w:rsidRPr="00E54F8B">
        <w:rPr>
          <w:rFonts w:ascii="Arial" w:eastAsia="Times New Roman" w:hAnsi="Arial" w:cs="Arial"/>
          <w:i/>
          <w:szCs w:val="24"/>
          <w:lang w:val="en-GB" w:eastAsia="en-GB"/>
        </w:rPr>
        <w:t>n</w:t>
      </w:r>
      <w:r w:rsidRPr="00E54F8B">
        <w:rPr>
          <w:rFonts w:ascii="Arial" w:eastAsia="Times New Roman" w:hAnsi="Arial" w:cs="Arial"/>
          <w:szCs w:val="24"/>
          <w:lang w:val="en-GB" w:eastAsia="en-GB"/>
        </w:rPr>
        <w:t xml:space="preserve"> = 80).  This was carried out using the GIFT toolbox via the same methodology described in the manuscript that was applied to the first ICA.</w:t>
      </w:r>
    </w:p>
    <w:p w14:paraId="15035EAD" w14:textId="17F79B4F" w:rsidR="003D0E61" w:rsidRPr="00E54F8B" w:rsidRDefault="003D0E61" w:rsidP="00E54F8B">
      <w:pPr>
        <w:spacing w:before="0" w:after="160" w:line="480" w:lineRule="auto"/>
        <w:rPr>
          <w:rFonts w:ascii="Arial" w:eastAsia="Times New Roman" w:hAnsi="Arial" w:cs="Arial"/>
          <w:szCs w:val="24"/>
          <w:lang w:val="en-GB" w:eastAsia="en-GB"/>
        </w:rPr>
      </w:pPr>
      <w:r w:rsidRPr="00E54F8B">
        <w:rPr>
          <w:rFonts w:ascii="Arial" w:eastAsia="Times New Roman" w:hAnsi="Arial" w:cs="Arial"/>
          <w:szCs w:val="24"/>
          <w:lang w:val="en-GB" w:eastAsia="en-GB"/>
        </w:rPr>
        <w:lastRenderedPageBreak/>
        <w:t xml:space="preserve">The output of this second ICA was reviewed to identify and select the five components corresponding to the five networks of interest investigated in the main section of the study. </w:t>
      </w:r>
      <w:r w:rsidR="002D7B74">
        <w:rPr>
          <w:rFonts w:ascii="Arial" w:eastAsia="Times New Roman" w:hAnsi="Arial" w:cs="Arial"/>
          <w:szCs w:val="24"/>
          <w:lang w:val="en-GB" w:eastAsia="en-GB"/>
        </w:rPr>
        <w:t xml:space="preserve"> </w:t>
      </w:r>
      <w:r w:rsidRPr="00E54F8B">
        <w:rPr>
          <w:rFonts w:ascii="Arial" w:eastAsia="Times New Roman" w:hAnsi="Arial" w:cs="Arial"/>
          <w:szCs w:val="24"/>
          <w:lang w:val="en-GB" w:eastAsia="en-GB"/>
        </w:rPr>
        <w:t xml:space="preserve">An independent-sample </w:t>
      </w:r>
      <w:r w:rsidRPr="00E54F8B">
        <w:rPr>
          <w:rFonts w:ascii="Arial" w:eastAsia="Times New Roman" w:hAnsi="Arial" w:cs="Arial"/>
          <w:i/>
          <w:szCs w:val="24"/>
          <w:lang w:val="en-GB" w:eastAsia="en-GB"/>
        </w:rPr>
        <w:t>t</w:t>
      </w:r>
      <w:r w:rsidRPr="00E54F8B">
        <w:rPr>
          <w:rFonts w:ascii="Arial" w:eastAsia="Times New Roman" w:hAnsi="Arial" w:cs="Arial"/>
          <w:szCs w:val="24"/>
          <w:lang w:val="en-GB" w:eastAsia="en-GB"/>
        </w:rPr>
        <w:t xml:space="preserve">-test model was then run to compare patients and </w:t>
      </w:r>
      <w:r w:rsidR="00065195">
        <w:rPr>
          <w:rFonts w:ascii="Arial" w:eastAsia="Times New Roman" w:hAnsi="Arial" w:cs="Arial"/>
          <w:szCs w:val="24"/>
          <w:lang w:val="en-GB" w:eastAsia="en-GB"/>
        </w:rPr>
        <w:t xml:space="preserve">healthy </w:t>
      </w:r>
      <w:r w:rsidRPr="00E54F8B">
        <w:rPr>
          <w:rFonts w:ascii="Arial" w:eastAsia="Times New Roman" w:hAnsi="Arial" w:cs="Arial"/>
          <w:szCs w:val="24"/>
          <w:lang w:val="en-GB" w:eastAsia="en-GB"/>
        </w:rPr>
        <w:t>controls for each network</w:t>
      </w:r>
      <w:r w:rsidR="00EF1ADF" w:rsidRPr="00E54F8B">
        <w:rPr>
          <w:rFonts w:ascii="Arial" w:eastAsia="Times New Roman" w:hAnsi="Arial" w:cs="Arial"/>
          <w:szCs w:val="24"/>
          <w:lang w:val="en-GB" w:eastAsia="en-GB"/>
        </w:rPr>
        <w:t xml:space="preserve">, controlling for age and years of education.  A conservative cluster-forming threshold of </w:t>
      </w:r>
      <w:r w:rsidR="00EF1ADF" w:rsidRPr="00E54F8B">
        <w:rPr>
          <w:rFonts w:ascii="Arial" w:eastAsia="Times New Roman" w:hAnsi="Arial" w:cs="Arial"/>
          <w:i/>
          <w:szCs w:val="24"/>
          <w:lang w:val="en-GB" w:eastAsia="en-GB"/>
        </w:rPr>
        <w:t>p</w:t>
      </w:r>
      <w:r w:rsidR="00EF1ADF" w:rsidRPr="00E54F8B">
        <w:rPr>
          <w:rFonts w:ascii="Arial" w:eastAsia="Times New Roman" w:hAnsi="Arial" w:cs="Arial"/>
          <w:szCs w:val="24"/>
          <w:lang w:val="en-GB" w:eastAsia="en-GB"/>
        </w:rPr>
        <w:t xml:space="preserve"> &lt; 0.005 was applied to these models and only clusters surviving a </w:t>
      </w:r>
      <w:r w:rsidR="00226533">
        <w:rPr>
          <w:rFonts w:ascii="Arial" w:eastAsia="Times New Roman" w:hAnsi="Arial" w:cs="Arial"/>
          <w:szCs w:val="24"/>
          <w:lang w:val="en-GB" w:eastAsia="en-GB"/>
        </w:rPr>
        <w:t xml:space="preserve">Family-Wise Error-corrected </w:t>
      </w:r>
      <w:r w:rsidR="00EF1ADF" w:rsidRPr="00226533">
        <w:rPr>
          <w:rFonts w:ascii="Arial" w:eastAsia="Times New Roman" w:hAnsi="Arial" w:cs="Arial"/>
          <w:i/>
          <w:szCs w:val="24"/>
          <w:lang w:val="en-GB" w:eastAsia="en-GB"/>
        </w:rPr>
        <w:t>p</w:t>
      </w:r>
      <w:r w:rsidR="00EF1ADF" w:rsidRPr="00E54F8B">
        <w:rPr>
          <w:rFonts w:ascii="Arial" w:eastAsia="Times New Roman" w:hAnsi="Arial" w:cs="Arial"/>
          <w:szCs w:val="24"/>
          <w:lang w:val="en-GB" w:eastAsia="en-GB"/>
        </w:rPr>
        <w:t xml:space="preserve"> &lt; 0.05 were reported as significant.</w:t>
      </w:r>
    </w:p>
    <w:p w14:paraId="37177361" w14:textId="3A027C42" w:rsidR="00814919" w:rsidRDefault="00226533" w:rsidP="00E54F8B">
      <w:pPr>
        <w:spacing w:before="0" w:after="160" w:line="480" w:lineRule="auto"/>
        <w:rPr>
          <w:rFonts w:ascii="Arial" w:eastAsia="Times New Roman" w:hAnsi="Arial" w:cs="Arial"/>
          <w:szCs w:val="24"/>
          <w:lang w:val="en-GB" w:eastAsia="en-GB"/>
        </w:rPr>
      </w:pPr>
      <w:r>
        <w:rPr>
          <w:rFonts w:ascii="Arial" w:eastAsia="Times New Roman" w:hAnsi="Arial" w:cs="Arial"/>
          <w:szCs w:val="24"/>
          <w:lang w:val="en-GB" w:eastAsia="en-GB"/>
        </w:rPr>
        <w:t xml:space="preserve">Two clusters emerged as significant from this set of analyses.  </w:t>
      </w:r>
      <w:r w:rsidR="00EF1ADF" w:rsidRPr="00E54F8B">
        <w:rPr>
          <w:rFonts w:ascii="Arial" w:eastAsia="Times New Roman" w:hAnsi="Arial" w:cs="Arial"/>
          <w:szCs w:val="24"/>
          <w:lang w:val="en-GB" w:eastAsia="en-GB"/>
        </w:rPr>
        <w:t xml:space="preserve">A </w:t>
      </w:r>
      <w:r>
        <w:rPr>
          <w:rFonts w:ascii="Arial" w:eastAsia="Times New Roman" w:hAnsi="Arial" w:cs="Arial"/>
          <w:szCs w:val="24"/>
          <w:lang w:val="en-GB" w:eastAsia="en-GB"/>
        </w:rPr>
        <w:t xml:space="preserve">first </w:t>
      </w:r>
      <w:r w:rsidR="00EF1ADF" w:rsidRPr="00E54F8B">
        <w:rPr>
          <w:rFonts w:ascii="Arial" w:eastAsia="Times New Roman" w:hAnsi="Arial" w:cs="Arial"/>
          <w:szCs w:val="24"/>
          <w:lang w:val="en-GB" w:eastAsia="en-GB"/>
        </w:rPr>
        <w:t xml:space="preserve">difference was found in the </w:t>
      </w:r>
      <w:r w:rsidR="00E54F8B">
        <w:rPr>
          <w:rFonts w:ascii="Arial" w:eastAsia="Times New Roman" w:hAnsi="Arial" w:cs="Arial"/>
          <w:szCs w:val="24"/>
          <w:lang w:val="en-GB" w:eastAsia="en-GB"/>
        </w:rPr>
        <w:t>posterior default-mode network</w:t>
      </w:r>
      <w:r>
        <w:rPr>
          <w:rFonts w:ascii="Arial" w:eastAsia="Times New Roman" w:hAnsi="Arial" w:cs="Arial"/>
          <w:szCs w:val="24"/>
          <w:lang w:val="en-GB" w:eastAsia="en-GB"/>
        </w:rPr>
        <w:t xml:space="preserve">: this pathway was more strongly expressed among </w:t>
      </w:r>
      <w:r w:rsidR="00065195">
        <w:rPr>
          <w:rFonts w:ascii="Arial" w:eastAsia="Times New Roman" w:hAnsi="Arial" w:cs="Arial"/>
          <w:szCs w:val="24"/>
          <w:lang w:val="en-GB" w:eastAsia="en-GB"/>
        </w:rPr>
        <w:t xml:space="preserve">healthy </w:t>
      </w:r>
      <w:r>
        <w:rPr>
          <w:rFonts w:ascii="Arial" w:eastAsia="Times New Roman" w:hAnsi="Arial" w:cs="Arial"/>
          <w:szCs w:val="24"/>
          <w:lang w:val="en-GB" w:eastAsia="en-GB"/>
        </w:rPr>
        <w:t xml:space="preserve">controls in </w:t>
      </w:r>
      <w:proofErr w:type="spellStart"/>
      <w:r>
        <w:rPr>
          <w:rFonts w:ascii="Arial" w:eastAsia="Times New Roman" w:hAnsi="Arial" w:cs="Arial"/>
          <w:szCs w:val="24"/>
          <w:lang w:val="en-GB" w:eastAsia="en-GB"/>
        </w:rPr>
        <w:t>postero</w:t>
      </w:r>
      <w:proofErr w:type="spellEnd"/>
      <w:r>
        <w:rPr>
          <w:rFonts w:ascii="Arial" w:eastAsia="Times New Roman" w:hAnsi="Arial" w:cs="Arial"/>
          <w:szCs w:val="24"/>
          <w:lang w:val="en-GB" w:eastAsia="en-GB"/>
        </w:rPr>
        <w:t>-medial regions corresponding to Brodmann area 7 and 31.  This is typically considered the core of the posterior default-mode network</w:t>
      </w:r>
      <w:r w:rsidR="00814919">
        <w:rPr>
          <w:rFonts w:ascii="Arial" w:eastAsia="Times New Roman" w:hAnsi="Arial" w:cs="Arial"/>
          <w:szCs w:val="24"/>
          <w:lang w:val="en-GB" w:eastAsia="en-GB"/>
        </w:rPr>
        <w:t xml:space="preserve">, and this finding replicates well-established evidence of </w:t>
      </w:r>
      <w:r w:rsidR="002D7B74">
        <w:rPr>
          <w:rFonts w:ascii="Arial" w:eastAsia="Times New Roman" w:hAnsi="Arial" w:cs="Arial"/>
          <w:szCs w:val="24"/>
          <w:lang w:val="en-GB" w:eastAsia="en-GB"/>
        </w:rPr>
        <w:t>regional network down-regulation observed in patients with mild cognitive impairment and in patients with dementia of the Alzheimer’s type (</w:t>
      </w:r>
      <w:r w:rsidR="002D7B74" w:rsidRPr="002D7B74">
        <w:rPr>
          <w:rFonts w:ascii="Arial" w:eastAsia="Times New Roman" w:hAnsi="Arial" w:cs="Arial"/>
          <w:szCs w:val="24"/>
          <w:lang w:val="en-GB" w:eastAsia="en-GB"/>
        </w:rPr>
        <w:t>Badhwar et al., 2017</w:t>
      </w:r>
      <w:r w:rsidR="004E75C9">
        <w:rPr>
          <w:rFonts w:ascii="Arial" w:eastAsia="Times New Roman" w:hAnsi="Arial" w:cs="Arial"/>
          <w:szCs w:val="24"/>
          <w:lang w:val="en-GB" w:eastAsia="en-GB"/>
        </w:rPr>
        <w:t>;</w:t>
      </w:r>
      <w:r w:rsidR="002D7B74" w:rsidRPr="002D7B74">
        <w:rPr>
          <w:rFonts w:ascii="Arial" w:eastAsia="Times New Roman" w:hAnsi="Arial" w:cs="Arial"/>
          <w:szCs w:val="24"/>
          <w:lang w:val="en-GB" w:eastAsia="en-GB"/>
        </w:rPr>
        <w:t xml:space="preserve"> Balthazar et al., 2014</w:t>
      </w:r>
      <w:r w:rsidR="004E75C9">
        <w:rPr>
          <w:rFonts w:ascii="Arial" w:eastAsia="Times New Roman" w:hAnsi="Arial" w:cs="Arial"/>
          <w:szCs w:val="24"/>
          <w:lang w:val="en-GB" w:eastAsia="en-GB"/>
        </w:rPr>
        <w:t>;</w:t>
      </w:r>
      <w:r w:rsidR="002D7B74" w:rsidRPr="002D7B74">
        <w:rPr>
          <w:rFonts w:ascii="Arial" w:eastAsia="Times New Roman" w:hAnsi="Arial" w:cs="Arial"/>
          <w:szCs w:val="24"/>
          <w:lang w:val="en-GB" w:eastAsia="en-GB"/>
        </w:rPr>
        <w:t xml:space="preserve"> </w:t>
      </w:r>
      <w:proofErr w:type="spellStart"/>
      <w:r w:rsidR="002D7B74" w:rsidRPr="002D7B74">
        <w:rPr>
          <w:rFonts w:ascii="Arial" w:eastAsia="Times New Roman" w:hAnsi="Arial" w:cs="Arial"/>
          <w:szCs w:val="24"/>
          <w:lang w:val="en-GB" w:eastAsia="en-GB"/>
        </w:rPr>
        <w:t>Garcés</w:t>
      </w:r>
      <w:proofErr w:type="spellEnd"/>
      <w:r w:rsidR="002D7B74" w:rsidRPr="002D7B74">
        <w:rPr>
          <w:rFonts w:ascii="Arial" w:eastAsia="Times New Roman" w:hAnsi="Arial" w:cs="Arial"/>
          <w:szCs w:val="24"/>
          <w:lang w:val="en-GB" w:eastAsia="en-GB"/>
        </w:rPr>
        <w:t xml:space="preserve"> et al., 2014</w:t>
      </w:r>
      <w:r w:rsidR="004E75C9">
        <w:rPr>
          <w:rFonts w:ascii="Arial" w:eastAsia="Times New Roman" w:hAnsi="Arial" w:cs="Arial"/>
          <w:szCs w:val="24"/>
          <w:lang w:val="en-GB" w:eastAsia="en-GB"/>
        </w:rPr>
        <w:t>;</w:t>
      </w:r>
      <w:r w:rsidR="002D7B74" w:rsidRPr="002D7B74">
        <w:rPr>
          <w:rFonts w:ascii="Arial" w:eastAsia="Times New Roman" w:hAnsi="Arial" w:cs="Arial"/>
          <w:szCs w:val="24"/>
          <w:lang w:val="en-GB" w:eastAsia="en-GB"/>
        </w:rPr>
        <w:t xml:space="preserve"> </w:t>
      </w:r>
      <w:proofErr w:type="spellStart"/>
      <w:r w:rsidR="002D7B74" w:rsidRPr="002D7B74">
        <w:rPr>
          <w:rFonts w:ascii="Arial" w:eastAsia="Times New Roman" w:hAnsi="Arial" w:cs="Arial"/>
          <w:szCs w:val="24"/>
          <w:lang w:val="en-GB" w:eastAsia="en-GB"/>
        </w:rPr>
        <w:t>Greicius</w:t>
      </w:r>
      <w:proofErr w:type="spellEnd"/>
      <w:r w:rsidR="002D7B74" w:rsidRPr="002D7B74">
        <w:rPr>
          <w:rFonts w:ascii="Arial" w:eastAsia="Times New Roman" w:hAnsi="Arial" w:cs="Arial"/>
          <w:szCs w:val="24"/>
          <w:lang w:val="en-GB" w:eastAsia="en-GB"/>
        </w:rPr>
        <w:t xml:space="preserve"> et al., 2004</w:t>
      </w:r>
      <w:r w:rsidR="004E75C9">
        <w:rPr>
          <w:rFonts w:ascii="Arial" w:eastAsia="Times New Roman" w:hAnsi="Arial" w:cs="Arial"/>
          <w:szCs w:val="24"/>
          <w:lang w:val="en-GB" w:eastAsia="en-GB"/>
        </w:rPr>
        <w:t>;</w:t>
      </w:r>
      <w:r w:rsidR="002D7B74" w:rsidRPr="002D7B74">
        <w:rPr>
          <w:rFonts w:ascii="Arial" w:eastAsia="Times New Roman" w:hAnsi="Arial" w:cs="Arial"/>
          <w:szCs w:val="24"/>
          <w:lang w:val="en-GB" w:eastAsia="en-GB"/>
        </w:rPr>
        <w:t xml:space="preserve"> </w:t>
      </w:r>
      <w:proofErr w:type="spellStart"/>
      <w:r w:rsidR="002D7B74" w:rsidRPr="002D7B74">
        <w:rPr>
          <w:rFonts w:ascii="Arial" w:eastAsia="Times New Roman" w:hAnsi="Arial" w:cs="Arial"/>
          <w:szCs w:val="24"/>
          <w:lang w:val="en-GB" w:eastAsia="en-GB"/>
        </w:rPr>
        <w:t>Jin</w:t>
      </w:r>
      <w:proofErr w:type="spellEnd"/>
      <w:r w:rsidR="002D7B74" w:rsidRPr="002D7B74">
        <w:rPr>
          <w:rFonts w:ascii="Arial" w:eastAsia="Times New Roman" w:hAnsi="Arial" w:cs="Arial"/>
          <w:szCs w:val="24"/>
          <w:lang w:val="en-GB" w:eastAsia="en-GB"/>
        </w:rPr>
        <w:t xml:space="preserve"> et al., 2012</w:t>
      </w:r>
      <w:r w:rsidR="004E75C9">
        <w:rPr>
          <w:rFonts w:ascii="Arial" w:eastAsia="Times New Roman" w:hAnsi="Arial" w:cs="Arial"/>
          <w:szCs w:val="24"/>
          <w:lang w:val="en-GB" w:eastAsia="en-GB"/>
        </w:rPr>
        <w:t xml:space="preserve">; </w:t>
      </w:r>
      <w:proofErr w:type="spellStart"/>
      <w:r w:rsidR="004E75C9">
        <w:rPr>
          <w:rFonts w:ascii="Arial" w:eastAsia="Times New Roman" w:hAnsi="Arial" w:cs="Arial"/>
          <w:szCs w:val="24"/>
          <w:lang w:val="en-GB" w:eastAsia="en-GB"/>
        </w:rPr>
        <w:t>Sarli</w:t>
      </w:r>
      <w:proofErr w:type="spellEnd"/>
      <w:r w:rsidR="004E75C9">
        <w:rPr>
          <w:rFonts w:ascii="Arial" w:eastAsia="Times New Roman" w:hAnsi="Arial" w:cs="Arial"/>
          <w:szCs w:val="24"/>
          <w:lang w:val="en-GB" w:eastAsia="en-GB"/>
        </w:rPr>
        <w:t xml:space="preserve"> et al., 2021</w:t>
      </w:r>
      <w:r w:rsidR="002D7B74">
        <w:rPr>
          <w:rFonts w:ascii="Arial" w:eastAsia="Times New Roman" w:hAnsi="Arial" w:cs="Arial"/>
          <w:szCs w:val="24"/>
          <w:lang w:val="en-GB" w:eastAsia="en-GB"/>
        </w:rPr>
        <w:t xml:space="preserve">).  The second significant cluster emerged from the analysis of the right frontoparietal network.  Patients showed stronger network expression in a midline cluster </w:t>
      </w:r>
      <w:r w:rsidR="00F9352B">
        <w:rPr>
          <w:rFonts w:ascii="Arial" w:eastAsia="Times New Roman" w:hAnsi="Arial" w:cs="Arial"/>
          <w:szCs w:val="24"/>
          <w:lang w:val="en-GB" w:eastAsia="en-GB"/>
        </w:rPr>
        <w:t xml:space="preserve">similarly centred in the </w:t>
      </w:r>
      <w:proofErr w:type="spellStart"/>
      <w:proofErr w:type="gramStart"/>
      <w:r w:rsidR="00F9352B">
        <w:rPr>
          <w:rFonts w:ascii="Arial" w:eastAsia="Times New Roman" w:hAnsi="Arial" w:cs="Arial"/>
          <w:szCs w:val="24"/>
          <w:lang w:val="en-GB" w:eastAsia="en-GB"/>
        </w:rPr>
        <w:t>precuneus</w:t>
      </w:r>
      <w:proofErr w:type="spellEnd"/>
      <w:r w:rsidR="005142E1">
        <w:rPr>
          <w:rFonts w:ascii="Arial" w:eastAsia="Times New Roman" w:hAnsi="Arial" w:cs="Arial"/>
          <w:szCs w:val="24"/>
          <w:lang w:val="en-GB" w:eastAsia="en-GB"/>
        </w:rPr>
        <w:t>,</w:t>
      </w:r>
      <w:r w:rsidR="00F9352B">
        <w:rPr>
          <w:rFonts w:ascii="Arial" w:eastAsia="Times New Roman" w:hAnsi="Arial" w:cs="Arial"/>
          <w:szCs w:val="24"/>
          <w:lang w:val="en-GB" w:eastAsia="en-GB"/>
        </w:rPr>
        <w:t xml:space="preserve"> but</w:t>
      </w:r>
      <w:proofErr w:type="gramEnd"/>
      <w:r w:rsidR="00F9352B">
        <w:rPr>
          <w:rFonts w:ascii="Arial" w:eastAsia="Times New Roman" w:hAnsi="Arial" w:cs="Arial"/>
          <w:szCs w:val="24"/>
          <w:lang w:val="en-GB" w:eastAsia="en-GB"/>
        </w:rPr>
        <w:t xml:space="preserve"> </w:t>
      </w:r>
      <w:r w:rsidR="002D7B74">
        <w:rPr>
          <w:rFonts w:ascii="Arial" w:eastAsia="Times New Roman" w:hAnsi="Arial" w:cs="Arial"/>
          <w:szCs w:val="24"/>
          <w:lang w:val="en-GB" w:eastAsia="en-GB"/>
        </w:rPr>
        <w:t>extending between the parietal and occipital lobes (Brodmann areas 7 and 19).  The right frontoparietal network</w:t>
      </w:r>
      <w:r w:rsidR="005B7F21">
        <w:rPr>
          <w:rFonts w:ascii="Arial" w:eastAsia="Times New Roman" w:hAnsi="Arial" w:cs="Arial"/>
          <w:szCs w:val="24"/>
          <w:lang w:val="en-GB" w:eastAsia="en-GB"/>
        </w:rPr>
        <w:t>,</w:t>
      </w:r>
      <w:r w:rsidR="002D7B74">
        <w:rPr>
          <w:rFonts w:ascii="Arial" w:eastAsia="Times New Roman" w:hAnsi="Arial" w:cs="Arial"/>
          <w:szCs w:val="24"/>
          <w:lang w:val="en-GB" w:eastAsia="en-GB"/>
        </w:rPr>
        <w:t xml:space="preserve"> typically expressed in the right dorsolateral prefrontal and right posterior parietal cortices</w:t>
      </w:r>
      <w:r w:rsidR="005B7F21">
        <w:rPr>
          <w:rFonts w:ascii="Arial" w:eastAsia="Times New Roman" w:hAnsi="Arial" w:cs="Arial"/>
          <w:szCs w:val="24"/>
          <w:lang w:val="en-GB" w:eastAsia="en-GB"/>
        </w:rPr>
        <w:t xml:space="preserve">, is not selectively targeted by the neuropathological processes of Alzheimer’s disease (as is the case for the default-mode network).  Nevertheless, the expression of this network in the </w:t>
      </w:r>
      <w:proofErr w:type="spellStart"/>
      <w:r w:rsidR="005B7F21">
        <w:rPr>
          <w:rFonts w:ascii="Arial" w:eastAsia="Times New Roman" w:hAnsi="Arial" w:cs="Arial"/>
          <w:szCs w:val="24"/>
          <w:lang w:val="en-GB" w:eastAsia="en-GB"/>
        </w:rPr>
        <w:t>precuneus</w:t>
      </w:r>
      <w:proofErr w:type="spellEnd"/>
      <w:r w:rsidR="005B7F21">
        <w:rPr>
          <w:rFonts w:ascii="Arial" w:eastAsia="Times New Roman" w:hAnsi="Arial" w:cs="Arial"/>
          <w:szCs w:val="24"/>
          <w:lang w:val="en-GB" w:eastAsia="en-GB"/>
        </w:rPr>
        <w:t xml:space="preserve"> is one of the pathways </w:t>
      </w:r>
      <w:r w:rsidR="0010582E">
        <w:rPr>
          <w:rFonts w:ascii="Arial" w:eastAsia="Times New Roman" w:hAnsi="Arial" w:cs="Arial"/>
          <w:szCs w:val="24"/>
          <w:lang w:val="en-GB" w:eastAsia="en-GB"/>
        </w:rPr>
        <w:t xml:space="preserve">showing </w:t>
      </w:r>
      <w:r w:rsidR="00F9352B">
        <w:rPr>
          <w:rFonts w:ascii="Arial" w:eastAsia="Times New Roman" w:hAnsi="Arial" w:cs="Arial"/>
          <w:szCs w:val="24"/>
          <w:lang w:val="en-GB" w:eastAsia="en-GB"/>
        </w:rPr>
        <w:t xml:space="preserve">the clearest </w:t>
      </w:r>
      <w:r w:rsidR="0010582E">
        <w:rPr>
          <w:rFonts w:ascii="Arial" w:eastAsia="Times New Roman" w:hAnsi="Arial" w:cs="Arial"/>
          <w:szCs w:val="24"/>
          <w:lang w:val="en-GB" w:eastAsia="en-GB"/>
        </w:rPr>
        <w:t>longitudinal degradation in patients with Alzheimer’s disease (</w:t>
      </w:r>
      <w:proofErr w:type="spellStart"/>
      <w:r w:rsidR="0010582E" w:rsidRPr="0010582E">
        <w:rPr>
          <w:rFonts w:ascii="Arial" w:eastAsia="Times New Roman" w:hAnsi="Arial" w:cs="Arial"/>
          <w:szCs w:val="24"/>
          <w:lang w:val="en-GB" w:eastAsia="en-GB"/>
        </w:rPr>
        <w:t>Hafkemeijer</w:t>
      </w:r>
      <w:proofErr w:type="spellEnd"/>
      <w:r w:rsidR="0010582E">
        <w:rPr>
          <w:rFonts w:ascii="Arial" w:eastAsia="Times New Roman" w:hAnsi="Arial" w:cs="Arial"/>
          <w:szCs w:val="24"/>
          <w:lang w:val="en-GB" w:eastAsia="en-GB"/>
        </w:rPr>
        <w:t xml:space="preserve"> et al., 2017).</w:t>
      </w:r>
      <w:r w:rsidR="00F9352B">
        <w:rPr>
          <w:rFonts w:ascii="Arial" w:eastAsia="Times New Roman" w:hAnsi="Arial" w:cs="Arial"/>
          <w:szCs w:val="24"/>
          <w:lang w:val="en-GB" w:eastAsia="en-GB"/>
        </w:rPr>
        <w:t xml:space="preserve">  As our patients were all in the </w:t>
      </w:r>
      <w:proofErr w:type="gramStart"/>
      <w:r w:rsidR="00F9352B">
        <w:rPr>
          <w:rFonts w:ascii="Arial" w:eastAsia="Times New Roman" w:hAnsi="Arial" w:cs="Arial"/>
          <w:szCs w:val="24"/>
          <w:lang w:val="en-GB" w:eastAsia="en-GB"/>
        </w:rPr>
        <w:t>early-stage</w:t>
      </w:r>
      <w:proofErr w:type="gramEnd"/>
      <w:r w:rsidR="00F9352B">
        <w:rPr>
          <w:rFonts w:ascii="Arial" w:eastAsia="Times New Roman" w:hAnsi="Arial" w:cs="Arial"/>
          <w:szCs w:val="24"/>
          <w:lang w:val="en-GB" w:eastAsia="en-GB"/>
        </w:rPr>
        <w:t xml:space="preserve"> of the disease, it is possible that this specific territory is subjected to functional alterations during the earlies disease stages in the attempt to compensate for the ongoing degradation </w:t>
      </w:r>
      <w:r w:rsidR="00F9352B">
        <w:rPr>
          <w:rFonts w:ascii="Arial" w:eastAsia="Times New Roman" w:hAnsi="Arial" w:cs="Arial"/>
          <w:szCs w:val="24"/>
          <w:lang w:val="en-GB" w:eastAsia="en-GB"/>
        </w:rPr>
        <w:lastRenderedPageBreak/>
        <w:t>processes and this results in a temporary, short-lived increase in functional connectivity, destined to show</w:t>
      </w:r>
      <w:r w:rsidR="005142E1">
        <w:rPr>
          <w:rFonts w:ascii="Arial" w:eastAsia="Times New Roman" w:hAnsi="Arial" w:cs="Arial"/>
          <w:szCs w:val="24"/>
          <w:lang w:val="en-GB" w:eastAsia="en-GB"/>
        </w:rPr>
        <w:t>,</w:t>
      </w:r>
      <w:r w:rsidR="00F9352B">
        <w:rPr>
          <w:rFonts w:ascii="Arial" w:eastAsia="Times New Roman" w:hAnsi="Arial" w:cs="Arial"/>
          <w:szCs w:val="24"/>
          <w:lang w:val="en-GB" w:eastAsia="en-GB"/>
        </w:rPr>
        <w:t xml:space="preserve"> instead</w:t>
      </w:r>
      <w:r w:rsidR="005142E1">
        <w:rPr>
          <w:rFonts w:ascii="Arial" w:eastAsia="Times New Roman" w:hAnsi="Arial" w:cs="Arial"/>
          <w:szCs w:val="24"/>
          <w:lang w:val="en-GB" w:eastAsia="en-GB"/>
        </w:rPr>
        <w:t>,</w:t>
      </w:r>
      <w:r w:rsidR="00F9352B">
        <w:rPr>
          <w:rFonts w:ascii="Arial" w:eastAsia="Times New Roman" w:hAnsi="Arial" w:cs="Arial"/>
          <w:szCs w:val="24"/>
          <w:lang w:val="en-GB" w:eastAsia="en-GB"/>
        </w:rPr>
        <w:t xml:space="preserve"> an inverse trend during the later stages of disease.  All findings are illustrated in </w:t>
      </w:r>
      <w:r w:rsidR="00F9352B" w:rsidRPr="00F54575">
        <w:rPr>
          <w:rFonts w:ascii="Arial" w:eastAsia="Times New Roman" w:hAnsi="Arial" w:cs="Arial"/>
          <w:b/>
          <w:szCs w:val="24"/>
          <w:lang w:val="en-GB" w:eastAsia="en-GB"/>
        </w:rPr>
        <w:t>Supplementary Fi</w:t>
      </w:r>
      <w:r w:rsidR="00F54575" w:rsidRPr="00F54575">
        <w:rPr>
          <w:rFonts w:ascii="Arial" w:eastAsia="Times New Roman" w:hAnsi="Arial" w:cs="Arial"/>
          <w:b/>
          <w:szCs w:val="24"/>
          <w:lang w:val="en-GB" w:eastAsia="en-GB"/>
        </w:rPr>
        <w:t>g</w:t>
      </w:r>
      <w:r w:rsidR="00F9352B" w:rsidRPr="00F54575">
        <w:rPr>
          <w:rFonts w:ascii="Arial" w:eastAsia="Times New Roman" w:hAnsi="Arial" w:cs="Arial"/>
          <w:b/>
          <w:szCs w:val="24"/>
          <w:lang w:val="en-GB" w:eastAsia="en-GB"/>
        </w:rPr>
        <w:t>ure 1</w:t>
      </w:r>
      <w:r w:rsidR="00F9352B">
        <w:rPr>
          <w:rFonts w:ascii="Arial" w:eastAsia="Times New Roman" w:hAnsi="Arial" w:cs="Arial"/>
          <w:szCs w:val="24"/>
          <w:lang w:val="en-GB" w:eastAsia="en-GB"/>
        </w:rPr>
        <w:t xml:space="preserve"> and described in </w:t>
      </w:r>
      <w:r w:rsidR="00F9352B" w:rsidRPr="00F54575">
        <w:rPr>
          <w:rFonts w:ascii="Arial" w:eastAsia="Times New Roman" w:hAnsi="Arial" w:cs="Arial"/>
          <w:b/>
          <w:szCs w:val="24"/>
          <w:lang w:val="en-GB" w:eastAsia="en-GB"/>
        </w:rPr>
        <w:t>Supplementary Table 1</w:t>
      </w:r>
      <w:r w:rsidR="00F9352B">
        <w:rPr>
          <w:rFonts w:ascii="Arial" w:eastAsia="Times New Roman" w:hAnsi="Arial" w:cs="Arial"/>
          <w:szCs w:val="24"/>
          <w:lang w:val="en-GB" w:eastAsia="en-GB"/>
        </w:rPr>
        <w:t>.</w:t>
      </w:r>
    </w:p>
    <w:p w14:paraId="41C60F0F" w14:textId="45F575D6" w:rsidR="004B1E91" w:rsidRDefault="004B1E91" w:rsidP="007E07A8">
      <w:pPr>
        <w:spacing w:before="0" w:after="360" w:line="480" w:lineRule="auto"/>
        <w:rPr>
          <w:rFonts w:ascii="Arial" w:eastAsia="Times New Roman" w:hAnsi="Arial" w:cs="Arial"/>
          <w:szCs w:val="24"/>
          <w:lang w:val="en-GB" w:eastAsia="en-GB"/>
        </w:rPr>
      </w:pPr>
      <w:r>
        <w:rPr>
          <w:rFonts w:ascii="Arial" w:eastAsia="Times New Roman" w:hAnsi="Arial" w:cs="Arial"/>
          <w:szCs w:val="24"/>
          <w:lang w:val="en-GB" w:eastAsia="en-GB"/>
        </w:rPr>
        <w:t xml:space="preserve">Furthermore, we also investigated group differences in the salience network at a more liberal and exploratory threshold equal to a cluster-forming </w:t>
      </w:r>
      <w:r w:rsidRPr="004B1E91">
        <w:rPr>
          <w:rFonts w:ascii="Arial" w:eastAsia="Times New Roman" w:hAnsi="Arial" w:cs="Arial"/>
          <w:i/>
          <w:szCs w:val="24"/>
          <w:lang w:val="en-GB" w:eastAsia="en-GB"/>
        </w:rPr>
        <w:t>p</w:t>
      </w:r>
      <w:r>
        <w:rPr>
          <w:rFonts w:ascii="Arial" w:eastAsia="Times New Roman" w:hAnsi="Arial" w:cs="Arial"/>
          <w:szCs w:val="24"/>
          <w:lang w:val="en-GB" w:eastAsia="en-GB"/>
        </w:rPr>
        <w:t xml:space="preserve"> &lt; 0.05.  We did so to identify possible trends indicating up-regulations in this pathway as often found in patients at the early stage of Alzheimer’s disease</w:t>
      </w:r>
      <w:r w:rsidR="000C0773">
        <w:rPr>
          <w:rFonts w:ascii="Arial" w:eastAsia="Times New Roman" w:hAnsi="Arial" w:cs="Arial"/>
          <w:szCs w:val="24"/>
          <w:lang w:val="en-GB" w:eastAsia="en-GB"/>
        </w:rPr>
        <w:t xml:space="preserve"> (</w:t>
      </w:r>
      <w:r w:rsidR="00A55E2D" w:rsidRPr="002D7B74">
        <w:rPr>
          <w:rFonts w:ascii="Arial" w:eastAsia="Times New Roman" w:hAnsi="Arial" w:cs="Arial"/>
          <w:szCs w:val="24"/>
          <w:lang w:val="en-GB" w:eastAsia="en-GB"/>
        </w:rPr>
        <w:t>Badhwar et al., 2017</w:t>
      </w:r>
      <w:r w:rsidR="000C0773">
        <w:rPr>
          <w:rFonts w:ascii="Arial" w:eastAsia="Times New Roman" w:hAnsi="Arial" w:cs="Arial"/>
          <w:szCs w:val="24"/>
          <w:lang w:val="en-GB" w:eastAsia="en-GB"/>
        </w:rPr>
        <w:t>)</w:t>
      </w:r>
      <w:r w:rsidR="00404BCA">
        <w:rPr>
          <w:rFonts w:ascii="Arial" w:eastAsia="Times New Roman" w:hAnsi="Arial" w:cs="Arial"/>
          <w:szCs w:val="24"/>
          <w:lang w:val="en-GB" w:eastAsia="en-GB"/>
        </w:rPr>
        <w:t>.  Patients showed a trend towards stronger expression of the salience network in a set o</w:t>
      </w:r>
      <w:r w:rsidR="00065195">
        <w:rPr>
          <w:rFonts w:ascii="Arial" w:eastAsia="Times New Roman" w:hAnsi="Arial" w:cs="Arial"/>
          <w:szCs w:val="24"/>
          <w:lang w:val="en-GB" w:eastAsia="en-GB"/>
        </w:rPr>
        <w:t>f</w:t>
      </w:r>
      <w:r w:rsidR="00404BCA">
        <w:rPr>
          <w:rFonts w:ascii="Arial" w:eastAsia="Times New Roman" w:hAnsi="Arial" w:cs="Arial"/>
          <w:szCs w:val="24"/>
          <w:lang w:val="en-GB" w:eastAsia="en-GB"/>
        </w:rPr>
        <w:t xml:space="preserve"> regions including the right insula and the posterior cingulate cortex</w:t>
      </w:r>
      <w:r w:rsidR="008E46B2">
        <w:rPr>
          <w:rFonts w:ascii="Arial" w:eastAsia="Times New Roman" w:hAnsi="Arial" w:cs="Arial"/>
          <w:szCs w:val="24"/>
          <w:lang w:val="en-GB" w:eastAsia="en-GB"/>
        </w:rPr>
        <w:t xml:space="preserve"> (</w:t>
      </w:r>
      <w:r w:rsidR="008E46B2" w:rsidRPr="00F54575">
        <w:rPr>
          <w:rFonts w:ascii="Arial" w:eastAsia="Times New Roman" w:hAnsi="Arial" w:cs="Arial"/>
          <w:b/>
          <w:szCs w:val="24"/>
          <w:lang w:val="en-GB" w:eastAsia="en-GB"/>
        </w:rPr>
        <w:t xml:space="preserve">Supplementary Figure </w:t>
      </w:r>
      <w:r w:rsidR="008E46B2">
        <w:rPr>
          <w:rFonts w:ascii="Arial" w:eastAsia="Times New Roman" w:hAnsi="Arial" w:cs="Arial"/>
          <w:b/>
          <w:szCs w:val="24"/>
          <w:lang w:val="en-GB" w:eastAsia="en-GB"/>
        </w:rPr>
        <w:t>2</w:t>
      </w:r>
      <w:r w:rsidR="008E46B2">
        <w:rPr>
          <w:rFonts w:ascii="Arial" w:eastAsia="Times New Roman" w:hAnsi="Arial" w:cs="Arial"/>
          <w:szCs w:val="24"/>
          <w:lang w:val="en-GB" w:eastAsia="en-GB"/>
        </w:rPr>
        <w:t>)</w:t>
      </w:r>
      <w:r w:rsidR="00404BCA">
        <w:rPr>
          <w:rFonts w:ascii="Arial" w:eastAsia="Times New Roman" w:hAnsi="Arial" w:cs="Arial"/>
          <w:szCs w:val="24"/>
          <w:lang w:val="en-GB" w:eastAsia="en-GB"/>
        </w:rPr>
        <w:t xml:space="preserve">.  This trend suggests hyperconnectivity within the salience network as well as network encroachment in the form of an increased </w:t>
      </w:r>
      <w:proofErr w:type="gramStart"/>
      <w:r w:rsidR="00404BCA">
        <w:rPr>
          <w:rFonts w:ascii="Arial" w:eastAsia="Times New Roman" w:hAnsi="Arial" w:cs="Arial"/>
          <w:szCs w:val="24"/>
          <w:lang w:val="en-GB" w:eastAsia="en-GB"/>
        </w:rPr>
        <w:t>cross-talk</w:t>
      </w:r>
      <w:proofErr w:type="gramEnd"/>
      <w:r w:rsidR="00404BCA">
        <w:rPr>
          <w:rFonts w:ascii="Arial" w:eastAsia="Times New Roman" w:hAnsi="Arial" w:cs="Arial"/>
          <w:szCs w:val="24"/>
          <w:lang w:val="en-GB" w:eastAsia="en-GB"/>
        </w:rPr>
        <w:t xml:space="preserve"> between the salience network and the default-mode network, of which the posterior cingulate cortex is the core hub.</w:t>
      </w:r>
    </w:p>
    <w:p w14:paraId="5AFB99F9" w14:textId="63C458D1" w:rsidR="00EF1ADF" w:rsidRPr="00814919" w:rsidRDefault="005B7F21" w:rsidP="00E54F8B">
      <w:pPr>
        <w:spacing w:before="0" w:after="160" w:line="480" w:lineRule="auto"/>
        <w:rPr>
          <w:rFonts w:ascii="Arial" w:eastAsia="Times New Roman" w:hAnsi="Arial" w:cs="Arial"/>
          <w:b/>
          <w:szCs w:val="24"/>
          <w:lang w:val="en-GB" w:eastAsia="en-GB"/>
        </w:rPr>
      </w:pPr>
      <w:r>
        <w:rPr>
          <w:rFonts w:ascii="Arial" w:eastAsia="Times New Roman" w:hAnsi="Arial" w:cs="Arial"/>
          <w:b/>
          <w:szCs w:val="24"/>
          <w:lang w:val="en-GB" w:eastAsia="en-GB"/>
        </w:rPr>
        <w:t>References</w:t>
      </w:r>
    </w:p>
    <w:p w14:paraId="3BDB720A" w14:textId="77777777" w:rsidR="00814919" w:rsidRPr="00814919" w:rsidRDefault="00814919" w:rsidP="00814919">
      <w:pPr>
        <w:spacing w:before="0" w:after="160" w:line="480" w:lineRule="auto"/>
        <w:ind w:left="284" w:hanging="284"/>
        <w:rPr>
          <w:rFonts w:ascii="Arial" w:eastAsia="Times New Roman" w:hAnsi="Arial" w:cs="Arial"/>
          <w:szCs w:val="24"/>
          <w:lang w:val="en-GB" w:eastAsia="en-GB"/>
        </w:rPr>
      </w:pPr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Badhwar, A. Tam, A., Dansereau, C., </w:t>
      </w: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Orban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, P., </w:t>
      </w: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Hoffstaedter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, F. &amp; </w:t>
      </w: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Bellec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, P. (2017). Resting-state network dysfunction in Alzheimer’s disease: a systematic review and meta-analysis. </w:t>
      </w: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Alzheimers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 Dement. (</w:t>
      </w: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Amst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.) 8, 73–85. </w:t>
      </w: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doi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: </w:t>
      </w:r>
      <w:bookmarkStart w:id="0" w:name="_Hlk84523012"/>
      <w:r w:rsidRPr="00814919">
        <w:rPr>
          <w:rFonts w:ascii="Arial" w:eastAsia="Times New Roman" w:hAnsi="Arial" w:cs="Arial"/>
          <w:szCs w:val="24"/>
          <w:lang w:val="en-GB" w:eastAsia="en-GB"/>
        </w:rPr>
        <w:t>10.1016/j.dadm.2017.03.007</w:t>
      </w:r>
      <w:bookmarkEnd w:id="0"/>
    </w:p>
    <w:p w14:paraId="1F66BD20" w14:textId="77777777" w:rsidR="00814919" w:rsidRPr="00814919" w:rsidRDefault="00814919" w:rsidP="00814919">
      <w:pPr>
        <w:spacing w:before="0" w:after="160" w:line="480" w:lineRule="auto"/>
        <w:ind w:left="284" w:hanging="284"/>
        <w:rPr>
          <w:rFonts w:ascii="Arial" w:eastAsia="Times New Roman" w:hAnsi="Arial" w:cs="Arial"/>
          <w:szCs w:val="24"/>
          <w:lang w:val="en-GB" w:eastAsia="en-GB"/>
        </w:rPr>
      </w:pPr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Balthazar, M. L. F., de Campos, B. M., Franco, A. R., </w:t>
      </w: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Damasceno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, B. P. &amp; </w:t>
      </w: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Cendes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, F. (2014). Whole cortical and default mode network mean functional connectivity as potential biomarkers for mild Alzheimer’s disease. Psychiatry Res. 221, 37–42. </w:t>
      </w: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doi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>: 10.1016/j.pscychresns.2013.10.010</w:t>
      </w:r>
    </w:p>
    <w:p w14:paraId="0F7EA7D7" w14:textId="76B93784" w:rsidR="00814919" w:rsidRPr="00814919" w:rsidRDefault="00814919" w:rsidP="00814919">
      <w:pPr>
        <w:spacing w:before="0" w:after="160" w:line="480" w:lineRule="auto"/>
        <w:ind w:left="284" w:hanging="284"/>
        <w:rPr>
          <w:rFonts w:ascii="Arial" w:eastAsia="Times New Roman" w:hAnsi="Arial" w:cs="Arial"/>
          <w:szCs w:val="24"/>
          <w:lang w:val="en-GB" w:eastAsia="en-GB"/>
        </w:rPr>
      </w:pP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Garcés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, P., Pineda-Pardo, J. A., </w:t>
      </w: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Canuet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, L., </w:t>
      </w: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Aurtenetxe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>, S., López, M. E., Marcos, A., et al. (2014). T</w:t>
      </w:r>
      <w:r w:rsidR="007C0790">
        <w:rPr>
          <w:rFonts w:ascii="Arial" w:eastAsia="Times New Roman" w:hAnsi="Arial" w:cs="Arial"/>
          <w:szCs w:val="24"/>
          <w:lang w:val="en-GB" w:eastAsia="en-GB"/>
        </w:rPr>
        <w:t>h</w:t>
      </w:r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e default mode network is functionally and structurally disrupted in amnestic </w:t>
      </w:r>
      <w:r w:rsidRPr="00814919">
        <w:rPr>
          <w:rFonts w:ascii="Arial" w:eastAsia="Times New Roman" w:hAnsi="Arial" w:cs="Arial"/>
          <w:szCs w:val="24"/>
          <w:lang w:val="en-GB" w:eastAsia="en-GB"/>
        </w:rPr>
        <w:lastRenderedPageBreak/>
        <w:t xml:space="preserve">mild cognitive impairment - A bimodal MEG-DTI study. Neuroimage Clin. 6, 214–221. </w:t>
      </w: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doi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>: 10.1016/j.nicl.2014.09.004</w:t>
      </w:r>
    </w:p>
    <w:p w14:paraId="6DD2B89A" w14:textId="11B1F41E" w:rsidR="00814919" w:rsidRDefault="00814919" w:rsidP="00814919">
      <w:pPr>
        <w:spacing w:before="0" w:after="160" w:line="480" w:lineRule="auto"/>
        <w:ind w:left="284" w:hanging="284"/>
        <w:rPr>
          <w:rFonts w:ascii="Arial" w:eastAsia="Times New Roman" w:hAnsi="Arial" w:cs="Arial"/>
          <w:szCs w:val="24"/>
          <w:lang w:val="en-GB" w:eastAsia="en-GB"/>
        </w:rPr>
      </w:pP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Greicius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, M. D., Srivastava, G., Reiss, A. L. &amp; Menon, V. (2004). Default-mode network activity distinguishes Alzheimer’s disease from healthy aging: evidence from functional MRI. Proc. Natl. Acad. Sci. USA 101, 4637–4642. </w:t>
      </w: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doi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>: 10.1073/pnas.0308627101</w:t>
      </w:r>
    </w:p>
    <w:p w14:paraId="72EED4DF" w14:textId="55A9EB14" w:rsidR="0010582E" w:rsidRPr="00814919" w:rsidRDefault="0010582E" w:rsidP="00814919">
      <w:pPr>
        <w:spacing w:before="0" w:after="160" w:line="480" w:lineRule="auto"/>
        <w:ind w:left="284" w:hanging="284"/>
        <w:rPr>
          <w:rFonts w:ascii="Arial" w:eastAsia="Times New Roman" w:hAnsi="Arial" w:cs="Arial"/>
          <w:szCs w:val="24"/>
          <w:lang w:val="en-GB" w:eastAsia="en-GB"/>
        </w:rPr>
      </w:pPr>
      <w:proofErr w:type="spellStart"/>
      <w:r w:rsidRPr="0010582E">
        <w:rPr>
          <w:rFonts w:ascii="Arial" w:eastAsia="Times New Roman" w:hAnsi="Arial" w:cs="Arial"/>
          <w:szCs w:val="24"/>
          <w:lang w:val="en-GB" w:eastAsia="en-GB"/>
        </w:rPr>
        <w:t>Hafkemeijer</w:t>
      </w:r>
      <w:proofErr w:type="spellEnd"/>
      <w:r>
        <w:rPr>
          <w:rFonts w:ascii="Arial" w:eastAsia="Times New Roman" w:hAnsi="Arial" w:cs="Arial"/>
          <w:szCs w:val="24"/>
          <w:lang w:val="en-GB" w:eastAsia="en-GB"/>
        </w:rPr>
        <w:t xml:space="preserve">, A., </w:t>
      </w:r>
      <w:proofErr w:type="spellStart"/>
      <w:r>
        <w:rPr>
          <w:rFonts w:ascii="Arial" w:eastAsia="Times New Roman" w:hAnsi="Arial" w:cs="Arial"/>
          <w:szCs w:val="24"/>
          <w:lang w:val="en-GB" w:eastAsia="en-GB"/>
        </w:rPr>
        <w:t>Möller</w:t>
      </w:r>
      <w:proofErr w:type="spellEnd"/>
      <w:r>
        <w:rPr>
          <w:rFonts w:ascii="Arial" w:eastAsia="Times New Roman" w:hAnsi="Arial" w:cs="Arial"/>
          <w:szCs w:val="24"/>
          <w:lang w:val="en-GB" w:eastAsia="en-GB"/>
        </w:rPr>
        <w:t xml:space="preserve">, C., </w:t>
      </w:r>
      <w:proofErr w:type="spellStart"/>
      <w:r>
        <w:rPr>
          <w:rFonts w:ascii="Arial" w:eastAsia="Times New Roman" w:hAnsi="Arial" w:cs="Arial"/>
          <w:szCs w:val="24"/>
          <w:lang w:val="en-GB" w:eastAsia="en-GB"/>
        </w:rPr>
        <w:t>Dopper</w:t>
      </w:r>
      <w:proofErr w:type="spellEnd"/>
      <w:r>
        <w:rPr>
          <w:rFonts w:ascii="Arial" w:eastAsia="Times New Roman" w:hAnsi="Arial" w:cs="Arial"/>
          <w:szCs w:val="24"/>
          <w:lang w:val="en-GB" w:eastAsia="en-GB"/>
        </w:rPr>
        <w:t xml:space="preserve">, E. G. P. </w:t>
      </w:r>
      <w:proofErr w:type="spellStart"/>
      <w:r>
        <w:rPr>
          <w:rFonts w:ascii="Arial" w:eastAsia="Times New Roman" w:hAnsi="Arial" w:cs="Arial"/>
          <w:szCs w:val="24"/>
          <w:lang w:val="en-GB" w:eastAsia="en-GB"/>
        </w:rPr>
        <w:t>Jiskoot</w:t>
      </w:r>
      <w:proofErr w:type="spellEnd"/>
      <w:r>
        <w:rPr>
          <w:rFonts w:ascii="Arial" w:eastAsia="Times New Roman" w:hAnsi="Arial" w:cs="Arial"/>
          <w:szCs w:val="24"/>
          <w:lang w:val="en-GB" w:eastAsia="en-GB"/>
        </w:rPr>
        <w:t xml:space="preserve">, L. C., van den Berg-Huysmans, A. A., van </w:t>
      </w:r>
      <w:proofErr w:type="spellStart"/>
      <w:r>
        <w:rPr>
          <w:rFonts w:ascii="Arial" w:eastAsia="Times New Roman" w:hAnsi="Arial" w:cs="Arial"/>
          <w:szCs w:val="24"/>
          <w:lang w:val="en-GB" w:eastAsia="en-GB"/>
        </w:rPr>
        <w:t>Swieten</w:t>
      </w:r>
      <w:proofErr w:type="spellEnd"/>
      <w:r>
        <w:rPr>
          <w:rFonts w:ascii="Arial" w:eastAsia="Times New Roman" w:hAnsi="Arial" w:cs="Arial"/>
          <w:szCs w:val="24"/>
          <w:lang w:val="en-GB" w:eastAsia="en-GB"/>
        </w:rPr>
        <w:t xml:space="preserve">, J. C., et al. (2017). </w:t>
      </w:r>
      <w:r w:rsidRPr="0010582E">
        <w:rPr>
          <w:rFonts w:ascii="Arial" w:eastAsia="Times New Roman" w:hAnsi="Arial" w:cs="Arial"/>
          <w:szCs w:val="24"/>
          <w:lang w:val="en-GB" w:eastAsia="en-GB"/>
        </w:rPr>
        <w:t xml:space="preserve">A </w:t>
      </w:r>
      <w:r>
        <w:rPr>
          <w:rFonts w:ascii="Arial" w:eastAsia="Times New Roman" w:hAnsi="Arial" w:cs="Arial"/>
          <w:szCs w:val="24"/>
          <w:lang w:val="en-GB" w:eastAsia="en-GB"/>
        </w:rPr>
        <w:t>l</w:t>
      </w:r>
      <w:r w:rsidRPr="0010582E">
        <w:rPr>
          <w:rFonts w:ascii="Arial" w:eastAsia="Times New Roman" w:hAnsi="Arial" w:cs="Arial"/>
          <w:szCs w:val="24"/>
          <w:lang w:val="en-GB" w:eastAsia="en-GB"/>
        </w:rPr>
        <w:t xml:space="preserve">ongitudinal </w:t>
      </w:r>
      <w:r>
        <w:rPr>
          <w:rFonts w:ascii="Arial" w:eastAsia="Times New Roman" w:hAnsi="Arial" w:cs="Arial"/>
          <w:szCs w:val="24"/>
          <w:lang w:val="en-GB" w:eastAsia="en-GB"/>
        </w:rPr>
        <w:t>s</w:t>
      </w:r>
      <w:r w:rsidRPr="0010582E">
        <w:rPr>
          <w:rFonts w:ascii="Arial" w:eastAsia="Times New Roman" w:hAnsi="Arial" w:cs="Arial"/>
          <w:szCs w:val="24"/>
          <w:lang w:val="en-GB" w:eastAsia="en-GB"/>
        </w:rPr>
        <w:t xml:space="preserve">tudy on </w:t>
      </w:r>
      <w:r>
        <w:rPr>
          <w:rFonts w:ascii="Arial" w:eastAsia="Times New Roman" w:hAnsi="Arial" w:cs="Arial"/>
          <w:szCs w:val="24"/>
          <w:lang w:val="en-GB" w:eastAsia="en-GB"/>
        </w:rPr>
        <w:t>r</w:t>
      </w:r>
      <w:r w:rsidRPr="0010582E">
        <w:rPr>
          <w:rFonts w:ascii="Arial" w:eastAsia="Times New Roman" w:hAnsi="Arial" w:cs="Arial"/>
          <w:szCs w:val="24"/>
          <w:lang w:val="en-GB" w:eastAsia="en-GB"/>
        </w:rPr>
        <w:t xml:space="preserve">esting </w:t>
      </w:r>
      <w:r>
        <w:rPr>
          <w:rFonts w:ascii="Arial" w:eastAsia="Times New Roman" w:hAnsi="Arial" w:cs="Arial"/>
          <w:szCs w:val="24"/>
          <w:lang w:val="en-GB" w:eastAsia="en-GB"/>
        </w:rPr>
        <w:t>s</w:t>
      </w:r>
      <w:r w:rsidRPr="0010582E">
        <w:rPr>
          <w:rFonts w:ascii="Arial" w:eastAsia="Times New Roman" w:hAnsi="Arial" w:cs="Arial"/>
          <w:szCs w:val="24"/>
          <w:lang w:val="en-GB" w:eastAsia="en-GB"/>
        </w:rPr>
        <w:t xml:space="preserve">tate </w:t>
      </w:r>
      <w:r>
        <w:rPr>
          <w:rFonts w:ascii="Arial" w:eastAsia="Times New Roman" w:hAnsi="Arial" w:cs="Arial"/>
          <w:szCs w:val="24"/>
          <w:lang w:val="en-GB" w:eastAsia="en-GB"/>
        </w:rPr>
        <w:t>f</w:t>
      </w:r>
      <w:r w:rsidRPr="0010582E">
        <w:rPr>
          <w:rFonts w:ascii="Arial" w:eastAsia="Times New Roman" w:hAnsi="Arial" w:cs="Arial"/>
          <w:szCs w:val="24"/>
          <w:lang w:val="en-GB" w:eastAsia="en-GB"/>
        </w:rPr>
        <w:t xml:space="preserve">unctional </w:t>
      </w:r>
      <w:r>
        <w:rPr>
          <w:rFonts w:ascii="Arial" w:eastAsia="Times New Roman" w:hAnsi="Arial" w:cs="Arial"/>
          <w:szCs w:val="24"/>
          <w:lang w:val="en-GB" w:eastAsia="en-GB"/>
        </w:rPr>
        <w:t>c</w:t>
      </w:r>
      <w:r w:rsidRPr="0010582E">
        <w:rPr>
          <w:rFonts w:ascii="Arial" w:eastAsia="Times New Roman" w:hAnsi="Arial" w:cs="Arial"/>
          <w:szCs w:val="24"/>
          <w:lang w:val="en-GB" w:eastAsia="en-GB"/>
        </w:rPr>
        <w:t xml:space="preserve">onnectivity in </w:t>
      </w:r>
      <w:proofErr w:type="spellStart"/>
      <w:r>
        <w:rPr>
          <w:rFonts w:ascii="Arial" w:eastAsia="Times New Roman" w:hAnsi="Arial" w:cs="Arial"/>
          <w:szCs w:val="24"/>
          <w:lang w:val="en-GB" w:eastAsia="en-GB"/>
        </w:rPr>
        <w:t>b</w:t>
      </w:r>
      <w:r w:rsidRPr="0010582E">
        <w:rPr>
          <w:rFonts w:ascii="Arial" w:eastAsia="Times New Roman" w:hAnsi="Arial" w:cs="Arial"/>
          <w:szCs w:val="24"/>
          <w:lang w:val="en-GB" w:eastAsia="en-GB"/>
        </w:rPr>
        <w:t>ehavioral</w:t>
      </w:r>
      <w:proofErr w:type="spellEnd"/>
      <w:r w:rsidRPr="0010582E">
        <w:rPr>
          <w:rFonts w:ascii="Arial" w:eastAsia="Times New Roman" w:hAnsi="Arial" w:cs="Arial"/>
          <w:szCs w:val="24"/>
          <w:lang w:val="en-GB" w:eastAsia="en-GB"/>
        </w:rPr>
        <w:t xml:space="preserve"> </w:t>
      </w:r>
      <w:r>
        <w:rPr>
          <w:rFonts w:ascii="Arial" w:eastAsia="Times New Roman" w:hAnsi="Arial" w:cs="Arial"/>
          <w:szCs w:val="24"/>
          <w:lang w:val="en-GB" w:eastAsia="en-GB"/>
        </w:rPr>
        <w:t>v</w:t>
      </w:r>
      <w:r w:rsidRPr="0010582E">
        <w:rPr>
          <w:rFonts w:ascii="Arial" w:eastAsia="Times New Roman" w:hAnsi="Arial" w:cs="Arial"/>
          <w:szCs w:val="24"/>
          <w:lang w:val="en-GB" w:eastAsia="en-GB"/>
        </w:rPr>
        <w:t xml:space="preserve">ariant </w:t>
      </w:r>
      <w:r>
        <w:rPr>
          <w:rFonts w:ascii="Arial" w:eastAsia="Times New Roman" w:hAnsi="Arial" w:cs="Arial"/>
          <w:szCs w:val="24"/>
          <w:lang w:val="en-GB" w:eastAsia="en-GB"/>
        </w:rPr>
        <w:t>f</w:t>
      </w:r>
      <w:r w:rsidRPr="0010582E">
        <w:rPr>
          <w:rFonts w:ascii="Arial" w:eastAsia="Times New Roman" w:hAnsi="Arial" w:cs="Arial"/>
          <w:szCs w:val="24"/>
          <w:lang w:val="en-GB" w:eastAsia="en-GB"/>
        </w:rPr>
        <w:t xml:space="preserve">rontotemporal </w:t>
      </w:r>
      <w:r>
        <w:rPr>
          <w:rFonts w:ascii="Arial" w:eastAsia="Times New Roman" w:hAnsi="Arial" w:cs="Arial"/>
          <w:szCs w:val="24"/>
          <w:lang w:val="en-GB" w:eastAsia="en-GB"/>
        </w:rPr>
        <w:t>d</w:t>
      </w:r>
      <w:r w:rsidRPr="0010582E">
        <w:rPr>
          <w:rFonts w:ascii="Arial" w:eastAsia="Times New Roman" w:hAnsi="Arial" w:cs="Arial"/>
          <w:szCs w:val="24"/>
          <w:lang w:val="en-GB" w:eastAsia="en-GB"/>
        </w:rPr>
        <w:t xml:space="preserve">ementia and Alzheimer's </w:t>
      </w:r>
      <w:r>
        <w:rPr>
          <w:rFonts w:ascii="Arial" w:eastAsia="Times New Roman" w:hAnsi="Arial" w:cs="Arial"/>
          <w:szCs w:val="24"/>
          <w:lang w:val="en-GB" w:eastAsia="en-GB"/>
        </w:rPr>
        <w:t>d</w:t>
      </w:r>
      <w:r w:rsidRPr="0010582E">
        <w:rPr>
          <w:rFonts w:ascii="Arial" w:eastAsia="Times New Roman" w:hAnsi="Arial" w:cs="Arial"/>
          <w:szCs w:val="24"/>
          <w:lang w:val="en-GB" w:eastAsia="en-GB"/>
        </w:rPr>
        <w:t>isease</w:t>
      </w:r>
      <w:r>
        <w:rPr>
          <w:rFonts w:ascii="Arial" w:eastAsia="Times New Roman" w:hAnsi="Arial" w:cs="Arial"/>
          <w:szCs w:val="24"/>
          <w:lang w:val="en-GB" w:eastAsia="en-GB"/>
        </w:rPr>
        <w:t xml:space="preserve">. J. </w:t>
      </w:r>
      <w:proofErr w:type="spellStart"/>
      <w:r>
        <w:rPr>
          <w:rFonts w:ascii="Arial" w:eastAsia="Times New Roman" w:hAnsi="Arial" w:cs="Arial"/>
          <w:szCs w:val="24"/>
          <w:lang w:val="en-GB" w:eastAsia="en-GB"/>
        </w:rPr>
        <w:t>Alzheimers</w:t>
      </w:r>
      <w:proofErr w:type="spellEnd"/>
      <w:r>
        <w:rPr>
          <w:rFonts w:ascii="Arial" w:eastAsia="Times New Roman" w:hAnsi="Arial" w:cs="Arial"/>
          <w:szCs w:val="24"/>
          <w:lang w:val="en-GB" w:eastAsia="en-GB"/>
        </w:rPr>
        <w:t xml:space="preserve"> Dis. 55, 521-537. </w:t>
      </w:r>
      <w:proofErr w:type="spellStart"/>
      <w:r w:rsidRPr="0010582E">
        <w:rPr>
          <w:rFonts w:ascii="Arial" w:eastAsia="Times New Roman" w:hAnsi="Arial" w:cs="Arial"/>
          <w:szCs w:val="24"/>
          <w:lang w:val="en-GB" w:eastAsia="en-GB"/>
        </w:rPr>
        <w:t>doi</w:t>
      </w:r>
      <w:proofErr w:type="spellEnd"/>
      <w:r w:rsidRPr="0010582E">
        <w:rPr>
          <w:rFonts w:ascii="Arial" w:eastAsia="Times New Roman" w:hAnsi="Arial" w:cs="Arial"/>
          <w:szCs w:val="24"/>
          <w:lang w:val="en-GB" w:eastAsia="en-GB"/>
        </w:rPr>
        <w:t>: 10.3233/</w:t>
      </w:r>
      <w:r>
        <w:rPr>
          <w:rFonts w:ascii="Arial" w:eastAsia="Times New Roman" w:hAnsi="Arial" w:cs="Arial"/>
          <w:szCs w:val="24"/>
          <w:lang w:val="en-GB" w:eastAsia="en-GB"/>
        </w:rPr>
        <w:t>jad</w:t>
      </w:r>
      <w:r w:rsidRPr="0010582E">
        <w:rPr>
          <w:rFonts w:ascii="Arial" w:eastAsia="Times New Roman" w:hAnsi="Arial" w:cs="Arial"/>
          <w:szCs w:val="24"/>
          <w:lang w:val="en-GB" w:eastAsia="en-GB"/>
        </w:rPr>
        <w:t>-150695.</w:t>
      </w:r>
    </w:p>
    <w:p w14:paraId="1A00F725" w14:textId="50F51530" w:rsidR="00814919" w:rsidRDefault="00814919" w:rsidP="00814919">
      <w:pPr>
        <w:spacing w:before="0" w:after="160" w:line="480" w:lineRule="auto"/>
        <w:ind w:left="284" w:hanging="284"/>
        <w:rPr>
          <w:rFonts w:ascii="Arial" w:eastAsia="Times New Roman" w:hAnsi="Arial" w:cs="Arial"/>
          <w:szCs w:val="24"/>
          <w:lang w:val="en-GB" w:eastAsia="en-GB"/>
        </w:rPr>
      </w:pP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Jin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, M. W., </w:t>
      </w: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Pelak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, V. S. &amp; Cordes, D. (2012). Aberrant default mode network in subjects with amnestic mild cognitive impairment using resting-state functional MRI. </w:t>
      </w: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Magn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. </w:t>
      </w: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Reson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 xml:space="preserve">. Imaging 30, 48–61. </w:t>
      </w:r>
      <w:proofErr w:type="spellStart"/>
      <w:r w:rsidRPr="00814919">
        <w:rPr>
          <w:rFonts w:ascii="Arial" w:eastAsia="Times New Roman" w:hAnsi="Arial" w:cs="Arial"/>
          <w:szCs w:val="24"/>
          <w:lang w:val="en-GB" w:eastAsia="en-GB"/>
        </w:rPr>
        <w:t>doi</w:t>
      </w:r>
      <w:proofErr w:type="spellEnd"/>
      <w:r w:rsidRPr="00814919">
        <w:rPr>
          <w:rFonts w:ascii="Arial" w:eastAsia="Times New Roman" w:hAnsi="Arial" w:cs="Arial"/>
          <w:szCs w:val="24"/>
          <w:lang w:val="en-GB" w:eastAsia="en-GB"/>
        </w:rPr>
        <w:t>: 10.1016/j.mri.2011.07.007</w:t>
      </w:r>
    </w:p>
    <w:p w14:paraId="653AB471" w14:textId="04903BE6" w:rsidR="004D438C" w:rsidRPr="00E54F8B" w:rsidRDefault="004D438C" w:rsidP="00814919">
      <w:pPr>
        <w:spacing w:before="0" w:after="160" w:line="480" w:lineRule="auto"/>
        <w:ind w:left="284" w:hanging="284"/>
        <w:rPr>
          <w:rFonts w:ascii="Arial" w:eastAsia="Times New Roman" w:hAnsi="Arial" w:cs="Arial"/>
          <w:szCs w:val="24"/>
          <w:lang w:val="en-GB" w:eastAsia="en-GB"/>
        </w:rPr>
      </w:pPr>
      <w:proofErr w:type="spellStart"/>
      <w:r w:rsidRPr="004D438C">
        <w:rPr>
          <w:rFonts w:ascii="Arial" w:eastAsia="Times New Roman" w:hAnsi="Arial" w:cs="Arial"/>
          <w:szCs w:val="24"/>
          <w:lang w:val="en-GB" w:eastAsia="en-GB"/>
        </w:rPr>
        <w:t>Sarli</w:t>
      </w:r>
      <w:proofErr w:type="spellEnd"/>
      <w:r w:rsidRPr="004D438C">
        <w:rPr>
          <w:rFonts w:ascii="Arial" w:eastAsia="Times New Roman" w:hAnsi="Arial" w:cs="Arial"/>
          <w:szCs w:val="24"/>
          <w:lang w:val="en-GB" w:eastAsia="en-GB"/>
        </w:rPr>
        <w:t xml:space="preserve">, G., De Marco, M., </w:t>
      </w:r>
      <w:proofErr w:type="spellStart"/>
      <w:r w:rsidRPr="004D438C">
        <w:rPr>
          <w:rFonts w:ascii="Arial" w:eastAsia="Times New Roman" w:hAnsi="Arial" w:cs="Arial"/>
          <w:szCs w:val="24"/>
          <w:lang w:val="en-GB" w:eastAsia="en-GB"/>
        </w:rPr>
        <w:t>Hallikainen</w:t>
      </w:r>
      <w:proofErr w:type="spellEnd"/>
      <w:r w:rsidRPr="004D438C">
        <w:rPr>
          <w:rFonts w:ascii="Arial" w:eastAsia="Times New Roman" w:hAnsi="Arial" w:cs="Arial"/>
          <w:szCs w:val="24"/>
          <w:lang w:val="en-GB" w:eastAsia="en-GB"/>
        </w:rPr>
        <w:t xml:space="preserve">, M., </w:t>
      </w:r>
      <w:proofErr w:type="spellStart"/>
      <w:r w:rsidRPr="004D438C">
        <w:rPr>
          <w:rFonts w:ascii="Arial" w:eastAsia="Times New Roman" w:hAnsi="Arial" w:cs="Arial"/>
          <w:szCs w:val="24"/>
          <w:lang w:val="en-GB" w:eastAsia="en-GB"/>
        </w:rPr>
        <w:t>Soininen</w:t>
      </w:r>
      <w:proofErr w:type="spellEnd"/>
      <w:r w:rsidRPr="004D438C">
        <w:rPr>
          <w:rFonts w:ascii="Arial" w:eastAsia="Times New Roman" w:hAnsi="Arial" w:cs="Arial"/>
          <w:szCs w:val="24"/>
          <w:lang w:val="en-GB" w:eastAsia="en-GB"/>
        </w:rPr>
        <w:t>, H., Bruno, G.</w:t>
      </w:r>
      <w:r w:rsidR="004E75C9">
        <w:rPr>
          <w:rFonts w:ascii="Arial" w:eastAsia="Times New Roman" w:hAnsi="Arial" w:cs="Arial"/>
          <w:szCs w:val="24"/>
          <w:lang w:val="en-GB" w:eastAsia="en-GB"/>
        </w:rPr>
        <w:t xml:space="preserve"> &amp;</w:t>
      </w:r>
      <w:r w:rsidRPr="004D438C">
        <w:rPr>
          <w:rFonts w:ascii="Arial" w:eastAsia="Times New Roman" w:hAnsi="Arial" w:cs="Arial"/>
          <w:szCs w:val="24"/>
          <w:lang w:val="en-GB" w:eastAsia="en-GB"/>
        </w:rPr>
        <w:t xml:space="preserve"> </w:t>
      </w:r>
      <w:proofErr w:type="spellStart"/>
      <w:r w:rsidRPr="004D438C">
        <w:rPr>
          <w:rFonts w:ascii="Arial" w:eastAsia="Times New Roman" w:hAnsi="Arial" w:cs="Arial"/>
          <w:szCs w:val="24"/>
          <w:lang w:val="en-GB" w:eastAsia="en-GB"/>
        </w:rPr>
        <w:t>Venneri</w:t>
      </w:r>
      <w:proofErr w:type="spellEnd"/>
      <w:r w:rsidRPr="004D438C">
        <w:rPr>
          <w:rFonts w:ascii="Arial" w:eastAsia="Times New Roman" w:hAnsi="Arial" w:cs="Arial"/>
          <w:szCs w:val="24"/>
          <w:lang w:val="en-GB" w:eastAsia="en-GB"/>
        </w:rPr>
        <w:t xml:space="preserve">, A. (2021). Regional strength of large-scale functional brain networks is associated with regional volumes in older adults and in Alzheimer’s disease. Brain Connect. 11, 201-2012. </w:t>
      </w:r>
      <w:proofErr w:type="spellStart"/>
      <w:r w:rsidRPr="004D438C">
        <w:rPr>
          <w:rFonts w:ascii="Arial" w:eastAsia="Times New Roman" w:hAnsi="Arial" w:cs="Arial"/>
          <w:szCs w:val="24"/>
          <w:lang w:val="en-GB" w:eastAsia="en-GB"/>
        </w:rPr>
        <w:t>doi</w:t>
      </w:r>
      <w:proofErr w:type="spellEnd"/>
      <w:r w:rsidRPr="004D438C">
        <w:rPr>
          <w:rFonts w:ascii="Arial" w:eastAsia="Times New Roman" w:hAnsi="Arial" w:cs="Arial"/>
          <w:szCs w:val="24"/>
          <w:lang w:val="en-GB" w:eastAsia="en-GB"/>
        </w:rPr>
        <w:t>: 10.1089/brain.2020.0899</w:t>
      </w:r>
    </w:p>
    <w:p w14:paraId="07241BB0" w14:textId="554A25F5" w:rsidR="002868E2" w:rsidRPr="00E54F8B" w:rsidRDefault="002868E2" w:rsidP="00E54F8B">
      <w:pPr>
        <w:spacing w:before="0" w:after="160" w:line="480" w:lineRule="auto"/>
        <w:rPr>
          <w:rFonts w:ascii="Arial" w:hAnsi="Arial" w:cs="Arial"/>
          <w:b/>
          <w:szCs w:val="24"/>
        </w:rPr>
      </w:pPr>
    </w:p>
    <w:p w14:paraId="3D36C309" w14:textId="77777777" w:rsidR="00E54F8B" w:rsidRDefault="00E54F8B" w:rsidP="00E54F8B">
      <w:pPr>
        <w:spacing w:before="0" w:after="160" w:line="480" w:lineRule="auto"/>
        <w:rPr>
          <w:rFonts w:ascii="Arial" w:hAnsi="Arial" w:cs="Arial"/>
          <w:b/>
          <w:szCs w:val="24"/>
        </w:rPr>
        <w:sectPr w:rsidR="00E54F8B" w:rsidSect="00D602C7">
          <w:footerReference w:type="even" r:id="rId11"/>
          <w:footerReference w:type="default" r:id="rId12"/>
          <w:headerReference w:type="first" r:id="rId13"/>
          <w:pgSz w:w="12240" w:h="15840"/>
          <w:pgMar w:top="1140" w:right="1179" w:bottom="1140" w:left="1281" w:header="284" w:footer="510" w:gutter="0"/>
          <w:cols w:space="720"/>
          <w:titlePg/>
          <w:docGrid w:linePitch="360"/>
        </w:sectPr>
      </w:pPr>
    </w:p>
    <w:p w14:paraId="6B0AAAD5" w14:textId="7E7081F6" w:rsidR="00D5300D" w:rsidRPr="00E54F8B" w:rsidRDefault="00EF1ADF" w:rsidP="00E54F8B">
      <w:pPr>
        <w:spacing w:before="0" w:after="160" w:line="480" w:lineRule="auto"/>
        <w:rPr>
          <w:rFonts w:ascii="Arial" w:hAnsi="Arial" w:cs="Arial"/>
          <w:b/>
          <w:szCs w:val="24"/>
        </w:rPr>
      </w:pPr>
      <w:r w:rsidRPr="00E54F8B">
        <w:rPr>
          <w:rFonts w:ascii="Arial" w:hAnsi="Arial" w:cs="Arial"/>
          <w:b/>
          <w:szCs w:val="24"/>
        </w:rPr>
        <w:lastRenderedPageBreak/>
        <w:t>Supplementary Table 1</w:t>
      </w:r>
    </w:p>
    <w:tbl>
      <w:tblPr>
        <w:tblW w:w="12140" w:type="dxa"/>
        <w:tblLook w:val="04A0" w:firstRow="1" w:lastRow="0" w:firstColumn="1" w:lastColumn="0" w:noHBand="0" w:noVBand="1"/>
      </w:tblPr>
      <w:tblGrid>
        <w:gridCol w:w="1440"/>
        <w:gridCol w:w="1590"/>
        <w:gridCol w:w="1416"/>
        <w:gridCol w:w="2200"/>
        <w:gridCol w:w="1620"/>
        <w:gridCol w:w="1124"/>
        <w:gridCol w:w="881"/>
        <w:gridCol w:w="1118"/>
        <w:gridCol w:w="881"/>
      </w:tblGrid>
      <w:tr w:rsidR="00EF1ADF" w:rsidRPr="00EF1ADF" w14:paraId="5FDBF85E" w14:textId="77777777" w:rsidTr="00EF1ADF">
        <w:trPr>
          <w:trHeight w:val="310"/>
        </w:trPr>
        <w:tc>
          <w:tcPr>
            <w:tcW w:w="14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99157E3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  <w:t>Brain Region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5752F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  <w:t>Hemisphere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8CD5E1F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  <w:t>Brodmann Area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9A0A122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  <w:t>Z Score at Local Maximum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2524EF8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  <w:t xml:space="preserve">Cluster-Level </w:t>
            </w:r>
            <w:proofErr w:type="spellStart"/>
            <w:r w:rsidRPr="00EF1ADF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  <w:t>pFWE</w:t>
            </w:r>
            <w:proofErr w:type="spellEnd"/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AAC7415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  <w:t>Cluster Extent (voxels)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E2A5D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  <w:proofErr w:type="spellStart"/>
            <w:r w:rsidRPr="00EF1ADF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  <w:t>Talairach</w:t>
            </w:r>
            <w:proofErr w:type="spellEnd"/>
            <w:r w:rsidRPr="00EF1ADF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  <w:t xml:space="preserve"> Coordinates</w:t>
            </w:r>
          </w:p>
        </w:tc>
      </w:tr>
      <w:tr w:rsidR="00EF1ADF" w:rsidRPr="00EF1ADF" w14:paraId="796094E1" w14:textId="77777777" w:rsidTr="00EF1ADF">
        <w:trPr>
          <w:trHeight w:val="310"/>
        </w:trPr>
        <w:tc>
          <w:tcPr>
            <w:tcW w:w="14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D40C09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DE7F9A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D1F19D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</w:p>
        </w:tc>
        <w:tc>
          <w:tcPr>
            <w:tcW w:w="22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82EF67F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B30D2E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0D432D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D6E84B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  <w:t>x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A6202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  <w:t>y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EBB9E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val="en-GB" w:eastAsia="en-GB"/>
              </w:rPr>
              <w:t>z</w:t>
            </w:r>
          </w:p>
        </w:tc>
      </w:tr>
      <w:tr w:rsidR="00EF1ADF" w:rsidRPr="00EF1ADF" w14:paraId="70DE991F" w14:textId="77777777" w:rsidTr="00EF1ADF">
        <w:trPr>
          <w:trHeight w:val="310"/>
        </w:trPr>
        <w:tc>
          <w:tcPr>
            <w:tcW w:w="1214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3C7EF1" w14:textId="6BFD7464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i/>
                <w:iCs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i/>
                <w:iCs/>
                <w:color w:val="000000"/>
                <w:szCs w:val="24"/>
                <w:lang w:val="en-GB" w:eastAsia="en-GB"/>
              </w:rPr>
              <w:t>Posterior Default-Mode Network - Controls &gt; Patients</w:t>
            </w:r>
          </w:p>
        </w:tc>
      </w:tr>
      <w:tr w:rsidR="00EF1ADF" w:rsidRPr="00EF1ADF" w14:paraId="18CA697A" w14:textId="77777777" w:rsidTr="00EF1ADF">
        <w:trPr>
          <w:trHeight w:val="31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53598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proofErr w:type="spellStart"/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Precuneus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5E176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2C29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CE86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3.37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0DC46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0.032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2AFF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253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129A4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74A7A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-74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0F240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39</w:t>
            </w:r>
          </w:p>
        </w:tc>
      </w:tr>
      <w:tr w:rsidR="00EF1ADF" w:rsidRPr="00EF1ADF" w14:paraId="7AD6F78A" w14:textId="77777777" w:rsidTr="00EF1ADF">
        <w:trPr>
          <w:trHeight w:val="31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D3A33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proofErr w:type="spellStart"/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Precuneus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E77F0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C21FC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07452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3.34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B5B55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BBB25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7709A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7AF04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-59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21BF3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31</w:t>
            </w:r>
          </w:p>
        </w:tc>
      </w:tr>
      <w:tr w:rsidR="00EF1ADF" w:rsidRPr="00EF1ADF" w14:paraId="08B9757B" w14:textId="77777777" w:rsidTr="00EF1ADF">
        <w:trPr>
          <w:trHeight w:val="31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672A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Cuneus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97DD0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8050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382F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3.22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229E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BC12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EF2FA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-2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C44FF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-72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FE538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31</w:t>
            </w:r>
          </w:p>
        </w:tc>
      </w:tr>
      <w:tr w:rsidR="00EF1ADF" w:rsidRPr="00EF1ADF" w14:paraId="7C3E655D" w14:textId="77777777" w:rsidTr="00EF1ADF">
        <w:trPr>
          <w:trHeight w:val="31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CA4E2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proofErr w:type="spellStart"/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Precuneus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E4A98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0708D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AA810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3.21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E5BA8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F20F6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04A8C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14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893C9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-65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3EF6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25</w:t>
            </w:r>
          </w:p>
        </w:tc>
      </w:tr>
      <w:tr w:rsidR="00EF1ADF" w:rsidRPr="00EF1ADF" w14:paraId="7AF259EC" w14:textId="77777777" w:rsidTr="00EF1ADF">
        <w:trPr>
          <w:trHeight w:val="31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3A6B0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proofErr w:type="spellStart"/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Precuneus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E51D3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60C15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A4D62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3.02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7494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032A6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3DED3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8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81A4D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-70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5A0B0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35</w:t>
            </w:r>
          </w:p>
        </w:tc>
      </w:tr>
      <w:tr w:rsidR="00EF1ADF" w:rsidRPr="00EF1ADF" w14:paraId="7B3702D6" w14:textId="77777777" w:rsidTr="00EF1ADF">
        <w:trPr>
          <w:trHeight w:val="31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0B8B5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Cuneus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AC8E8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14E4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59E6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5BC1F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EDCDC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BB779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12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3E60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-70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7C32A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33</w:t>
            </w:r>
          </w:p>
        </w:tc>
      </w:tr>
      <w:tr w:rsidR="00EF1ADF" w:rsidRPr="00EF1ADF" w14:paraId="70AE06D8" w14:textId="77777777" w:rsidTr="00EF1ADF">
        <w:trPr>
          <w:trHeight w:val="31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4D11E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proofErr w:type="spellStart"/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Precuneus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72BAB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2E256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E552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2.93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739BA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E8497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15D9C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11D3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-63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9191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27</w:t>
            </w:r>
          </w:p>
        </w:tc>
      </w:tr>
      <w:tr w:rsidR="00EF1ADF" w:rsidRPr="00EF1ADF" w14:paraId="21229EFD" w14:textId="77777777" w:rsidTr="00EF1ADF">
        <w:trPr>
          <w:trHeight w:val="310"/>
        </w:trPr>
        <w:tc>
          <w:tcPr>
            <w:tcW w:w="121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497BE3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i/>
                <w:iCs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i/>
                <w:iCs/>
                <w:color w:val="000000"/>
                <w:szCs w:val="24"/>
                <w:lang w:val="en-GB" w:eastAsia="en-GB"/>
              </w:rPr>
              <w:t>Right Frontoparietal Network - Patients &gt; Controls</w:t>
            </w:r>
          </w:p>
        </w:tc>
      </w:tr>
      <w:tr w:rsidR="00EF1ADF" w:rsidRPr="00EF1ADF" w14:paraId="23EA9CF7" w14:textId="77777777" w:rsidTr="00EF1ADF">
        <w:trPr>
          <w:trHeight w:val="31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A1C7D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proofErr w:type="spellStart"/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Precuneus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3B34F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2DDFA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A9876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4.09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7BC24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0.005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95952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344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440A9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-2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5643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-70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321E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29</w:t>
            </w:r>
          </w:p>
        </w:tc>
      </w:tr>
      <w:tr w:rsidR="00EF1ADF" w:rsidRPr="00EF1ADF" w14:paraId="506D6E2B" w14:textId="77777777" w:rsidTr="00EF1ADF">
        <w:trPr>
          <w:trHeight w:val="31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7111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Cuneus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8201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21855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19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C6904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3.46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5AD20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F62F8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7C5D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-2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3E56F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-82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5B1A9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37</w:t>
            </w:r>
          </w:p>
        </w:tc>
      </w:tr>
      <w:tr w:rsidR="00EF1ADF" w:rsidRPr="00EF1ADF" w14:paraId="0DC8368B" w14:textId="77777777" w:rsidTr="00EF1ADF">
        <w:trPr>
          <w:trHeight w:val="31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8564B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Cuneus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3996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50E20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19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CB46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3.37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21AC5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99EFA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eastAsia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CB7E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-2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6A94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-78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8662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32</w:t>
            </w:r>
          </w:p>
        </w:tc>
      </w:tr>
      <w:tr w:rsidR="00EF1ADF" w:rsidRPr="00EF1ADF" w14:paraId="6C121F1C" w14:textId="77777777" w:rsidTr="00EF1ADF">
        <w:trPr>
          <w:trHeight w:val="310"/>
        </w:trPr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13D46" w14:textId="77777777" w:rsidR="00EF1ADF" w:rsidRPr="00EF1ADF" w:rsidRDefault="00EF1ADF" w:rsidP="00E54F8B">
            <w:pPr>
              <w:spacing w:before="0" w:after="160" w:line="360" w:lineRule="auto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proofErr w:type="spellStart"/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Precuneus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F88AE8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5D65F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2DF086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3.22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121BE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8406D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C7D9A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16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B34EA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-68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19E926" w14:textId="77777777" w:rsidR="00EF1ADF" w:rsidRPr="00EF1ADF" w:rsidRDefault="00EF1ADF" w:rsidP="00E54F8B">
            <w:pPr>
              <w:spacing w:before="0" w:after="160" w:line="360" w:lineRule="auto"/>
              <w:jc w:val="center"/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</w:pPr>
            <w:r w:rsidRPr="00EF1ADF">
              <w:rPr>
                <w:rFonts w:ascii="Arial" w:eastAsia="Times New Roman" w:hAnsi="Arial" w:cs="Arial"/>
                <w:color w:val="000000"/>
                <w:szCs w:val="24"/>
                <w:lang w:val="en-GB" w:eastAsia="en-GB"/>
              </w:rPr>
              <w:t>42</w:t>
            </w:r>
          </w:p>
        </w:tc>
      </w:tr>
    </w:tbl>
    <w:p w14:paraId="5B976B68" w14:textId="77777777" w:rsidR="00E54F8B" w:rsidRDefault="00E54F8B" w:rsidP="00E54F8B">
      <w:pPr>
        <w:spacing w:before="0" w:after="160" w:line="480" w:lineRule="auto"/>
        <w:rPr>
          <w:rFonts w:cs="Times New Roman"/>
          <w:b/>
          <w:szCs w:val="24"/>
        </w:rPr>
        <w:sectPr w:rsidR="00E54F8B" w:rsidSect="00E54F8B">
          <w:pgSz w:w="15840" w:h="12240" w:orient="landscape"/>
          <w:pgMar w:top="1281" w:right="1140" w:bottom="1179" w:left="1140" w:header="284" w:footer="510" w:gutter="0"/>
          <w:lnNumType w:countBy="1" w:restart="continuous"/>
          <w:cols w:space="720"/>
          <w:titlePg/>
          <w:docGrid w:linePitch="360"/>
        </w:sectPr>
      </w:pPr>
    </w:p>
    <w:p w14:paraId="5FCF32E6" w14:textId="7CC7F558" w:rsidR="00EF1ADF" w:rsidRPr="00F54575" w:rsidRDefault="00E54F8B" w:rsidP="00E54F8B">
      <w:pPr>
        <w:spacing w:before="0" w:after="160" w:line="480" w:lineRule="auto"/>
        <w:rPr>
          <w:rFonts w:ascii="Arial" w:hAnsi="Arial" w:cs="Arial"/>
          <w:b/>
          <w:szCs w:val="24"/>
        </w:rPr>
      </w:pPr>
      <w:r w:rsidRPr="00F54575">
        <w:rPr>
          <w:rFonts w:ascii="Arial" w:hAnsi="Arial" w:cs="Arial"/>
          <w:b/>
          <w:szCs w:val="24"/>
        </w:rPr>
        <w:lastRenderedPageBreak/>
        <w:t>Supplementary Figure 1</w:t>
      </w:r>
    </w:p>
    <w:p w14:paraId="1E1C312C" w14:textId="61F5DC17" w:rsidR="00E54F8B" w:rsidRPr="00F54575" w:rsidRDefault="00E54F8B" w:rsidP="004B1E91">
      <w:pPr>
        <w:spacing w:before="0" w:after="160" w:line="480" w:lineRule="auto"/>
        <w:jc w:val="center"/>
        <w:rPr>
          <w:rFonts w:ascii="Arial" w:hAnsi="Arial" w:cs="Arial"/>
          <w:b/>
          <w:szCs w:val="24"/>
        </w:rPr>
      </w:pPr>
      <w:r w:rsidRPr="00F54575">
        <w:rPr>
          <w:rFonts w:ascii="Arial" w:hAnsi="Arial" w:cs="Arial"/>
          <w:b/>
          <w:noProof/>
          <w:szCs w:val="24"/>
          <w:lang w:val="en-GB" w:eastAsia="en-GB"/>
        </w:rPr>
        <w:drawing>
          <wp:inline distT="0" distB="0" distL="0" distR="0" wp14:anchorId="68C9D886" wp14:editId="61D060B3">
            <wp:extent cx="6162675" cy="3228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95019" w14:textId="6BB730E2" w:rsidR="006F3574" w:rsidRDefault="00E54F8B" w:rsidP="00E54F8B">
      <w:pPr>
        <w:spacing w:before="0" w:after="160" w:line="480" w:lineRule="auto"/>
        <w:rPr>
          <w:rFonts w:ascii="Arial" w:hAnsi="Arial" w:cs="Arial"/>
          <w:szCs w:val="24"/>
        </w:rPr>
      </w:pPr>
      <w:r w:rsidRPr="00F54575">
        <w:rPr>
          <w:rFonts w:ascii="Arial" w:hAnsi="Arial" w:cs="Arial"/>
          <w:szCs w:val="24"/>
        </w:rPr>
        <w:t xml:space="preserve">Differences </w:t>
      </w:r>
      <w:r w:rsidR="004B1E91">
        <w:rPr>
          <w:rFonts w:ascii="Arial" w:hAnsi="Arial" w:cs="Arial"/>
          <w:szCs w:val="24"/>
        </w:rPr>
        <w:t xml:space="preserve">(significant at a cluster-forming threshold equal to </w:t>
      </w:r>
      <w:r w:rsidR="004B1E91" w:rsidRPr="004B1E91">
        <w:rPr>
          <w:rFonts w:ascii="Arial" w:hAnsi="Arial" w:cs="Arial"/>
          <w:i/>
          <w:szCs w:val="24"/>
        </w:rPr>
        <w:t>p</w:t>
      </w:r>
      <w:r w:rsidR="004B1E91">
        <w:rPr>
          <w:rFonts w:ascii="Arial" w:hAnsi="Arial" w:cs="Arial"/>
          <w:szCs w:val="24"/>
        </w:rPr>
        <w:t xml:space="preserve"> &lt; 0.005) </w:t>
      </w:r>
      <w:r w:rsidRPr="00F54575">
        <w:rPr>
          <w:rFonts w:ascii="Arial" w:hAnsi="Arial" w:cs="Arial"/>
          <w:szCs w:val="24"/>
        </w:rPr>
        <w:t xml:space="preserve">between patients and </w:t>
      </w:r>
      <w:r w:rsidR="00065195">
        <w:rPr>
          <w:rFonts w:ascii="Arial" w:hAnsi="Arial" w:cs="Arial"/>
          <w:szCs w:val="24"/>
        </w:rPr>
        <w:t xml:space="preserve">healthy </w:t>
      </w:r>
      <w:r w:rsidRPr="00F54575">
        <w:rPr>
          <w:rFonts w:ascii="Arial" w:hAnsi="Arial" w:cs="Arial"/>
          <w:szCs w:val="24"/>
        </w:rPr>
        <w:t xml:space="preserve">controls in two of the five large-scale pathways investigated in this study.  Network contours (obtained via one-sample </w:t>
      </w:r>
      <w:r w:rsidRPr="00F54575">
        <w:rPr>
          <w:rFonts w:ascii="Arial" w:hAnsi="Arial" w:cs="Arial"/>
          <w:i/>
          <w:szCs w:val="24"/>
        </w:rPr>
        <w:t>t</w:t>
      </w:r>
      <w:r w:rsidRPr="00F54575">
        <w:rPr>
          <w:rFonts w:ascii="Arial" w:hAnsi="Arial" w:cs="Arial"/>
          <w:szCs w:val="24"/>
        </w:rPr>
        <w:t>-tests) are shown on the left hand-side.  The strength of the statistical effect is illustrated on the right hand-side.</w:t>
      </w:r>
      <w:r w:rsidR="00B4361F">
        <w:rPr>
          <w:rFonts w:ascii="Arial" w:hAnsi="Arial" w:cs="Arial"/>
          <w:szCs w:val="24"/>
        </w:rPr>
        <w:t xml:space="preserve"> </w:t>
      </w:r>
      <w:proofErr w:type="spellStart"/>
      <w:r w:rsidR="00B4361F">
        <w:rPr>
          <w:rFonts w:ascii="Arial" w:hAnsi="Arial" w:cs="Arial"/>
          <w:szCs w:val="24"/>
        </w:rPr>
        <w:t>pDMN</w:t>
      </w:r>
      <w:proofErr w:type="spellEnd"/>
      <w:r w:rsidR="00B4361F">
        <w:rPr>
          <w:rFonts w:ascii="Arial" w:hAnsi="Arial" w:cs="Arial"/>
          <w:szCs w:val="24"/>
        </w:rPr>
        <w:t xml:space="preserve">: posterior default-mode network; </w:t>
      </w:r>
      <w:proofErr w:type="spellStart"/>
      <w:r w:rsidR="00B4361F">
        <w:rPr>
          <w:rFonts w:ascii="Arial" w:hAnsi="Arial" w:cs="Arial"/>
          <w:szCs w:val="24"/>
        </w:rPr>
        <w:t>rFPM</w:t>
      </w:r>
      <w:proofErr w:type="spellEnd"/>
      <w:r w:rsidR="00B4361F">
        <w:rPr>
          <w:rFonts w:ascii="Arial" w:hAnsi="Arial" w:cs="Arial"/>
          <w:szCs w:val="24"/>
        </w:rPr>
        <w:t>: right frontoparietal network.</w:t>
      </w:r>
    </w:p>
    <w:p w14:paraId="6CE1C717" w14:textId="77777777" w:rsidR="006F3574" w:rsidRDefault="006F3574">
      <w:pPr>
        <w:spacing w:before="0" w:after="200"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6B6293B7" w14:textId="3D83D9FD" w:rsidR="006F3574" w:rsidRPr="00F54575" w:rsidRDefault="006F3574" w:rsidP="006F3574">
      <w:pPr>
        <w:spacing w:before="0" w:after="160" w:line="480" w:lineRule="auto"/>
        <w:rPr>
          <w:rFonts w:ascii="Arial" w:hAnsi="Arial" w:cs="Arial"/>
          <w:b/>
          <w:szCs w:val="24"/>
        </w:rPr>
      </w:pPr>
      <w:r w:rsidRPr="00F54575">
        <w:rPr>
          <w:rFonts w:ascii="Arial" w:hAnsi="Arial" w:cs="Arial"/>
          <w:b/>
          <w:szCs w:val="24"/>
        </w:rPr>
        <w:lastRenderedPageBreak/>
        <w:t xml:space="preserve">Supplementary Figure </w:t>
      </w:r>
      <w:r w:rsidR="004B1E91">
        <w:rPr>
          <w:rFonts w:ascii="Arial" w:hAnsi="Arial" w:cs="Arial"/>
          <w:b/>
          <w:szCs w:val="24"/>
        </w:rPr>
        <w:t>2</w:t>
      </w:r>
    </w:p>
    <w:p w14:paraId="40711C47" w14:textId="5B24B1AB" w:rsidR="00E54F8B" w:rsidRDefault="00B4361F" w:rsidP="00B4361F">
      <w:pPr>
        <w:spacing w:before="0" w:after="160" w:line="48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val="en-GB" w:eastAsia="en-GB"/>
        </w:rPr>
        <w:drawing>
          <wp:inline distT="0" distB="0" distL="0" distR="0" wp14:anchorId="29C0C8D6" wp14:editId="3A0F2D0E">
            <wp:extent cx="4429125" cy="42724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Image 2- Salience Network - Exploratory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461" cy="427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A0F6" w14:textId="29CA926A" w:rsidR="004B1E91" w:rsidRDefault="004B1E91" w:rsidP="004B1E91">
      <w:pPr>
        <w:spacing w:before="0" w:after="160" w:line="480" w:lineRule="auto"/>
        <w:rPr>
          <w:rFonts w:ascii="Arial" w:hAnsi="Arial" w:cs="Arial"/>
          <w:szCs w:val="24"/>
        </w:rPr>
      </w:pPr>
      <w:r w:rsidRPr="00F54575">
        <w:rPr>
          <w:rFonts w:ascii="Arial" w:hAnsi="Arial" w:cs="Arial"/>
          <w:szCs w:val="24"/>
        </w:rPr>
        <w:t xml:space="preserve">Differences </w:t>
      </w:r>
      <w:r>
        <w:rPr>
          <w:rFonts w:ascii="Arial" w:hAnsi="Arial" w:cs="Arial"/>
          <w:szCs w:val="24"/>
        </w:rPr>
        <w:t xml:space="preserve">(significant at a liberal and exploratory cluster-forming threshold equal to </w:t>
      </w:r>
      <w:r w:rsidRPr="004B1E91">
        <w:rPr>
          <w:rFonts w:ascii="Arial" w:hAnsi="Arial" w:cs="Arial"/>
          <w:i/>
          <w:szCs w:val="24"/>
        </w:rPr>
        <w:t>p</w:t>
      </w:r>
      <w:r>
        <w:rPr>
          <w:rFonts w:ascii="Arial" w:hAnsi="Arial" w:cs="Arial"/>
          <w:szCs w:val="24"/>
        </w:rPr>
        <w:t xml:space="preserve"> &lt; 0.05) </w:t>
      </w:r>
      <w:r w:rsidRPr="00F54575">
        <w:rPr>
          <w:rFonts w:ascii="Arial" w:hAnsi="Arial" w:cs="Arial"/>
          <w:szCs w:val="24"/>
        </w:rPr>
        <w:t xml:space="preserve">between patients and controls in </w:t>
      </w:r>
      <w:r>
        <w:rPr>
          <w:rFonts w:ascii="Arial" w:hAnsi="Arial" w:cs="Arial"/>
          <w:szCs w:val="24"/>
        </w:rPr>
        <w:t>the salience network</w:t>
      </w:r>
      <w:r w:rsidRPr="00F54575">
        <w:rPr>
          <w:rFonts w:ascii="Arial" w:hAnsi="Arial" w:cs="Arial"/>
          <w:szCs w:val="24"/>
        </w:rPr>
        <w:t xml:space="preserve">.  Network contours (obtained via </w:t>
      </w:r>
      <w:r w:rsidR="00B4361F">
        <w:rPr>
          <w:rFonts w:ascii="Arial" w:hAnsi="Arial" w:cs="Arial"/>
          <w:szCs w:val="24"/>
        </w:rPr>
        <w:t xml:space="preserve">a </w:t>
      </w:r>
      <w:r w:rsidRPr="00F54575">
        <w:rPr>
          <w:rFonts w:ascii="Arial" w:hAnsi="Arial" w:cs="Arial"/>
          <w:szCs w:val="24"/>
        </w:rPr>
        <w:t xml:space="preserve">one-sample </w:t>
      </w:r>
      <w:r w:rsidRPr="00F54575">
        <w:rPr>
          <w:rFonts w:ascii="Arial" w:hAnsi="Arial" w:cs="Arial"/>
          <w:i/>
          <w:szCs w:val="24"/>
        </w:rPr>
        <w:t>t</w:t>
      </w:r>
      <w:r w:rsidRPr="00F54575">
        <w:rPr>
          <w:rFonts w:ascii="Arial" w:hAnsi="Arial" w:cs="Arial"/>
          <w:szCs w:val="24"/>
        </w:rPr>
        <w:t xml:space="preserve">-test) are </w:t>
      </w:r>
      <w:proofErr w:type="spellStart"/>
      <w:r>
        <w:rPr>
          <w:rFonts w:ascii="Arial" w:hAnsi="Arial" w:cs="Arial"/>
          <w:szCs w:val="24"/>
        </w:rPr>
        <w:t>coloured</w:t>
      </w:r>
      <w:proofErr w:type="spellEnd"/>
      <w:r>
        <w:rPr>
          <w:rFonts w:ascii="Arial" w:hAnsi="Arial" w:cs="Arial"/>
          <w:szCs w:val="24"/>
        </w:rPr>
        <w:t xml:space="preserve"> in blue and </w:t>
      </w:r>
      <w:r w:rsidRPr="00F54575">
        <w:rPr>
          <w:rFonts w:ascii="Arial" w:hAnsi="Arial" w:cs="Arial"/>
          <w:szCs w:val="24"/>
        </w:rPr>
        <w:t xml:space="preserve">shown </w:t>
      </w:r>
      <w:r>
        <w:rPr>
          <w:rFonts w:ascii="Arial" w:hAnsi="Arial" w:cs="Arial"/>
          <w:szCs w:val="24"/>
        </w:rPr>
        <w:t>above</w:t>
      </w:r>
      <w:r w:rsidRPr="00F54575">
        <w:rPr>
          <w:rFonts w:ascii="Arial" w:hAnsi="Arial" w:cs="Arial"/>
          <w:szCs w:val="24"/>
        </w:rPr>
        <w:t xml:space="preserve">.  The </w:t>
      </w:r>
      <w:r>
        <w:rPr>
          <w:rFonts w:ascii="Arial" w:hAnsi="Arial" w:cs="Arial"/>
          <w:szCs w:val="24"/>
        </w:rPr>
        <w:t>map</w:t>
      </w:r>
      <w:r w:rsidRPr="00F54575">
        <w:rPr>
          <w:rFonts w:ascii="Arial" w:hAnsi="Arial" w:cs="Arial"/>
          <w:szCs w:val="24"/>
        </w:rPr>
        <w:t xml:space="preserve"> of the statistical effect is illustrated </w:t>
      </w:r>
      <w:r>
        <w:rPr>
          <w:rFonts w:ascii="Arial" w:hAnsi="Arial" w:cs="Arial"/>
          <w:szCs w:val="24"/>
        </w:rPr>
        <w:t>below</w:t>
      </w:r>
      <w:r w:rsidRPr="00F54575">
        <w:rPr>
          <w:rFonts w:ascii="Arial" w:hAnsi="Arial" w:cs="Arial"/>
          <w:szCs w:val="24"/>
        </w:rPr>
        <w:t>.</w:t>
      </w:r>
    </w:p>
    <w:p w14:paraId="492210E4" w14:textId="77777777" w:rsidR="006F3574" w:rsidRPr="00F54575" w:rsidRDefault="006F3574" w:rsidP="00E54F8B">
      <w:pPr>
        <w:spacing w:before="0" w:after="160" w:line="480" w:lineRule="auto"/>
        <w:rPr>
          <w:rFonts w:ascii="Arial" w:hAnsi="Arial" w:cs="Arial"/>
          <w:szCs w:val="24"/>
        </w:rPr>
      </w:pPr>
    </w:p>
    <w:sectPr w:rsidR="006F3574" w:rsidRPr="00F54575" w:rsidSect="00B4361F">
      <w:pgSz w:w="12240" w:h="15840"/>
      <w:pgMar w:top="1140" w:right="1179" w:bottom="1140" w:left="1281" w:header="284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E9533" w14:textId="77777777" w:rsidR="000367D8" w:rsidRDefault="000367D8" w:rsidP="00117666">
      <w:pPr>
        <w:spacing w:after="0"/>
      </w:pPr>
      <w:r>
        <w:separator/>
      </w:r>
    </w:p>
  </w:endnote>
  <w:endnote w:type="continuationSeparator" w:id="0">
    <w:p w14:paraId="7AB42409" w14:textId="77777777" w:rsidR="000367D8" w:rsidRDefault="000367D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D3D87" w14:textId="02BC5CFA" w:rsidR="00B80D98" w:rsidRPr="00577C4C" w:rsidRDefault="00B80D98">
    <w:pPr>
      <w:pStyle w:val="Footer"/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D4B8BD" wp14:editId="0F47980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951C5" w14:textId="11E303CA" w:rsidR="00B80D98" w:rsidRPr="00577C4C" w:rsidRDefault="00B80D98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82D7F" w:rsidRPr="00482D7F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D4B8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214951C5" w14:textId="11E303CA" w:rsidR="00B80D98" w:rsidRPr="00577C4C" w:rsidRDefault="00B80D98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82D7F" w:rsidRPr="00482D7F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0BFF2" w14:textId="77777777" w:rsidR="00B80D98" w:rsidRPr="00577C4C" w:rsidRDefault="00B80D98">
    <w:pPr>
      <w:pStyle w:val="Footer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C4AF3B6" wp14:editId="527467E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070C5" w14:textId="0BBC67BB" w:rsidR="00B80D98" w:rsidRPr="00577C4C" w:rsidRDefault="00B80D98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82D7F" w:rsidRPr="00482D7F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AF3B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74D070C5" w14:textId="0BBC67BB" w:rsidR="00B80D98" w:rsidRPr="00577C4C" w:rsidRDefault="00B80D98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82D7F" w:rsidRPr="00482D7F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0EDEB" w14:textId="77777777" w:rsidR="000367D8" w:rsidRDefault="000367D8" w:rsidP="00117666">
      <w:pPr>
        <w:spacing w:after="0"/>
      </w:pPr>
      <w:r>
        <w:separator/>
      </w:r>
    </w:p>
  </w:footnote>
  <w:footnote w:type="continuationSeparator" w:id="0">
    <w:p w14:paraId="622A58C1" w14:textId="77777777" w:rsidR="000367D8" w:rsidRDefault="000367D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F27F1" w14:textId="77777777" w:rsidR="00B80D98" w:rsidRDefault="00B80D98" w:rsidP="00A53000">
    <w:pPr>
      <w:pStyle w:val="Header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56C3F4FE" wp14:editId="369AA4D1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44724"/>
    <w:multiLevelType w:val="multilevel"/>
    <w:tmpl w:val="E5C8CD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2A7CAC"/>
    <w:multiLevelType w:val="multilevel"/>
    <w:tmpl w:val="C6A8CCEA"/>
    <w:numStyleLink w:val="Headings"/>
  </w:abstractNum>
  <w:abstractNum w:abstractNumId="7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05FD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5E4DF3"/>
    <w:multiLevelType w:val="multilevel"/>
    <w:tmpl w:val="465833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F6AC2"/>
    <w:multiLevelType w:val="multilevel"/>
    <w:tmpl w:val="F936196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DBC6F29"/>
    <w:multiLevelType w:val="multilevel"/>
    <w:tmpl w:val="C6A8CCEA"/>
    <w:numStyleLink w:val="Headings"/>
  </w:abstractNum>
  <w:abstractNum w:abstractNumId="21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6"/>
  </w:num>
  <w:num w:numId="3">
    <w:abstractNumId w:val="1"/>
  </w:num>
  <w:num w:numId="4">
    <w:abstractNumId w:val="1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9"/>
  </w:num>
  <w:num w:numId="8">
    <w:abstractNumId w:val="7"/>
  </w:num>
  <w:num w:numId="9">
    <w:abstractNumId w:val="10"/>
  </w:num>
  <w:num w:numId="10">
    <w:abstractNumId w:val="8"/>
  </w:num>
  <w:num w:numId="11">
    <w:abstractNumId w:val="3"/>
  </w:num>
  <w:num w:numId="12">
    <w:abstractNumId w:val="21"/>
  </w:num>
  <w:num w:numId="13">
    <w:abstractNumId w:val="15"/>
  </w:num>
  <w:num w:numId="14">
    <w:abstractNumId w:val="5"/>
  </w:num>
  <w:num w:numId="15">
    <w:abstractNumId w:val="13"/>
  </w:num>
  <w:num w:numId="16">
    <w:abstractNumId w:val="17"/>
  </w:num>
  <w:num w:numId="17">
    <w:abstractNumId w:val="4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20"/>
  </w:num>
  <w:num w:numId="21">
    <w:abstractNumId w:val="4"/>
  </w:num>
  <w:num w:numId="22">
    <w:abstractNumId w:val="4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4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4"/>
      <w:lvl w:ilvl="6">
        <w:start w:val="4"/>
        <w:numFmt w:val="decimal"/>
        <w:lvlText w:val=""/>
        <w:lvlJc w:val="left"/>
      </w:lvl>
    </w:lvlOverride>
  </w:num>
  <w:num w:numId="24">
    <w:abstractNumId w:val="4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7"/>
      <w:lvl w:ilvl="6">
        <w:start w:val="7"/>
        <w:numFmt w:val="decimal"/>
        <w:lvlText w:val=""/>
        <w:lvlJc w:val="left"/>
      </w:lvl>
    </w:lvlOverride>
  </w:num>
  <w:num w:numId="25">
    <w:abstractNumId w:val="11"/>
  </w:num>
  <w:num w:numId="26">
    <w:abstractNumId w:val="14"/>
  </w:num>
  <w:num w:numId="27">
    <w:abstractNumId w:val="2"/>
  </w:num>
  <w:num w:numId="28">
    <w:abstractNumId w:val="19"/>
  </w:num>
  <w:num w:numId="29">
    <w:abstractNumId w:val="4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7"/>
      <w:lvl w:ilvl="6">
        <w:start w:val="7"/>
        <w:numFmt w:val="decimal"/>
        <w:lvlText w:val=""/>
        <w:lvlJc w:val="left"/>
      </w:lvl>
    </w:lvlOverride>
  </w:num>
  <w:num w:numId="30">
    <w:abstractNumId w:val="4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1">
    <w:abstractNumId w:val="4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2">
    <w:abstractNumId w:val="4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3">
    <w:abstractNumId w:val="4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821"/>
    <w:rsid w:val="000022CE"/>
    <w:rsid w:val="000035A7"/>
    <w:rsid w:val="0000509A"/>
    <w:rsid w:val="00014F32"/>
    <w:rsid w:val="000206EC"/>
    <w:rsid w:val="00030516"/>
    <w:rsid w:val="00034304"/>
    <w:rsid w:val="00035434"/>
    <w:rsid w:val="000367D8"/>
    <w:rsid w:val="00043A0D"/>
    <w:rsid w:val="00045678"/>
    <w:rsid w:val="000458E4"/>
    <w:rsid w:val="00051B05"/>
    <w:rsid w:val="00053A01"/>
    <w:rsid w:val="00063D84"/>
    <w:rsid w:val="00065195"/>
    <w:rsid w:val="0006636D"/>
    <w:rsid w:val="00073FD6"/>
    <w:rsid w:val="00077D53"/>
    <w:rsid w:val="00081394"/>
    <w:rsid w:val="000902BF"/>
    <w:rsid w:val="000902D3"/>
    <w:rsid w:val="00097F86"/>
    <w:rsid w:val="000A3E8B"/>
    <w:rsid w:val="000B34BD"/>
    <w:rsid w:val="000C0773"/>
    <w:rsid w:val="000C7E2A"/>
    <w:rsid w:val="000D4D0A"/>
    <w:rsid w:val="000E7DA4"/>
    <w:rsid w:val="000F1F8B"/>
    <w:rsid w:val="000F4CFB"/>
    <w:rsid w:val="001011E0"/>
    <w:rsid w:val="00102B8C"/>
    <w:rsid w:val="0010582E"/>
    <w:rsid w:val="0010645D"/>
    <w:rsid w:val="00117666"/>
    <w:rsid w:val="001223A7"/>
    <w:rsid w:val="00134256"/>
    <w:rsid w:val="00144E64"/>
    <w:rsid w:val="00147395"/>
    <w:rsid w:val="001552C9"/>
    <w:rsid w:val="00162DD8"/>
    <w:rsid w:val="0016455F"/>
    <w:rsid w:val="001720F3"/>
    <w:rsid w:val="00177D84"/>
    <w:rsid w:val="001964EF"/>
    <w:rsid w:val="001A1AE9"/>
    <w:rsid w:val="001B1A2C"/>
    <w:rsid w:val="001D09FE"/>
    <w:rsid w:val="001D5C23"/>
    <w:rsid w:val="001E2D66"/>
    <w:rsid w:val="001E44AC"/>
    <w:rsid w:val="001F2DA2"/>
    <w:rsid w:val="001F4C07"/>
    <w:rsid w:val="001F78AB"/>
    <w:rsid w:val="00220AEA"/>
    <w:rsid w:val="00221CA1"/>
    <w:rsid w:val="00226533"/>
    <w:rsid w:val="00226954"/>
    <w:rsid w:val="00245F06"/>
    <w:rsid w:val="00250CDD"/>
    <w:rsid w:val="00262850"/>
    <w:rsid w:val="002629A3"/>
    <w:rsid w:val="00264CDC"/>
    <w:rsid w:val="00265660"/>
    <w:rsid w:val="00267D18"/>
    <w:rsid w:val="002703F3"/>
    <w:rsid w:val="002868E2"/>
    <w:rsid w:val="002869C3"/>
    <w:rsid w:val="002936E4"/>
    <w:rsid w:val="00296B88"/>
    <w:rsid w:val="002A4523"/>
    <w:rsid w:val="002A4DDC"/>
    <w:rsid w:val="002B680A"/>
    <w:rsid w:val="002C74CA"/>
    <w:rsid w:val="002D7B74"/>
    <w:rsid w:val="002F6B85"/>
    <w:rsid w:val="002F744D"/>
    <w:rsid w:val="00303DE6"/>
    <w:rsid w:val="00310124"/>
    <w:rsid w:val="0032104D"/>
    <w:rsid w:val="003239B1"/>
    <w:rsid w:val="003266A0"/>
    <w:rsid w:val="003348E4"/>
    <w:rsid w:val="003420B6"/>
    <w:rsid w:val="00347D36"/>
    <w:rsid w:val="003503B3"/>
    <w:rsid w:val="00351838"/>
    <w:rsid w:val="00352C9D"/>
    <w:rsid w:val="003544FB"/>
    <w:rsid w:val="00362AD4"/>
    <w:rsid w:val="00365D63"/>
    <w:rsid w:val="0036793B"/>
    <w:rsid w:val="00372682"/>
    <w:rsid w:val="00376CC5"/>
    <w:rsid w:val="0037797E"/>
    <w:rsid w:val="003868B6"/>
    <w:rsid w:val="0039318B"/>
    <w:rsid w:val="0039693B"/>
    <w:rsid w:val="003A479C"/>
    <w:rsid w:val="003B04C6"/>
    <w:rsid w:val="003B44F0"/>
    <w:rsid w:val="003D0E61"/>
    <w:rsid w:val="003D2F2D"/>
    <w:rsid w:val="003D37A4"/>
    <w:rsid w:val="003E3C7F"/>
    <w:rsid w:val="003F46F8"/>
    <w:rsid w:val="00400AA9"/>
    <w:rsid w:val="00401590"/>
    <w:rsid w:val="00404B9E"/>
    <w:rsid w:val="00404BCA"/>
    <w:rsid w:val="0041218A"/>
    <w:rsid w:val="004145E7"/>
    <w:rsid w:val="00422C94"/>
    <w:rsid w:val="00427DB2"/>
    <w:rsid w:val="00430483"/>
    <w:rsid w:val="004459A5"/>
    <w:rsid w:val="004615C1"/>
    <w:rsid w:val="00463E3D"/>
    <w:rsid w:val="004645AE"/>
    <w:rsid w:val="00472B66"/>
    <w:rsid w:val="00480FC2"/>
    <w:rsid w:val="00482D7F"/>
    <w:rsid w:val="00491C4D"/>
    <w:rsid w:val="00492D2D"/>
    <w:rsid w:val="004932C0"/>
    <w:rsid w:val="00495114"/>
    <w:rsid w:val="004A4A54"/>
    <w:rsid w:val="004B1E91"/>
    <w:rsid w:val="004D1308"/>
    <w:rsid w:val="004D3E33"/>
    <w:rsid w:val="004D438C"/>
    <w:rsid w:val="004E060D"/>
    <w:rsid w:val="004E69E1"/>
    <w:rsid w:val="004E75C9"/>
    <w:rsid w:val="004F07AE"/>
    <w:rsid w:val="004F458C"/>
    <w:rsid w:val="005142E1"/>
    <w:rsid w:val="00520D21"/>
    <w:rsid w:val="005250F2"/>
    <w:rsid w:val="00542C84"/>
    <w:rsid w:val="00555ED4"/>
    <w:rsid w:val="00561DC0"/>
    <w:rsid w:val="00572542"/>
    <w:rsid w:val="00595AB1"/>
    <w:rsid w:val="00595B3C"/>
    <w:rsid w:val="005A1D84"/>
    <w:rsid w:val="005A65A9"/>
    <w:rsid w:val="005A70EA"/>
    <w:rsid w:val="005B1981"/>
    <w:rsid w:val="005B7F21"/>
    <w:rsid w:val="005C1EB9"/>
    <w:rsid w:val="005C3963"/>
    <w:rsid w:val="005C41C1"/>
    <w:rsid w:val="005D1840"/>
    <w:rsid w:val="005D29DC"/>
    <w:rsid w:val="005D35E4"/>
    <w:rsid w:val="005D4EBF"/>
    <w:rsid w:val="005D7910"/>
    <w:rsid w:val="0060782F"/>
    <w:rsid w:val="006148E9"/>
    <w:rsid w:val="0062154F"/>
    <w:rsid w:val="00623673"/>
    <w:rsid w:val="00631A8C"/>
    <w:rsid w:val="006379B2"/>
    <w:rsid w:val="006504B8"/>
    <w:rsid w:val="00651CA2"/>
    <w:rsid w:val="00653D60"/>
    <w:rsid w:val="0065442C"/>
    <w:rsid w:val="00660D05"/>
    <w:rsid w:val="00662F55"/>
    <w:rsid w:val="00670E54"/>
    <w:rsid w:val="00671D9A"/>
    <w:rsid w:val="00673952"/>
    <w:rsid w:val="006774C0"/>
    <w:rsid w:val="00681821"/>
    <w:rsid w:val="00686C9D"/>
    <w:rsid w:val="00687F9B"/>
    <w:rsid w:val="00690231"/>
    <w:rsid w:val="0069655A"/>
    <w:rsid w:val="006B2D5B"/>
    <w:rsid w:val="006B7D14"/>
    <w:rsid w:val="006C3266"/>
    <w:rsid w:val="006C42E3"/>
    <w:rsid w:val="006C4C91"/>
    <w:rsid w:val="006D0BCE"/>
    <w:rsid w:val="006D5B93"/>
    <w:rsid w:val="006F18BD"/>
    <w:rsid w:val="006F3574"/>
    <w:rsid w:val="00720CAE"/>
    <w:rsid w:val="00725A7D"/>
    <w:rsid w:val="007267B1"/>
    <w:rsid w:val="0073085C"/>
    <w:rsid w:val="00733784"/>
    <w:rsid w:val="00735FEA"/>
    <w:rsid w:val="00746312"/>
    <w:rsid w:val="00746505"/>
    <w:rsid w:val="00775FD7"/>
    <w:rsid w:val="00790BB3"/>
    <w:rsid w:val="00792043"/>
    <w:rsid w:val="00797EDD"/>
    <w:rsid w:val="007A7A62"/>
    <w:rsid w:val="007A7B75"/>
    <w:rsid w:val="007B0322"/>
    <w:rsid w:val="007B5369"/>
    <w:rsid w:val="007B644F"/>
    <w:rsid w:val="007C0790"/>
    <w:rsid w:val="007C0D71"/>
    <w:rsid w:val="007C0E3F"/>
    <w:rsid w:val="007C1E50"/>
    <w:rsid w:val="007C206C"/>
    <w:rsid w:val="007C5729"/>
    <w:rsid w:val="007C661A"/>
    <w:rsid w:val="007E07A8"/>
    <w:rsid w:val="00806F38"/>
    <w:rsid w:val="008079B2"/>
    <w:rsid w:val="008111E4"/>
    <w:rsid w:val="0081301C"/>
    <w:rsid w:val="00814919"/>
    <w:rsid w:val="00817DD6"/>
    <w:rsid w:val="00827BC0"/>
    <w:rsid w:val="008629A9"/>
    <w:rsid w:val="008642D2"/>
    <w:rsid w:val="00865B8E"/>
    <w:rsid w:val="00876E69"/>
    <w:rsid w:val="0088274C"/>
    <w:rsid w:val="0088513A"/>
    <w:rsid w:val="00887769"/>
    <w:rsid w:val="00893C19"/>
    <w:rsid w:val="00894A53"/>
    <w:rsid w:val="00896A06"/>
    <w:rsid w:val="008A23CA"/>
    <w:rsid w:val="008A6E6F"/>
    <w:rsid w:val="008B1DCD"/>
    <w:rsid w:val="008C7C4D"/>
    <w:rsid w:val="008D139E"/>
    <w:rsid w:val="008D6C8D"/>
    <w:rsid w:val="008E003C"/>
    <w:rsid w:val="008E157D"/>
    <w:rsid w:val="008E2B54"/>
    <w:rsid w:val="008E4404"/>
    <w:rsid w:val="008E46B2"/>
    <w:rsid w:val="008E58C7"/>
    <w:rsid w:val="008F0EC3"/>
    <w:rsid w:val="008F5021"/>
    <w:rsid w:val="008F79D6"/>
    <w:rsid w:val="0090422F"/>
    <w:rsid w:val="00912ECE"/>
    <w:rsid w:val="009171A9"/>
    <w:rsid w:val="00932194"/>
    <w:rsid w:val="00940FBE"/>
    <w:rsid w:val="00943573"/>
    <w:rsid w:val="009478E9"/>
    <w:rsid w:val="009524DE"/>
    <w:rsid w:val="0095791A"/>
    <w:rsid w:val="00966CC9"/>
    <w:rsid w:val="00971B61"/>
    <w:rsid w:val="009739AF"/>
    <w:rsid w:val="00980C31"/>
    <w:rsid w:val="00985850"/>
    <w:rsid w:val="00990726"/>
    <w:rsid w:val="009955FF"/>
    <w:rsid w:val="009B10AA"/>
    <w:rsid w:val="009B5241"/>
    <w:rsid w:val="009C00DE"/>
    <w:rsid w:val="009D034E"/>
    <w:rsid w:val="009D259D"/>
    <w:rsid w:val="009E7B2D"/>
    <w:rsid w:val="00A15110"/>
    <w:rsid w:val="00A15F1D"/>
    <w:rsid w:val="00A46868"/>
    <w:rsid w:val="00A50D9D"/>
    <w:rsid w:val="00A53000"/>
    <w:rsid w:val="00A545C6"/>
    <w:rsid w:val="00A55E2D"/>
    <w:rsid w:val="00A652D0"/>
    <w:rsid w:val="00A75F87"/>
    <w:rsid w:val="00A84D49"/>
    <w:rsid w:val="00A87E7F"/>
    <w:rsid w:val="00A95D8B"/>
    <w:rsid w:val="00AA4155"/>
    <w:rsid w:val="00AC0270"/>
    <w:rsid w:val="00AC3EA3"/>
    <w:rsid w:val="00AC7666"/>
    <w:rsid w:val="00AC792D"/>
    <w:rsid w:val="00AD06E2"/>
    <w:rsid w:val="00AE2422"/>
    <w:rsid w:val="00AF6609"/>
    <w:rsid w:val="00B02DDC"/>
    <w:rsid w:val="00B05D73"/>
    <w:rsid w:val="00B2366F"/>
    <w:rsid w:val="00B35B29"/>
    <w:rsid w:val="00B42BA1"/>
    <w:rsid w:val="00B4361F"/>
    <w:rsid w:val="00B43752"/>
    <w:rsid w:val="00B61A37"/>
    <w:rsid w:val="00B62C3B"/>
    <w:rsid w:val="00B636CD"/>
    <w:rsid w:val="00B636EC"/>
    <w:rsid w:val="00B657B8"/>
    <w:rsid w:val="00B70E15"/>
    <w:rsid w:val="00B80D98"/>
    <w:rsid w:val="00B84920"/>
    <w:rsid w:val="00B8556A"/>
    <w:rsid w:val="00B85BD2"/>
    <w:rsid w:val="00B9414B"/>
    <w:rsid w:val="00BA0D29"/>
    <w:rsid w:val="00BB173A"/>
    <w:rsid w:val="00BC40E7"/>
    <w:rsid w:val="00BC5F61"/>
    <w:rsid w:val="00BD511E"/>
    <w:rsid w:val="00BE7F1B"/>
    <w:rsid w:val="00C012A3"/>
    <w:rsid w:val="00C1353D"/>
    <w:rsid w:val="00C16F19"/>
    <w:rsid w:val="00C20ED0"/>
    <w:rsid w:val="00C52A7B"/>
    <w:rsid w:val="00C54BE8"/>
    <w:rsid w:val="00C5580A"/>
    <w:rsid w:val="00C6324C"/>
    <w:rsid w:val="00C679AA"/>
    <w:rsid w:val="00C724CF"/>
    <w:rsid w:val="00C75972"/>
    <w:rsid w:val="00C77FD3"/>
    <w:rsid w:val="00C8249C"/>
    <w:rsid w:val="00C82792"/>
    <w:rsid w:val="00C9144E"/>
    <w:rsid w:val="00C948FD"/>
    <w:rsid w:val="00C968D7"/>
    <w:rsid w:val="00CA43B0"/>
    <w:rsid w:val="00CB43D5"/>
    <w:rsid w:val="00CB508E"/>
    <w:rsid w:val="00CB57A5"/>
    <w:rsid w:val="00CC76F9"/>
    <w:rsid w:val="00CD066B"/>
    <w:rsid w:val="00CD3A0C"/>
    <w:rsid w:val="00CD46E2"/>
    <w:rsid w:val="00CD703A"/>
    <w:rsid w:val="00CE11BE"/>
    <w:rsid w:val="00CE22AD"/>
    <w:rsid w:val="00CE6FBF"/>
    <w:rsid w:val="00CF3AD4"/>
    <w:rsid w:val="00CF5FB8"/>
    <w:rsid w:val="00D00D0B"/>
    <w:rsid w:val="00D04B69"/>
    <w:rsid w:val="00D078EA"/>
    <w:rsid w:val="00D1186F"/>
    <w:rsid w:val="00D16FB0"/>
    <w:rsid w:val="00D5300D"/>
    <w:rsid w:val="00D537FA"/>
    <w:rsid w:val="00D5547D"/>
    <w:rsid w:val="00D602C7"/>
    <w:rsid w:val="00D64521"/>
    <w:rsid w:val="00D80D99"/>
    <w:rsid w:val="00D86790"/>
    <w:rsid w:val="00D9503C"/>
    <w:rsid w:val="00D951F3"/>
    <w:rsid w:val="00DD73EF"/>
    <w:rsid w:val="00DD7556"/>
    <w:rsid w:val="00DE23E8"/>
    <w:rsid w:val="00DF7F60"/>
    <w:rsid w:val="00E0128B"/>
    <w:rsid w:val="00E05480"/>
    <w:rsid w:val="00E10B14"/>
    <w:rsid w:val="00E1381D"/>
    <w:rsid w:val="00E223DC"/>
    <w:rsid w:val="00E27A62"/>
    <w:rsid w:val="00E30D1E"/>
    <w:rsid w:val="00E31529"/>
    <w:rsid w:val="00E469DA"/>
    <w:rsid w:val="00E54F8B"/>
    <w:rsid w:val="00E56368"/>
    <w:rsid w:val="00E6016B"/>
    <w:rsid w:val="00E64E17"/>
    <w:rsid w:val="00EA3D3C"/>
    <w:rsid w:val="00EA7E37"/>
    <w:rsid w:val="00EB01AB"/>
    <w:rsid w:val="00EB09E9"/>
    <w:rsid w:val="00EB3133"/>
    <w:rsid w:val="00EB325F"/>
    <w:rsid w:val="00EB6AF3"/>
    <w:rsid w:val="00EC0B9B"/>
    <w:rsid w:val="00EC7CC3"/>
    <w:rsid w:val="00ED6C7F"/>
    <w:rsid w:val="00EE1905"/>
    <w:rsid w:val="00EF1ADF"/>
    <w:rsid w:val="00F42C3C"/>
    <w:rsid w:val="00F46494"/>
    <w:rsid w:val="00F52727"/>
    <w:rsid w:val="00F54575"/>
    <w:rsid w:val="00F558AB"/>
    <w:rsid w:val="00F61D89"/>
    <w:rsid w:val="00F74CD8"/>
    <w:rsid w:val="00F75E05"/>
    <w:rsid w:val="00F80C20"/>
    <w:rsid w:val="00F86ABB"/>
    <w:rsid w:val="00F9352B"/>
    <w:rsid w:val="00F95132"/>
    <w:rsid w:val="00FD0C45"/>
    <w:rsid w:val="00FD16D8"/>
    <w:rsid w:val="00FD22AF"/>
    <w:rsid w:val="00FD7648"/>
    <w:rsid w:val="00FF2095"/>
    <w:rsid w:val="00FF6BA0"/>
    <w:rsid w:val="00FF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BA59A7"/>
  <w15:docId w15:val="{B1DBACA2-F2B0-4340-AE22-59A4481C9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E1905"/>
    <w:rPr>
      <w:color w:val="605E5C"/>
      <w:shd w:val="clear" w:color="auto" w:fill="E1DFDD"/>
    </w:rPr>
  </w:style>
  <w:style w:type="character" w:customStyle="1" w:styleId="ref-title">
    <w:name w:val="ref-title"/>
    <w:basedOn w:val="DefaultParagraphFont"/>
    <w:rsid w:val="00E6016B"/>
  </w:style>
  <w:style w:type="character" w:customStyle="1" w:styleId="ref-journal">
    <w:name w:val="ref-journal"/>
    <w:basedOn w:val="DefaultParagraphFont"/>
    <w:rsid w:val="00E6016B"/>
  </w:style>
  <w:style w:type="character" w:customStyle="1" w:styleId="ref-vol">
    <w:name w:val="ref-vol"/>
    <w:basedOn w:val="DefaultParagraphFont"/>
    <w:rsid w:val="00E60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ti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5FE2101D229418968C24AABBB7A37" ma:contentTypeVersion="9" ma:contentTypeDescription="Create a new document." ma:contentTypeScope="" ma:versionID="0aed2869b655a36c661557810cffcaab">
  <xsd:schema xmlns:xsd="http://www.w3.org/2001/XMLSchema" xmlns:xs="http://www.w3.org/2001/XMLSchema" xmlns:p="http://schemas.microsoft.com/office/2006/metadata/properties" xmlns:ns3="1d2a6bb6-d0f8-4b28-9162-dc4554e9a51b" targetNamespace="http://schemas.microsoft.com/office/2006/metadata/properties" ma:root="true" ma:fieldsID="3ab0f2f8f791cbff495fdd7a73d685c7" ns3:_="">
    <xsd:import namespace="1d2a6bb6-d0f8-4b28-9162-dc4554e9a5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a6bb6-d0f8-4b28-9162-dc4554e9a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EF6300D-768A-4623-AFDD-D7F5293DEE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06F982-5E61-476A-9FAD-CCFE6A90EF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a6bb6-d0f8-4b28-9162-dc4554e9a5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8904DE-8288-47A5-85B3-06D903DB15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1A98ED-89EC-46BF-BE8D-6D81596A8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1</TotalTime>
  <Pages>7</Pages>
  <Words>1195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De Marco (Staff)</dc:creator>
  <cp:keywords/>
  <dc:description/>
  <cp:lastModifiedBy>Sandhya Patel</cp:lastModifiedBy>
  <cp:revision>2</cp:revision>
  <cp:lastPrinted>2013-10-03T12:51:00Z</cp:lastPrinted>
  <dcterms:created xsi:type="dcterms:W3CDTF">2021-10-19T16:51:00Z</dcterms:created>
  <dcterms:modified xsi:type="dcterms:W3CDTF">2021-10-19T16:51:00Z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0x010100B035FE2101D229418968C24AABBB7A37</vt:lpwstr>
  </property>
</Properties>
</file>