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6DC5" w14:textId="77777777" w:rsidR="00647707" w:rsidRDefault="00647707" w:rsidP="00647707">
      <w:pPr>
        <w:spacing w:line="100" w:lineRule="atLeast"/>
        <w:rPr>
          <w:b/>
          <w:lang w:val="en-US"/>
        </w:rPr>
      </w:pPr>
    </w:p>
    <w:p w14:paraId="5677EB11" w14:textId="77777777" w:rsidR="00647707" w:rsidRDefault="00647707" w:rsidP="00647707">
      <w:pPr>
        <w:spacing w:line="100" w:lineRule="atLeast"/>
        <w:rPr>
          <w:b/>
          <w:lang w:val="en-US"/>
        </w:rPr>
      </w:pPr>
    </w:p>
    <w:p w14:paraId="5181D679" w14:textId="77777777" w:rsidR="00647707" w:rsidRPr="001549D3" w:rsidRDefault="00647707" w:rsidP="00647707">
      <w:pPr>
        <w:pStyle w:val="SupplementaryMaterial"/>
        <w:rPr>
          <w:b w:val="0"/>
        </w:rPr>
      </w:pPr>
      <w:r w:rsidRPr="001549D3">
        <w:t>Supplementary Material</w:t>
      </w:r>
    </w:p>
    <w:p w14:paraId="7D0DBDFD" w14:textId="77777777" w:rsidR="00647707" w:rsidRDefault="00647707" w:rsidP="00647707">
      <w:pPr>
        <w:spacing w:line="100" w:lineRule="atLeast"/>
        <w:rPr>
          <w:b/>
          <w:lang w:val="en-US"/>
        </w:rPr>
      </w:pPr>
    </w:p>
    <w:p w14:paraId="133E918B" w14:textId="77777777" w:rsidR="00647707" w:rsidRDefault="00647707" w:rsidP="00647707">
      <w:pPr>
        <w:spacing w:line="100" w:lineRule="atLeast"/>
        <w:rPr>
          <w:b/>
          <w:lang w:val="en-US"/>
        </w:rPr>
      </w:pPr>
    </w:p>
    <w:p w14:paraId="62623412" w14:textId="77777777" w:rsidR="003E51E7" w:rsidRPr="00647707" w:rsidRDefault="003E51E7" w:rsidP="007770BA">
      <w:pPr>
        <w:numPr>
          <w:ilvl w:val="0"/>
          <w:numId w:val="2"/>
        </w:numPr>
        <w:spacing w:line="100" w:lineRule="atLeast"/>
        <w:rPr>
          <w:bCs/>
          <w:lang w:val="en-US"/>
        </w:rPr>
      </w:pPr>
      <w:r w:rsidRPr="003E51E7">
        <w:rPr>
          <w:b/>
          <w:lang w:val="en-US"/>
        </w:rPr>
        <w:t xml:space="preserve">Supplementary </w:t>
      </w:r>
      <w:r w:rsidR="007770BA">
        <w:rPr>
          <w:b/>
          <w:lang w:val="en-US"/>
        </w:rPr>
        <w:t>data</w:t>
      </w:r>
      <w:r w:rsidRPr="003E51E7">
        <w:rPr>
          <w:b/>
          <w:lang w:val="en-US"/>
        </w:rPr>
        <w:t xml:space="preserve">: </w:t>
      </w:r>
      <w:proofErr w:type="gramStart"/>
      <w:r w:rsidRPr="00647707">
        <w:rPr>
          <w:bCs/>
          <w:lang w:val="en-US"/>
        </w:rPr>
        <w:t>Patients’</w:t>
      </w:r>
      <w:proofErr w:type="gramEnd"/>
      <w:r w:rsidRPr="00647707">
        <w:rPr>
          <w:bCs/>
          <w:lang w:val="en-US"/>
        </w:rPr>
        <w:t xml:space="preserve"> detailed clinical information</w:t>
      </w:r>
    </w:p>
    <w:p w14:paraId="6C7487AE" w14:textId="77777777" w:rsidR="003E51E7" w:rsidRPr="00BA2F93" w:rsidRDefault="003E51E7" w:rsidP="003E51E7">
      <w:pPr>
        <w:spacing w:line="100" w:lineRule="atLeast"/>
        <w:jc w:val="center"/>
        <w:rPr>
          <w:lang w:val="en-US"/>
        </w:rPr>
      </w:pPr>
    </w:p>
    <w:p w14:paraId="4D8602B0" w14:textId="77777777" w:rsidR="003E51E7" w:rsidRDefault="003E51E7" w:rsidP="003E51E7">
      <w:pPr>
        <w:spacing w:line="100" w:lineRule="atLeast"/>
        <w:jc w:val="both"/>
        <w:rPr>
          <w:sz w:val="20"/>
          <w:szCs w:val="20"/>
          <w:lang w:val="en-US"/>
        </w:rPr>
      </w:pPr>
    </w:p>
    <w:p w14:paraId="29220A1B" w14:textId="455D88AB" w:rsidR="003E51E7" w:rsidRPr="003E51E7" w:rsidRDefault="003E51E7" w:rsidP="003E51E7">
      <w:pPr>
        <w:spacing w:line="100" w:lineRule="atLeast"/>
        <w:jc w:val="both"/>
        <w:rPr>
          <w:color w:val="000000"/>
          <w:lang w:val="en-US"/>
        </w:rPr>
      </w:pPr>
      <w:r w:rsidRPr="003E51E7">
        <w:rPr>
          <w:lang w:val="en-US"/>
        </w:rPr>
        <w:t>Patient 1</w:t>
      </w:r>
      <w:r w:rsidR="00CD5A46">
        <w:rPr>
          <w:lang w:val="en-US"/>
        </w:rPr>
        <w:t>&amp;2</w:t>
      </w:r>
      <w:r w:rsidRPr="003E51E7">
        <w:rPr>
          <w:lang w:val="en-US"/>
        </w:rPr>
        <w:t xml:space="preserve"> (Family 1) </w:t>
      </w:r>
    </w:p>
    <w:p w14:paraId="19EA846E" w14:textId="77777777" w:rsidR="003E51E7" w:rsidRPr="003E51E7" w:rsidRDefault="003E51E7" w:rsidP="003E51E7">
      <w:pPr>
        <w:spacing w:line="100" w:lineRule="atLeast"/>
        <w:jc w:val="both"/>
        <w:rPr>
          <w:color w:val="000000"/>
          <w:lang w:val="en-US"/>
        </w:rPr>
      </w:pPr>
    </w:p>
    <w:p w14:paraId="54E72289" w14:textId="0C5C6389" w:rsidR="003E51E7" w:rsidRPr="003E51E7" w:rsidRDefault="003E51E7" w:rsidP="003E51E7">
      <w:pPr>
        <w:spacing w:line="100" w:lineRule="atLeast"/>
        <w:jc w:val="both"/>
        <w:rPr>
          <w:color w:val="000000"/>
          <w:lang w:val="en-US"/>
        </w:rPr>
      </w:pPr>
      <w:r w:rsidRPr="003E51E7">
        <w:rPr>
          <w:color w:val="000000"/>
          <w:lang w:val="en-US"/>
        </w:rPr>
        <w:t xml:space="preserve">Patient 1 is a </w:t>
      </w:r>
      <w:r w:rsidR="00B17356">
        <w:rPr>
          <w:color w:val="000000"/>
          <w:lang w:val="en-US"/>
        </w:rPr>
        <w:t>middle-aged</w:t>
      </w:r>
      <w:r w:rsidR="004D5CEF">
        <w:rPr>
          <w:color w:val="000000"/>
          <w:lang w:val="en-US"/>
        </w:rPr>
        <w:t xml:space="preserve"> </w:t>
      </w:r>
      <w:r w:rsidRPr="003E51E7">
        <w:rPr>
          <w:color w:val="000000"/>
          <w:lang w:val="en-US"/>
        </w:rPr>
        <w:t>Moroccan man and presented with a sudden onset of bilateral, painless, visual loss without any other sign. He had been a heavy smoker (20 cigarettes per day) and he overused alcoholic beverages for many years</w:t>
      </w:r>
      <w:r w:rsidR="00751622">
        <w:rPr>
          <w:color w:val="000000"/>
          <w:lang w:val="en-US"/>
        </w:rPr>
        <w:t>.</w:t>
      </w:r>
      <w:r w:rsidRPr="003E51E7">
        <w:rPr>
          <w:color w:val="000000"/>
          <w:lang w:val="en-US"/>
        </w:rPr>
        <w:t xml:space="preserve"> </w:t>
      </w:r>
      <w:r w:rsidR="00260CDD">
        <w:rPr>
          <w:color w:val="000000"/>
          <w:lang w:val="en-US"/>
        </w:rPr>
        <w:t xml:space="preserve">Recollection of family history revealed that a </w:t>
      </w:r>
      <w:proofErr w:type="gramStart"/>
      <w:r w:rsidR="00260CDD">
        <w:rPr>
          <w:color w:val="000000"/>
          <w:lang w:val="en-US"/>
        </w:rPr>
        <w:t>first grade</w:t>
      </w:r>
      <w:proofErr w:type="gramEnd"/>
      <w:r w:rsidR="00260CDD">
        <w:rPr>
          <w:color w:val="000000"/>
          <w:lang w:val="en-US"/>
        </w:rPr>
        <w:t xml:space="preserve"> female relative</w:t>
      </w:r>
      <w:r w:rsidR="00CD5A46">
        <w:rPr>
          <w:color w:val="000000"/>
          <w:lang w:val="en-US"/>
        </w:rPr>
        <w:t xml:space="preserve"> (Patient 2)</w:t>
      </w:r>
      <w:r w:rsidR="00260CDD">
        <w:rPr>
          <w:color w:val="000000"/>
          <w:lang w:val="en-US"/>
        </w:rPr>
        <w:t xml:space="preserve"> was also affected by the same disease.</w:t>
      </w:r>
      <w:r w:rsidR="006E17D3">
        <w:rPr>
          <w:color w:val="000000"/>
          <w:lang w:val="en-US"/>
        </w:rPr>
        <w:t xml:space="preserve"> Parental consanguinity was not reported.</w:t>
      </w:r>
    </w:p>
    <w:p w14:paraId="4224D2E9" w14:textId="3162B7A9" w:rsidR="003E51E7" w:rsidRPr="003E51E7" w:rsidRDefault="003E51E7" w:rsidP="003E51E7">
      <w:pPr>
        <w:spacing w:line="100" w:lineRule="atLeast"/>
        <w:jc w:val="both"/>
        <w:rPr>
          <w:lang w:val="en-US"/>
        </w:rPr>
      </w:pPr>
      <w:r w:rsidRPr="003E51E7">
        <w:rPr>
          <w:color w:val="000000"/>
          <w:lang w:val="en-US"/>
        </w:rPr>
        <w:t>He underwent a complete neuro</w:t>
      </w:r>
      <w:r w:rsidR="00582C30">
        <w:rPr>
          <w:color w:val="000000"/>
          <w:lang w:val="en-US"/>
        </w:rPr>
        <w:t>-o</w:t>
      </w:r>
      <w:r w:rsidRPr="003E51E7">
        <w:rPr>
          <w:color w:val="000000"/>
          <w:lang w:val="en-US"/>
        </w:rPr>
        <w:t xml:space="preserve">phthalmological examination six months after visual symptoms presentation that revealed a reduced bilateral visual acuity (Best Corrected Visual Acuity-BCVA </w:t>
      </w:r>
      <w:r w:rsidR="005827D4">
        <w:rPr>
          <w:color w:val="000000"/>
          <w:lang w:val="en-US"/>
        </w:rPr>
        <w:t>bilaterally</w:t>
      </w:r>
      <w:r w:rsidRPr="003E51E7">
        <w:rPr>
          <w:color w:val="000000"/>
          <w:lang w:val="en-US"/>
        </w:rPr>
        <w:t xml:space="preserve">: count fingers); Ishihara testing showed a complete loss of color vision (score </w:t>
      </w:r>
      <w:r w:rsidR="005827D4">
        <w:rPr>
          <w:color w:val="000000"/>
          <w:lang w:val="en-US"/>
        </w:rPr>
        <w:t xml:space="preserve">bilateral - </w:t>
      </w:r>
      <w:r w:rsidRPr="003E51E7">
        <w:rPr>
          <w:color w:val="000000"/>
          <w:lang w:val="en-US"/>
        </w:rPr>
        <w:t>BL: 0/16); HFA</w:t>
      </w:r>
      <w:r w:rsidR="005827D4">
        <w:rPr>
          <w:color w:val="000000"/>
          <w:lang w:val="en-US"/>
        </w:rPr>
        <w:t xml:space="preserve"> (</w:t>
      </w:r>
      <w:r w:rsidR="005827D4" w:rsidRPr="003E51E7">
        <w:rPr>
          <w:lang w:val="en-US"/>
        </w:rPr>
        <w:t>Humphrey Field Analyzer</w:t>
      </w:r>
      <w:r w:rsidR="005827D4">
        <w:rPr>
          <w:color w:val="000000"/>
          <w:lang w:val="en-US"/>
        </w:rPr>
        <w:t>)</w:t>
      </w:r>
      <w:r w:rsidRPr="003E51E7">
        <w:rPr>
          <w:color w:val="000000"/>
          <w:lang w:val="en-US"/>
        </w:rPr>
        <w:t xml:space="preserve"> visual field testing was performed in both eyes. Testing of the RE</w:t>
      </w:r>
      <w:r w:rsidR="005827D4">
        <w:rPr>
          <w:color w:val="000000"/>
          <w:lang w:val="en-US"/>
        </w:rPr>
        <w:t xml:space="preserve"> (right eye)</w:t>
      </w:r>
      <w:r w:rsidRPr="003E51E7">
        <w:rPr>
          <w:color w:val="000000"/>
          <w:lang w:val="en-US"/>
        </w:rPr>
        <w:t xml:space="preserve"> revealed a mean deviation score of -7.50 dB with central-scotoma; testing of the LE revealed a mean deviation score of – 7.68 dB with a </w:t>
      </w:r>
      <w:proofErr w:type="spellStart"/>
      <w:r w:rsidRPr="003E51E7">
        <w:rPr>
          <w:color w:val="000000"/>
          <w:lang w:val="en-US"/>
        </w:rPr>
        <w:t>centrocecal</w:t>
      </w:r>
      <w:proofErr w:type="spellEnd"/>
      <w:r w:rsidRPr="003E51E7">
        <w:rPr>
          <w:color w:val="000000"/>
          <w:lang w:val="en-US"/>
        </w:rPr>
        <w:t xml:space="preserve"> scotoma. </w:t>
      </w:r>
      <w:r w:rsidRPr="003E51E7">
        <w:rPr>
          <w:lang w:val="en-US"/>
        </w:rPr>
        <w:t xml:space="preserve">Fundoscopy revealed a bilateral subtle edema of the optic nerve head with normal maculae. </w:t>
      </w:r>
    </w:p>
    <w:p w14:paraId="19BC1920" w14:textId="56E38149" w:rsidR="003E51E7" w:rsidRPr="003E51E7" w:rsidRDefault="003E51E7" w:rsidP="003E51E7">
      <w:pPr>
        <w:spacing w:line="100" w:lineRule="atLeast"/>
        <w:jc w:val="both"/>
        <w:rPr>
          <w:color w:val="000000"/>
          <w:lang w:val="en-US"/>
        </w:rPr>
      </w:pPr>
      <w:r w:rsidRPr="003E51E7">
        <w:rPr>
          <w:lang w:val="en-US"/>
        </w:rPr>
        <w:t>OCT</w:t>
      </w:r>
      <w:r w:rsidR="005827D4">
        <w:rPr>
          <w:lang w:val="en-US"/>
        </w:rPr>
        <w:t xml:space="preserve"> (</w:t>
      </w:r>
      <w:r w:rsidR="005827D4" w:rsidRPr="00453F64">
        <w:rPr>
          <w:color w:val="222222"/>
          <w:lang w:val="en-GB"/>
        </w:rPr>
        <w:t xml:space="preserve">Optical </w:t>
      </w:r>
      <w:r w:rsidR="005827D4">
        <w:rPr>
          <w:color w:val="222222"/>
          <w:lang w:val="en-GB"/>
        </w:rPr>
        <w:t>C</w:t>
      </w:r>
      <w:r w:rsidR="005827D4" w:rsidRPr="00453F64">
        <w:rPr>
          <w:color w:val="222222"/>
          <w:lang w:val="en-GB"/>
        </w:rPr>
        <w:t xml:space="preserve">oherence </w:t>
      </w:r>
      <w:r w:rsidR="005827D4">
        <w:rPr>
          <w:color w:val="222222"/>
          <w:lang w:val="en-GB"/>
        </w:rPr>
        <w:t>T</w:t>
      </w:r>
      <w:r w:rsidR="005827D4" w:rsidRPr="00453F64">
        <w:rPr>
          <w:color w:val="222222"/>
          <w:lang w:val="en-GB"/>
        </w:rPr>
        <w:t>omography</w:t>
      </w:r>
      <w:r w:rsidR="005827D4">
        <w:rPr>
          <w:lang w:val="en-US"/>
        </w:rPr>
        <w:t>)</w:t>
      </w:r>
      <w:r w:rsidRPr="003E51E7">
        <w:rPr>
          <w:lang w:val="en-US"/>
        </w:rPr>
        <w:t xml:space="preserve"> analysis (</w:t>
      </w:r>
      <w:proofErr w:type="spellStart"/>
      <w:r w:rsidRPr="003E51E7">
        <w:rPr>
          <w:lang w:val="en-US"/>
        </w:rPr>
        <w:t>RTVue</w:t>
      </w:r>
      <w:proofErr w:type="spellEnd"/>
      <w:r w:rsidRPr="003E51E7">
        <w:rPr>
          <w:lang w:val="en-US"/>
        </w:rPr>
        <w:t xml:space="preserve"> 100) showed a normal thickness of RNFL (</w:t>
      </w:r>
      <w:r w:rsidRPr="003E51E7">
        <w:rPr>
          <w:color w:val="000000"/>
          <w:lang w:val="en-US"/>
        </w:rPr>
        <w:t>retinal nerve fiber layer)</w:t>
      </w:r>
      <w:r w:rsidRPr="003E51E7">
        <w:rPr>
          <w:lang w:val="en-US"/>
        </w:rPr>
        <w:t xml:space="preserve"> bilaterally </w:t>
      </w:r>
      <w:r w:rsidRPr="003E51E7">
        <w:rPr>
          <w:color w:val="000000"/>
          <w:lang w:val="en-GB"/>
        </w:rPr>
        <w:t xml:space="preserve">(- RE 108.25; </w:t>
      </w:r>
      <w:r w:rsidR="005827D4">
        <w:rPr>
          <w:color w:val="000000"/>
          <w:lang w:val="en-GB"/>
        </w:rPr>
        <w:t xml:space="preserve">left eye- </w:t>
      </w:r>
      <w:r w:rsidRPr="003E51E7">
        <w:rPr>
          <w:color w:val="000000"/>
          <w:lang w:val="en-GB"/>
        </w:rPr>
        <w:t>LE- 106.58 µm)</w:t>
      </w:r>
      <w:r w:rsidRPr="003E51E7">
        <w:rPr>
          <w:lang w:val="en-US"/>
        </w:rPr>
        <w:t xml:space="preserve">, with a </w:t>
      </w:r>
      <w:r w:rsidR="005827D4">
        <w:rPr>
          <w:lang w:val="en-US"/>
        </w:rPr>
        <w:t>BL (</w:t>
      </w:r>
      <w:r w:rsidRPr="003E51E7">
        <w:rPr>
          <w:lang w:val="en-US"/>
        </w:rPr>
        <w:t>bilateral</w:t>
      </w:r>
      <w:r w:rsidR="005827D4">
        <w:rPr>
          <w:lang w:val="en-US"/>
        </w:rPr>
        <w:t>)</w:t>
      </w:r>
      <w:r w:rsidRPr="003E51E7">
        <w:rPr>
          <w:lang w:val="en-US"/>
        </w:rPr>
        <w:t xml:space="preserve"> thinning of GCC (</w:t>
      </w:r>
      <w:proofErr w:type="spellStart"/>
      <w:r w:rsidRPr="003E51E7">
        <w:rPr>
          <w:lang w:val="en-US"/>
        </w:rPr>
        <w:t>ganglional</w:t>
      </w:r>
      <w:proofErr w:type="spellEnd"/>
      <w:r w:rsidRPr="003E51E7">
        <w:rPr>
          <w:lang w:val="en-US"/>
        </w:rPr>
        <w:t xml:space="preserve"> cell layer) </w:t>
      </w:r>
      <w:r w:rsidRPr="003E51E7">
        <w:rPr>
          <w:color w:val="000000"/>
          <w:lang w:val="en-GB"/>
        </w:rPr>
        <w:t>in perifoveal region (RE 84.43 LE 86.72 µm).</w:t>
      </w:r>
    </w:p>
    <w:p w14:paraId="601CAA5A" w14:textId="67565493" w:rsidR="003E51E7" w:rsidRPr="003E51E7" w:rsidRDefault="003E51E7" w:rsidP="003E51E7">
      <w:pPr>
        <w:spacing w:line="100" w:lineRule="atLeast"/>
        <w:jc w:val="both"/>
        <w:rPr>
          <w:lang w:val="en-US"/>
        </w:rPr>
      </w:pPr>
      <w:r w:rsidRPr="003E51E7">
        <w:rPr>
          <w:color w:val="000000"/>
          <w:lang w:val="en-US"/>
        </w:rPr>
        <w:t>PERG (Pattern Electroretinography) were bilaterally normal. Brain MRI and optic pathways study were also normal. VEP (Visual Evo</w:t>
      </w:r>
      <w:r w:rsidR="005827D4">
        <w:rPr>
          <w:color w:val="000000"/>
          <w:lang w:val="en-US"/>
        </w:rPr>
        <w:t>k</w:t>
      </w:r>
      <w:r w:rsidRPr="003E51E7">
        <w:rPr>
          <w:color w:val="000000"/>
          <w:lang w:val="en-US"/>
        </w:rPr>
        <w:t xml:space="preserve">ed Potential) showed </w:t>
      </w:r>
      <w:r w:rsidRPr="003E51E7">
        <w:rPr>
          <w:color w:val="000000"/>
          <w:lang w:val="en-GB"/>
        </w:rPr>
        <w:t xml:space="preserve">increased latency and </w:t>
      </w:r>
      <w:r w:rsidRPr="003E51E7">
        <w:rPr>
          <w:color w:val="000000"/>
          <w:lang w:val="en-US"/>
        </w:rPr>
        <w:t xml:space="preserve">reduced amplitude, </w:t>
      </w:r>
      <w:r w:rsidRPr="003E51E7">
        <w:rPr>
          <w:color w:val="000000"/>
          <w:lang w:val="en-GB"/>
        </w:rPr>
        <w:t>more evident with pattern stimulus at 15' (</w:t>
      </w:r>
      <w:proofErr w:type="spellStart"/>
      <w:r w:rsidRPr="003E51E7">
        <w:rPr>
          <w:color w:val="000000"/>
          <w:lang w:val="en-GB"/>
        </w:rPr>
        <w:t>papillo</w:t>
      </w:r>
      <w:proofErr w:type="spellEnd"/>
      <w:r w:rsidRPr="003E51E7">
        <w:rPr>
          <w:color w:val="000000"/>
          <w:lang w:val="en-GB"/>
        </w:rPr>
        <w:t>-macular bundle),</w:t>
      </w:r>
      <w:r w:rsidRPr="003E51E7">
        <w:rPr>
          <w:color w:val="000000"/>
          <w:lang w:val="en-US"/>
        </w:rPr>
        <w:t xml:space="preserve"> but normal P100 latency bilaterally. Blood tests were negative for hyperglycemia and B12/folate deficiency.  Six months after the first evaluation he complained a worsening in visual acuity with impairment of daily-life activities. A new ophthalmologic examination showed a complete, bilateral, </w:t>
      </w:r>
      <w:proofErr w:type="spellStart"/>
      <w:r w:rsidRPr="003E51E7">
        <w:rPr>
          <w:color w:val="000000"/>
          <w:lang w:val="en-US"/>
        </w:rPr>
        <w:t>centrocecal</w:t>
      </w:r>
      <w:proofErr w:type="spellEnd"/>
      <w:r w:rsidRPr="003E51E7">
        <w:rPr>
          <w:color w:val="000000"/>
          <w:lang w:val="en-US"/>
        </w:rPr>
        <w:t xml:space="preserve">-scotoma on </w:t>
      </w:r>
      <w:r w:rsidRPr="003E51E7">
        <w:rPr>
          <w:lang w:val="en-US"/>
        </w:rPr>
        <w:t xml:space="preserve">automated visual field testing (HFA- 30-2) </w:t>
      </w:r>
      <w:r w:rsidRPr="003E51E7">
        <w:rPr>
          <w:color w:val="000000"/>
          <w:lang w:val="en-US"/>
        </w:rPr>
        <w:t>and color vision loss. OCT (</w:t>
      </w:r>
      <w:proofErr w:type="spellStart"/>
      <w:r w:rsidRPr="003E51E7">
        <w:rPr>
          <w:color w:val="000000"/>
          <w:lang w:val="en-US"/>
        </w:rPr>
        <w:t>RTVue</w:t>
      </w:r>
      <w:proofErr w:type="spellEnd"/>
      <w:r w:rsidRPr="003E51E7">
        <w:rPr>
          <w:color w:val="000000"/>
          <w:lang w:val="en-US"/>
        </w:rPr>
        <w:t xml:space="preserve"> 100) revealed a bilateral reduction of </w:t>
      </w:r>
      <w:r w:rsidRPr="003E51E7">
        <w:rPr>
          <w:lang w:val="en-US"/>
        </w:rPr>
        <w:t xml:space="preserve">ganglion cell layer and macular </w:t>
      </w:r>
      <w:r w:rsidRPr="003E51E7">
        <w:rPr>
          <w:color w:val="000000"/>
          <w:lang w:val="en-US"/>
        </w:rPr>
        <w:t xml:space="preserve">thickness (Supplementary figure 1); VEPs showed increased latency and further reduced amplitude. PERG showed a BL amplitude reduction of N95. A new </w:t>
      </w:r>
      <w:r w:rsidRPr="003E51E7">
        <w:rPr>
          <w:lang w:val="en-US"/>
        </w:rPr>
        <w:t xml:space="preserve">Fundus examination revealed a bilateral temporal pallor of both optic nerve heads associated with a reduction of RNFL thickness in R. </w:t>
      </w:r>
    </w:p>
    <w:p w14:paraId="46C034B5" w14:textId="75F78C80" w:rsidR="003E51E7" w:rsidRPr="003E51E7" w:rsidRDefault="003E51E7" w:rsidP="003E51E7">
      <w:pPr>
        <w:spacing w:line="100" w:lineRule="atLeast"/>
        <w:jc w:val="both"/>
        <w:rPr>
          <w:lang w:val="en-US"/>
        </w:rPr>
      </w:pPr>
      <w:r w:rsidRPr="003E51E7">
        <w:rPr>
          <w:lang w:val="en-US"/>
        </w:rPr>
        <w:t>The three more frequent mutations associated with LHON (m.3460G</w:t>
      </w:r>
      <w:r w:rsidRPr="003E51E7">
        <w:rPr>
          <w:rFonts w:eastAsia="BSSymbol-Medium"/>
          <w:lang w:val="en-US"/>
        </w:rPr>
        <w:t>&gt;</w:t>
      </w:r>
      <w:r w:rsidRPr="003E51E7">
        <w:rPr>
          <w:lang w:val="en-US"/>
        </w:rPr>
        <w:t>A, m.11778G</w:t>
      </w:r>
      <w:r w:rsidRPr="003E51E7">
        <w:rPr>
          <w:rFonts w:eastAsia="BSSymbol-Medium"/>
          <w:lang w:val="en-US"/>
        </w:rPr>
        <w:t>&gt;</w:t>
      </w:r>
      <w:r w:rsidRPr="003E51E7">
        <w:rPr>
          <w:lang w:val="en-US"/>
        </w:rPr>
        <w:t>A and m.14484T</w:t>
      </w:r>
      <w:r w:rsidRPr="003E51E7">
        <w:rPr>
          <w:rFonts w:eastAsia="BSSymbol-Medium"/>
          <w:lang w:val="en-US"/>
        </w:rPr>
        <w:t>&gt;</w:t>
      </w:r>
      <w:r w:rsidRPr="003E51E7">
        <w:rPr>
          <w:lang w:val="en-US"/>
        </w:rPr>
        <w:t>C) were excluded</w:t>
      </w:r>
      <w:r w:rsidRPr="003E51E7">
        <w:rPr>
          <w:color w:val="000000"/>
          <w:lang w:val="en-US"/>
        </w:rPr>
        <w:t xml:space="preserve">. The whole sequence of </w:t>
      </w:r>
      <w:proofErr w:type="spellStart"/>
      <w:r w:rsidRPr="003E51E7">
        <w:rPr>
          <w:color w:val="000000"/>
          <w:lang w:val="en-US"/>
        </w:rPr>
        <w:t>mtDNA</w:t>
      </w:r>
      <w:proofErr w:type="spellEnd"/>
      <w:r w:rsidRPr="003E51E7">
        <w:rPr>
          <w:color w:val="000000"/>
          <w:lang w:val="en-US"/>
        </w:rPr>
        <w:t xml:space="preserve"> showed a novel mutation in </w:t>
      </w:r>
      <w:r w:rsidRPr="003D5118">
        <w:rPr>
          <w:i/>
          <w:color w:val="000000"/>
          <w:lang w:val="en-US"/>
        </w:rPr>
        <w:t>MT</w:t>
      </w:r>
      <w:r w:rsidR="00255332">
        <w:rPr>
          <w:i/>
          <w:color w:val="000000"/>
          <w:lang w:val="en-US"/>
        </w:rPr>
        <w:t>-</w:t>
      </w:r>
      <w:r w:rsidRPr="003D5118">
        <w:rPr>
          <w:i/>
          <w:color w:val="000000"/>
          <w:lang w:val="en-US"/>
        </w:rPr>
        <w:t>ND5</w:t>
      </w:r>
      <w:r w:rsidRPr="003E51E7">
        <w:rPr>
          <w:color w:val="000000"/>
          <w:lang w:val="en-US"/>
        </w:rPr>
        <w:t xml:space="preserve"> gene: </w:t>
      </w:r>
      <w:r w:rsidRPr="003E51E7">
        <w:rPr>
          <w:lang w:val="en-US"/>
        </w:rPr>
        <w:t xml:space="preserve">m.13340T&gt;C, </w:t>
      </w:r>
      <w:r w:rsidRPr="003E51E7">
        <w:rPr>
          <w:color w:val="000000"/>
          <w:lang w:val="en-US"/>
        </w:rPr>
        <w:t xml:space="preserve">leading to an amino acid change </w:t>
      </w:r>
      <w:proofErr w:type="gramStart"/>
      <w:r w:rsidRPr="003E51E7">
        <w:rPr>
          <w:lang w:val="en-US"/>
        </w:rPr>
        <w:t>p.Phe</w:t>
      </w:r>
      <w:proofErr w:type="gramEnd"/>
      <w:r w:rsidRPr="003E51E7">
        <w:rPr>
          <w:lang w:val="en-US"/>
        </w:rPr>
        <w:t xml:space="preserve">335Ser, in a high conserved position. Patient received a therapy with </w:t>
      </w:r>
      <w:proofErr w:type="spellStart"/>
      <w:r w:rsidRPr="003E51E7">
        <w:rPr>
          <w:lang w:val="en-US"/>
        </w:rPr>
        <w:t>Idebenone</w:t>
      </w:r>
      <w:proofErr w:type="spellEnd"/>
      <w:r w:rsidRPr="003E51E7">
        <w:rPr>
          <w:lang w:val="en-US"/>
        </w:rPr>
        <w:t xml:space="preserve"> and stopped smoking and alcoholic use.</w:t>
      </w:r>
    </w:p>
    <w:p w14:paraId="56B2E0D0" w14:textId="6DF7E17C" w:rsidR="003E51E7" w:rsidRPr="003E51E7" w:rsidRDefault="003E51E7" w:rsidP="003E51E7">
      <w:pPr>
        <w:spacing w:line="100" w:lineRule="atLeast"/>
        <w:jc w:val="both"/>
        <w:rPr>
          <w:lang w:val="en-US"/>
        </w:rPr>
      </w:pPr>
      <w:r w:rsidRPr="003E51E7">
        <w:rPr>
          <w:lang w:val="en-US"/>
        </w:rPr>
        <w:t xml:space="preserve"> </w:t>
      </w:r>
      <w:r w:rsidRPr="003E51E7">
        <w:rPr>
          <w:color w:val="000000"/>
          <w:lang w:val="en-GB"/>
        </w:rPr>
        <w:t xml:space="preserve"> </w:t>
      </w:r>
      <w:proofErr w:type="spellStart"/>
      <w:r w:rsidRPr="003E51E7">
        <w:rPr>
          <w:color w:val="000000"/>
          <w:lang w:val="en-GB"/>
        </w:rPr>
        <w:t>Idebenone</w:t>
      </w:r>
      <w:proofErr w:type="spellEnd"/>
      <w:r w:rsidRPr="003E51E7">
        <w:rPr>
          <w:color w:val="000000"/>
          <w:lang w:val="en-GB"/>
        </w:rPr>
        <w:t xml:space="preserve"> therapy was started 14 months after the onset at high dosage (945mg /die) and </w:t>
      </w:r>
      <w:r w:rsidRPr="003E51E7">
        <w:rPr>
          <w:lang w:val="en-US"/>
        </w:rPr>
        <w:t xml:space="preserve">the </w:t>
      </w:r>
      <w:r w:rsidR="004C0789" w:rsidRPr="003E51E7">
        <w:rPr>
          <w:lang w:val="en-US"/>
        </w:rPr>
        <w:t>neurooph</w:t>
      </w:r>
      <w:r w:rsidR="004C0789">
        <w:rPr>
          <w:lang w:val="en-US"/>
        </w:rPr>
        <w:t>t</w:t>
      </w:r>
      <w:r w:rsidR="004C0789" w:rsidRPr="003E51E7">
        <w:rPr>
          <w:lang w:val="en-US"/>
        </w:rPr>
        <w:t>halmological</w:t>
      </w:r>
      <w:r w:rsidRPr="003E51E7">
        <w:rPr>
          <w:lang w:val="en-US"/>
        </w:rPr>
        <w:t xml:space="preserve"> follow up revealed an incomplete bilateral improvement of visual acuity (BCVA BL: 0.2), no improvement in color vision testing and in visual filed testing was documented.</w:t>
      </w:r>
    </w:p>
    <w:p w14:paraId="27677C55" w14:textId="77777777" w:rsidR="003E51E7" w:rsidRPr="003E51E7" w:rsidRDefault="003E51E7" w:rsidP="003E51E7">
      <w:pPr>
        <w:spacing w:line="100" w:lineRule="atLeast"/>
        <w:jc w:val="both"/>
        <w:rPr>
          <w:lang w:val="en-US"/>
        </w:rPr>
      </w:pPr>
    </w:p>
    <w:p w14:paraId="48198A84" w14:textId="755770F6" w:rsidR="003E51E7" w:rsidRPr="003E51E7" w:rsidRDefault="003E51E7" w:rsidP="003E51E7">
      <w:pPr>
        <w:spacing w:line="100" w:lineRule="atLeast"/>
        <w:jc w:val="both"/>
        <w:rPr>
          <w:lang w:val="en-US"/>
        </w:rPr>
      </w:pPr>
      <w:r w:rsidRPr="003E51E7">
        <w:rPr>
          <w:lang w:val="en-US"/>
        </w:rPr>
        <w:t xml:space="preserve">Patient </w:t>
      </w:r>
      <w:r w:rsidR="003D3373">
        <w:rPr>
          <w:lang w:val="en-US"/>
        </w:rPr>
        <w:t>3</w:t>
      </w:r>
      <w:r w:rsidRPr="003E51E7">
        <w:rPr>
          <w:lang w:val="en-US"/>
        </w:rPr>
        <w:t>&amp;</w:t>
      </w:r>
      <w:r w:rsidR="003D3373">
        <w:rPr>
          <w:lang w:val="en-US"/>
        </w:rPr>
        <w:t>4</w:t>
      </w:r>
      <w:r w:rsidRPr="003E51E7">
        <w:rPr>
          <w:lang w:val="en-US"/>
        </w:rPr>
        <w:t xml:space="preserve"> (Family 2) </w:t>
      </w:r>
    </w:p>
    <w:p w14:paraId="16E3C84A" w14:textId="77777777" w:rsidR="003E51E7" w:rsidRPr="003E51E7" w:rsidRDefault="003E51E7" w:rsidP="003E51E7">
      <w:pPr>
        <w:spacing w:line="100" w:lineRule="atLeast"/>
        <w:jc w:val="both"/>
        <w:rPr>
          <w:lang w:val="en-US"/>
        </w:rPr>
      </w:pPr>
    </w:p>
    <w:p w14:paraId="3B878CA9" w14:textId="4FD4FEC8" w:rsidR="003E51E7" w:rsidRPr="003E51E7" w:rsidRDefault="003E51E7" w:rsidP="003E51E7">
      <w:pPr>
        <w:spacing w:line="100" w:lineRule="atLeast"/>
        <w:jc w:val="both"/>
        <w:rPr>
          <w:lang w:val="en-US"/>
        </w:rPr>
      </w:pPr>
      <w:r w:rsidRPr="003E51E7">
        <w:rPr>
          <w:lang w:val="en-US"/>
        </w:rPr>
        <w:t xml:space="preserve">A healthy, </w:t>
      </w:r>
      <w:r w:rsidR="004D5CEF">
        <w:rPr>
          <w:lang w:val="en-US"/>
        </w:rPr>
        <w:t>young adult</w:t>
      </w:r>
      <w:r w:rsidRPr="003E51E7">
        <w:rPr>
          <w:lang w:val="en-US"/>
        </w:rPr>
        <w:t xml:space="preserve"> </w:t>
      </w:r>
      <w:proofErr w:type="spellStart"/>
      <w:r w:rsidRPr="003E51E7">
        <w:rPr>
          <w:lang w:val="en-US"/>
        </w:rPr>
        <w:t>caucasian</w:t>
      </w:r>
      <w:proofErr w:type="spellEnd"/>
      <w:r w:rsidRPr="003E51E7">
        <w:rPr>
          <w:lang w:val="en-US"/>
        </w:rPr>
        <w:t xml:space="preserve"> man (patient </w:t>
      </w:r>
      <w:r w:rsidR="003D3373">
        <w:rPr>
          <w:lang w:val="en-US"/>
        </w:rPr>
        <w:t>3</w:t>
      </w:r>
      <w:r w:rsidRPr="003E51E7">
        <w:rPr>
          <w:lang w:val="en-US"/>
        </w:rPr>
        <w:t>) was referred to Neuro-Opht</w:t>
      </w:r>
      <w:r w:rsidR="00582C30">
        <w:rPr>
          <w:lang w:val="en-US"/>
        </w:rPr>
        <w:t>h</w:t>
      </w:r>
      <w:r w:rsidRPr="003E51E7">
        <w:rPr>
          <w:lang w:val="en-US"/>
        </w:rPr>
        <w:t>almological consultation because of sudden painless vision loss in the LE, following the occurrence of similar symptoms in the RE 2 month before. His medical history was unremarkable</w:t>
      </w:r>
      <w:r w:rsidR="006E17D3">
        <w:rPr>
          <w:lang w:val="en-US"/>
        </w:rPr>
        <w:t xml:space="preserve">, without any parental </w:t>
      </w:r>
      <w:r w:rsidR="006E17D3">
        <w:rPr>
          <w:lang w:val="en-US"/>
        </w:rPr>
        <w:lastRenderedPageBreak/>
        <w:t>consanguinity reported</w:t>
      </w:r>
      <w:r w:rsidRPr="003E51E7">
        <w:rPr>
          <w:lang w:val="en-US"/>
        </w:rPr>
        <w:t xml:space="preserve">. He did not report trauma, medications or illicit drugs use nor smoking. Family history revealed that a maternal </w:t>
      </w:r>
      <w:r w:rsidR="002A23BE">
        <w:rPr>
          <w:lang w:val="en-US"/>
        </w:rPr>
        <w:t>relative</w:t>
      </w:r>
      <w:r w:rsidR="002A23BE" w:rsidRPr="003E51E7">
        <w:rPr>
          <w:lang w:val="en-US"/>
        </w:rPr>
        <w:t xml:space="preserve"> </w:t>
      </w:r>
      <w:r w:rsidRPr="003E51E7">
        <w:rPr>
          <w:lang w:val="en-US"/>
        </w:rPr>
        <w:t xml:space="preserve">was affected by a not better specified optic neuropathy (patient </w:t>
      </w:r>
      <w:r w:rsidR="003D3373">
        <w:rPr>
          <w:lang w:val="en-US"/>
        </w:rPr>
        <w:t>4</w:t>
      </w:r>
      <w:r w:rsidRPr="003E51E7">
        <w:rPr>
          <w:lang w:val="en-US"/>
        </w:rPr>
        <w:t>). He underwent a complete neuro</w:t>
      </w:r>
      <w:r w:rsidR="00582C30">
        <w:rPr>
          <w:lang w:val="en-US"/>
        </w:rPr>
        <w:t>-o</w:t>
      </w:r>
      <w:r w:rsidRPr="003E51E7">
        <w:rPr>
          <w:lang w:val="en-US"/>
        </w:rPr>
        <w:t>phthalmological examination that revealed a reduced bilateral visual acuity (BCVA B</w:t>
      </w:r>
      <w:r w:rsidR="005827D4">
        <w:rPr>
          <w:lang w:val="en-US"/>
        </w:rPr>
        <w:t>L</w:t>
      </w:r>
      <w:r w:rsidRPr="003E51E7">
        <w:rPr>
          <w:lang w:val="en-US"/>
        </w:rPr>
        <w:t xml:space="preserve">: count fingers); complete loss of color vision on Ishihara testing (score BL: 0/16). HFA visual field testing was performed in both eyes. Testing of the RE revealed a mean deviation score of -28.28 dB with central-scotoma; testing of the LE revealed a mean deviation score of –24.57 dB with a </w:t>
      </w:r>
      <w:proofErr w:type="spellStart"/>
      <w:r w:rsidRPr="003E51E7">
        <w:rPr>
          <w:lang w:val="en-US"/>
        </w:rPr>
        <w:t>centrocecal</w:t>
      </w:r>
      <w:proofErr w:type="spellEnd"/>
      <w:r w:rsidRPr="003E51E7">
        <w:rPr>
          <w:lang w:val="en-US"/>
        </w:rPr>
        <w:t xml:space="preserve"> scotoma (Supplementary Figure 1). Intraocular pressure was normal. Fundus examinations revealed, in both eyes, a mild peripapillary nerve fiber layer </w:t>
      </w:r>
      <w:proofErr w:type="spellStart"/>
      <w:r w:rsidRPr="003E51E7">
        <w:rPr>
          <w:lang w:val="en-US"/>
        </w:rPr>
        <w:t>pseudoedema</w:t>
      </w:r>
      <w:proofErr w:type="spellEnd"/>
      <w:r w:rsidRPr="003E51E7">
        <w:rPr>
          <w:lang w:val="en-US"/>
        </w:rPr>
        <w:t xml:space="preserve"> and </w:t>
      </w:r>
      <w:r w:rsidR="005C42A5" w:rsidRPr="003E51E7">
        <w:rPr>
          <w:lang w:val="en-US"/>
        </w:rPr>
        <w:t>telangiectasia</w:t>
      </w:r>
      <w:r w:rsidRPr="003E51E7">
        <w:rPr>
          <w:lang w:val="en-US"/>
        </w:rPr>
        <w:t>, more evident in the LE; the maculae and mid-peripheral retina were normal.  MRI showed an abnormal T2 signal with mild enhancement along optic pathways bilaterally, in particular of chiasm and right optic tract. VEPs did not show any reproducible response. CSF examination was normal, aquaporin 4 antibodies were absent. Blood chemistry testing showed a mild reduction of serum folates. OCT (</w:t>
      </w:r>
      <w:proofErr w:type="spellStart"/>
      <w:r w:rsidRPr="003E51E7">
        <w:rPr>
          <w:lang w:val="en-US"/>
        </w:rPr>
        <w:t>RTVue</w:t>
      </w:r>
      <w:proofErr w:type="spellEnd"/>
      <w:r w:rsidRPr="003E51E7">
        <w:rPr>
          <w:lang w:val="en-US"/>
        </w:rPr>
        <w:t xml:space="preserve"> 100) revealed a focal increase of RNLF thickness in the superior pole of optic disc in RE</w:t>
      </w:r>
      <w:r w:rsidRPr="003E51E7">
        <w:rPr>
          <w:color w:val="000000"/>
          <w:lang w:val="en-GB"/>
        </w:rPr>
        <w:t xml:space="preserve"> (120.06 </w:t>
      </w:r>
      <w:proofErr w:type="gramStart"/>
      <w:r w:rsidRPr="003E51E7">
        <w:rPr>
          <w:color w:val="000000"/>
          <w:lang w:val="en-GB"/>
        </w:rPr>
        <w:t xml:space="preserve">µm) </w:t>
      </w:r>
      <w:r w:rsidRPr="003E51E7">
        <w:rPr>
          <w:lang w:val="en-US"/>
        </w:rPr>
        <w:t xml:space="preserve"> and</w:t>
      </w:r>
      <w:proofErr w:type="gramEnd"/>
      <w:r w:rsidRPr="003E51E7">
        <w:rPr>
          <w:lang w:val="en-US"/>
        </w:rPr>
        <w:t xml:space="preserve"> a more evident focal increase in superior and inferior pole of optic disc in LE (</w:t>
      </w:r>
      <w:r w:rsidRPr="003E51E7">
        <w:rPr>
          <w:color w:val="000000"/>
          <w:lang w:val="en-GB"/>
        </w:rPr>
        <w:t>148.79µm)</w:t>
      </w:r>
      <w:r w:rsidRPr="003E51E7">
        <w:rPr>
          <w:lang w:val="en-US"/>
        </w:rPr>
        <w:t xml:space="preserve">; GCC was noticeably thinned in RE </w:t>
      </w:r>
      <w:r w:rsidRPr="003E51E7">
        <w:rPr>
          <w:color w:val="000000"/>
          <w:lang w:val="en-GB"/>
        </w:rPr>
        <w:t xml:space="preserve">(63.12 µm) </w:t>
      </w:r>
      <w:r w:rsidRPr="003E51E7">
        <w:rPr>
          <w:lang w:val="en-US"/>
        </w:rPr>
        <w:t xml:space="preserve">and in the perifoveal region in LE </w:t>
      </w:r>
      <w:r w:rsidRPr="003E51E7">
        <w:rPr>
          <w:color w:val="000000"/>
          <w:lang w:val="en-GB"/>
        </w:rPr>
        <w:t>(86.06 L µm )-</w:t>
      </w:r>
      <w:r w:rsidRPr="003E51E7">
        <w:rPr>
          <w:lang w:val="en-US"/>
        </w:rPr>
        <w:t>see table 1.</w:t>
      </w:r>
    </w:p>
    <w:p w14:paraId="5A2BF7B3" w14:textId="056E8FCE" w:rsidR="003E51E7" w:rsidRPr="003E51E7" w:rsidRDefault="003E51E7" w:rsidP="003E51E7">
      <w:pPr>
        <w:spacing w:line="100" w:lineRule="atLeast"/>
        <w:jc w:val="both"/>
        <w:rPr>
          <w:lang w:val="en-US"/>
        </w:rPr>
      </w:pPr>
      <w:r w:rsidRPr="003E51E7">
        <w:rPr>
          <w:lang w:val="en-US"/>
        </w:rPr>
        <w:t>1 month after</w:t>
      </w:r>
      <w:r w:rsidRPr="003E51E7">
        <w:rPr>
          <w:rStyle w:val="hps"/>
          <w:color w:val="222222"/>
          <w:lang w:val="en-GB"/>
        </w:rPr>
        <w:t xml:space="preserve"> the onset of symptoms in the second eye, </w:t>
      </w:r>
      <w:r w:rsidRPr="003E51E7">
        <w:rPr>
          <w:lang w:val="en-US"/>
        </w:rPr>
        <w:t xml:space="preserve">optic nerves became diffusely pale and peripapillary succulence switched to atrophy of nerve fibers layer. Patient </w:t>
      </w:r>
      <w:r w:rsidR="003D3373">
        <w:rPr>
          <w:lang w:val="en-US"/>
        </w:rPr>
        <w:t>3</w:t>
      </w:r>
      <w:r w:rsidRPr="003E51E7">
        <w:rPr>
          <w:lang w:val="en-US"/>
        </w:rPr>
        <w:t xml:space="preserve"> received coenzyme Q10, </w:t>
      </w:r>
      <w:proofErr w:type="spellStart"/>
      <w:r w:rsidRPr="003E51E7">
        <w:rPr>
          <w:lang w:val="en-US"/>
        </w:rPr>
        <w:t>folin</w:t>
      </w:r>
      <w:proofErr w:type="spellEnd"/>
      <w:r w:rsidRPr="003E51E7">
        <w:rPr>
          <w:lang w:val="en-US"/>
        </w:rPr>
        <w:t xml:space="preserve"> and </w:t>
      </w:r>
      <w:proofErr w:type="spellStart"/>
      <w:r w:rsidRPr="003E51E7">
        <w:rPr>
          <w:lang w:val="en-US"/>
        </w:rPr>
        <w:t>Idebenone</w:t>
      </w:r>
      <w:proofErr w:type="spellEnd"/>
      <w:r w:rsidRPr="003E51E7">
        <w:rPr>
          <w:lang w:val="en-US"/>
        </w:rPr>
        <w:t xml:space="preserve"> therapy. 18 months after the</w:t>
      </w:r>
      <w:r w:rsidRPr="003E51E7">
        <w:rPr>
          <w:rStyle w:val="hps"/>
          <w:color w:val="222222"/>
          <w:lang w:val="en-GB"/>
        </w:rPr>
        <w:t>onset,</w:t>
      </w:r>
      <w:r w:rsidR="00255332">
        <w:rPr>
          <w:rStyle w:val="shorttext"/>
          <w:color w:val="222222"/>
          <w:lang w:val="en-GB"/>
        </w:rPr>
        <w:t xml:space="preserve"> </w:t>
      </w:r>
      <w:r w:rsidR="00255332" w:rsidRPr="003E51E7">
        <w:rPr>
          <w:lang w:val="en-US"/>
        </w:rPr>
        <w:t>visual</w:t>
      </w:r>
      <w:r w:rsidRPr="003E51E7">
        <w:rPr>
          <w:lang w:val="en-US"/>
        </w:rPr>
        <w:t xml:space="preserve"> function </w:t>
      </w:r>
      <w:r w:rsidRPr="003E51E7">
        <w:rPr>
          <w:rStyle w:val="shorttext"/>
          <w:color w:val="222222"/>
          <w:lang w:val="en-GB"/>
        </w:rPr>
        <w:t>showed a slight bilateral improvement (BCVA BL: 0,025)</w:t>
      </w:r>
      <w:r w:rsidRPr="003E51E7">
        <w:rPr>
          <w:lang w:val="en-US"/>
        </w:rPr>
        <w:t>, no improvement in color vision testing and in visual filed testing.</w:t>
      </w:r>
    </w:p>
    <w:p w14:paraId="63CA72BB" w14:textId="2F6A48C3" w:rsidR="003E51E7" w:rsidRPr="003E51E7" w:rsidRDefault="003E51E7" w:rsidP="003E51E7">
      <w:pPr>
        <w:spacing w:line="100" w:lineRule="atLeast"/>
        <w:jc w:val="both"/>
        <w:rPr>
          <w:lang w:val="en-US"/>
        </w:rPr>
      </w:pPr>
      <w:r w:rsidRPr="003E51E7">
        <w:rPr>
          <w:lang w:val="en-US"/>
        </w:rPr>
        <w:t xml:space="preserve">The patient underwent a genetic screening for LHON and none of the common LHON mutations were found, but two novel </w:t>
      </w:r>
      <w:proofErr w:type="spellStart"/>
      <w:r w:rsidRPr="003E51E7">
        <w:rPr>
          <w:lang w:val="en-US"/>
        </w:rPr>
        <w:t>homoplasmic</w:t>
      </w:r>
      <w:proofErr w:type="spellEnd"/>
      <w:r w:rsidRPr="003E51E7">
        <w:rPr>
          <w:lang w:val="en-US"/>
        </w:rPr>
        <w:t xml:space="preserve"> mutations (m.8507 A&gt;G and 13379A&gt;G) were detected on the Atpase8 and </w:t>
      </w:r>
      <w:r w:rsidRPr="003D5118">
        <w:rPr>
          <w:i/>
          <w:lang w:val="en-US"/>
        </w:rPr>
        <w:t>MT</w:t>
      </w:r>
      <w:r w:rsidR="00255332">
        <w:rPr>
          <w:i/>
          <w:lang w:val="en-US"/>
        </w:rPr>
        <w:t>-</w:t>
      </w:r>
      <w:r w:rsidRPr="003D5118">
        <w:rPr>
          <w:i/>
          <w:lang w:val="en-US"/>
        </w:rPr>
        <w:t>ND5</w:t>
      </w:r>
      <w:r w:rsidRPr="003E51E7">
        <w:rPr>
          <w:lang w:val="en-US"/>
        </w:rPr>
        <w:t xml:space="preserve"> genes, respectively.  Therapy with </w:t>
      </w:r>
      <w:proofErr w:type="spellStart"/>
      <w:r w:rsidRPr="003E51E7">
        <w:rPr>
          <w:color w:val="000000"/>
          <w:lang w:val="en-GB"/>
        </w:rPr>
        <w:t>Idebenone</w:t>
      </w:r>
      <w:proofErr w:type="spellEnd"/>
      <w:r w:rsidRPr="003E51E7">
        <w:rPr>
          <w:color w:val="000000"/>
          <w:lang w:val="en-GB"/>
        </w:rPr>
        <w:t xml:space="preserve"> was started 5 months after the onset at high dosage (945mg /die) Follow up showed </w:t>
      </w:r>
      <w:r w:rsidRPr="003E51E7">
        <w:rPr>
          <w:lang w:val="en-US"/>
        </w:rPr>
        <w:t>a bilateral improvement of visual acuity,</w:t>
      </w:r>
      <w:r w:rsidRPr="003E51E7">
        <w:rPr>
          <w:color w:val="000000"/>
          <w:lang w:val="en-GB"/>
        </w:rPr>
        <w:t xml:space="preserve"> (from count finger to 0.025).</w:t>
      </w:r>
    </w:p>
    <w:p w14:paraId="68A04E91" w14:textId="7BAF77BF" w:rsidR="003E51E7" w:rsidRPr="003E51E7" w:rsidRDefault="003E51E7" w:rsidP="003E51E7">
      <w:pPr>
        <w:spacing w:line="100" w:lineRule="atLeast"/>
        <w:jc w:val="both"/>
        <w:rPr>
          <w:lang w:val="en-US"/>
        </w:rPr>
      </w:pPr>
      <w:r w:rsidRPr="003E51E7">
        <w:rPr>
          <w:lang w:val="en-US"/>
        </w:rPr>
        <w:t xml:space="preserve">The same genetic alteration was found in </w:t>
      </w:r>
      <w:r w:rsidR="007D0D77">
        <w:rPr>
          <w:lang w:val="en-US"/>
        </w:rPr>
        <w:t>a maternal relative</w:t>
      </w:r>
      <w:r w:rsidRPr="003E51E7">
        <w:rPr>
          <w:lang w:val="en-US"/>
        </w:rPr>
        <w:t xml:space="preserve"> (now in his sixties). Unfortunately, neither clinical information nor instrumental examinations of patient </w:t>
      </w:r>
      <w:r w:rsidR="003D3373">
        <w:rPr>
          <w:lang w:val="en-US"/>
        </w:rPr>
        <w:t>4</w:t>
      </w:r>
      <w:r w:rsidRPr="003E51E7">
        <w:rPr>
          <w:lang w:val="en-US"/>
        </w:rPr>
        <w:t xml:space="preserve"> are available.</w:t>
      </w:r>
    </w:p>
    <w:p w14:paraId="68F2FA53" w14:textId="77777777" w:rsidR="003E51E7" w:rsidRPr="003E51E7" w:rsidRDefault="003E51E7" w:rsidP="003E51E7">
      <w:pPr>
        <w:spacing w:line="100" w:lineRule="atLeast"/>
        <w:jc w:val="both"/>
        <w:rPr>
          <w:lang w:val="en-US"/>
        </w:rPr>
      </w:pPr>
    </w:p>
    <w:p w14:paraId="4C7A2056" w14:textId="18FCD346" w:rsidR="003E51E7" w:rsidRDefault="003E51E7" w:rsidP="003E51E7">
      <w:pPr>
        <w:spacing w:line="100" w:lineRule="atLeast"/>
        <w:jc w:val="both"/>
        <w:rPr>
          <w:lang w:val="en-US"/>
        </w:rPr>
      </w:pPr>
      <w:r w:rsidRPr="003E51E7">
        <w:rPr>
          <w:lang w:val="en-US"/>
        </w:rPr>
        <w:t xml:space="preserve">Patient </w:t>
      </w:r>
      <w:r w:rsidR="003D3373">
        <w:rPr>
          <w:lang w:val="en-US"/>
        </w:rPr>
        <w:t>5</w:t>
      </w:r>
      <w:r w:rsidRPr="003E51E7">
        <w:rPr>
          <w:lang w:val="en-US"/>
        </w:rPr>
        <w:t>&amp;</w:t>
      </w:r>
      <w:r w:rsidR="00221540">
        <w:rPr>
          <w:lang w:val="en-US"/>
        </w:rPr>
        <w:t>Subject</w:t>
      </w:r>
      <w:r w:rsidR="003D3373">
        <w:rPr>
          <w:lang w:val="en-US"/>
        </w:rPr>
        <w:t>1</w:t>
      </w:r>
      <w:r w:rsidRPr="003E51E7">
        <w:rPr>
          <w:lang w:val="en-US"/>
        </w:rPr>
        <w:t xml:space="preserve"> (Family 3)</w:t>
      </w:r>
    </w:p>
    <w:p w14:paraId="04376973" w14:textId="77777777" w:rsidR="00647707" w:rsidRPr="003E51E7" w:rsidRDefault="00647707" w:rsidP="003E51E7">
      <w:pPr>
        <w:spacing w:line="100" w:lineRule="atLeast"/>
        <w:jc w:val="both"/>
        <w:rPr>
          <w:lang w:val="en-US"/>
        </w:rPr>
      </w:pPr>
    </w:p>
    <w:p w14:paraId="5CD50AF6" w14:textId="3641F5A7" w:rsidR="003E51E7" w:rsidRPr="003E51E7" w:rsidRDefault="003E51E7" w:rsidP="003E51E7">
      <w:pPr>
        <w:spacing w:line="100" w:lineRule="atLeast"/>
        <w:jc w:val="both"/>
        <w:rPr>
          <w:lang w:val="en-US"/>
        </w:rPr>
      </w:pPr>
      <w:r w:rsidRPr="003E51E7">
        <w:rPr>
          <w:lang w:val="en-US"/>
        </w:rPr>
        <w:t xml:space="preserve">A </w:t>
      </w:r>
      <w:r w:rsidR="004D5CEF">
        <w:rPr>
          <w:lang w:val="en-US"/>
        </w:rPr>
        <w:t>young adult</w:t>
      </w:r>
      <w:r w:rsidRPr="003E51E7">
        <w:rPr>
          <w:lang w:val="en-US"/>
        </w:rPr>
        <w:t xml:space="preserve"> Caucasian man (Patient </w:t>
      </w:r>
      <w:r w:rsidR="003D3373">
        <w:rPr>
          <w:lang w:val="en-US"/>
        </w:rPr>
        <w:t>5</w:t>
      </w:r>
      <w:r w:rsidRPr="003E51E7">
        <w:rPr>
          <w:lang w:val="en-US"/>
        </w:rPr>
        <w:t>) presented with a sudden and painless visual loss in the LE, followed one month later by involvement of the RE. At that time the patient was a smoker (20 cigarettes per day). Upon hospital admission he underwent a CSF examination and aquaporin 4 antibodies test, both resulting in normal findings. Blood folic acid and B12 were normal.</w:t>
      </w:r>
    </w:p>
    <w:p w14:paraId="74126352" w14:textId="07CBCACA" w:rsidR="003E51E7" w:rsidRPr="003E51E7" w:rsidRDefault="003E51E7" w:rsidP="003E51E7">
      <w:pPr>
        <w:spacing w:line="100" w:lineRule="atLeast"/>
        <w:jc w:val="both"/>
        <w:rPr>
          <w:lang w:val="en-US"/>
        </w:rPr>
      </w:pPr>
      <w:r w:rsidRPr="003E51E7">
        <w:rPr>
          <w:lang w:val="en-US"/>
        </w:rPr>
        <w:t>He underwent a complete neuro-ophthalmological examination 4 months after the onset that revealed a reduced bilateral visual acuity (BCVA BL: 0</w:t>
      </w:r>
      <w:r w:rsidR="00330E68">
        <w:rPr>
          <w:lang w:val="en-US"/>
        </w:rPr>
        <w:t>.</w:t>
      </w:r>
      <w:r w:rsidRPr="003E51E7">
        <w:rPr>
          <w:lang w:val="en-US"/>
        </w:rPr>
        <w:t>025); Ishihara testing revealed a complete loss of color vision (color vision BL: 0/16).</w:t>
      </w:r>
    </w:p>
    <w:p w14:paraId="00792679" w14:textId="77777777" w:rsidR="003E51E7" w:rsidRPr="003E51E7" w:rsidRDefault="003E51E7" w:rsidP="003E51E7">
      <w:pPr>
        <w:spacing w:line="100" w:lineRule="atLeast"/>
        <w:jc w:val="both"/>
        <w:rPr>
          <w:lang w:val="en-US"/>
        </w:rPr>
      </w:pPr>
      <w:r w:rsidRPr="003E51E7">
        <w:rPr>
          <w:lang w:val="en-US"/>
        </w:rPr>
        <w:t xml:space="preserve">HFA visual field testing was performed in both eyes. Testing of the RE revealed a mean deviation score of -20.37 dB with </w:t>
      </w:r>
      <w:proofErr w:type="spellStart"/>
      <w:r w:rsidRPr="003E51E7">
        <w:rPr>
          <w:lang w:val="en-US"/>
        </w:rPr>
        <w:t>centrocecal</w:t>
      </w:r>
      <w:proofErr w:type="spellEnd"/>
      <w:r w:rsidRPr="003E51E7">
        <w:rPr>
          <w:lang w:val="en-US"/>
        </w:rPr>
        <w:t xml:space="preserve"> scotoma; testing of the LE revealed a mean deviation score of – 23.93 dB with central scotoma. Dilated fundus examination showed a mild bilateral temporal pallor of optic nerve heads with normal macula. OCT analysis (</w:t>
      </w:r>
      <w:proofErr w:type="spellStart"/>
      <w:r w:rsidRPr="003E51E7">
        <w:rPr>
          <w:lang w:val="en-US"/>
        </w:rPr>
        <w:t>RTVue</w:t>
      </w:r>
      <w:proofErr w:type="spellEnd"/>
      <w:r w:rsidRPr="003E51E7">
        <w:rPr>
          <w:lang w:val="en-US"/>
        </w:rPr>
        <w:t xml:space="preserve"> 100) revealed a bilateral thinning of RNFL </w:t>
      </w:r>
      <w:proofErr w:type="spellStart"/>
      <w:r w:rsidRPr="003E51E7">
        <w:rPr>
          <w:lang w:val="en-US"/>
        </w:rPr>
        <w:t>i</w:t>
      </w:r>
      <w:proofErr w:type="spellEnd"/>
      <w:r w:rsidRPr="003E51E7">
        <w:rPr>
          <w:color w:val="000000"/>
          <w:lang w:val="en-GB"/>
        </w:rPr>
        <w:t>n the inferior pole (RE 108.06 µm LE 92.50 µm)</w:t>
      </w:r>
      <w:r w:rsidRPr="003E51E7">
        <w:rPr>
          <w:lang w:val="en-US"/>
        </w:rPr>
        <w:t xml:space="preserve"> and a bilateral focal thinning of GCC, more evident in the temporal retinal region </w:t>
      </w:r>
      <w:r w:rsidRPr="003E51E7">
        <w:rPr>
          <w:color w:val="000000"/>
          <w:lang w:val="en-GB"/>
        </w:rPr>
        <w:t>(RE 86.63µm; LE 92.62 µm)</w:t>
      </w:r>
      <w:r w:rsidRPr="003E51E7">
        <w:rPr>
          <w:lang w:val="en-US"/>
        </w:rPr>
        <w:t xml:space="preserve">. </w:t>
      </w:r>
    </w:p>
    <w:p w14:paraId="42C58FCD" w14:textId="215C1703" w:rsidR="003E51E7" w:rsidRPr="003E51E7" w:rsidRDefault="00145233" w:rsidP="003E51E7">
      <w:pPr>
        <w:spacing w:line="100" w:lineRule="atLeast"/>
        <w:jc w:val="both"/>
        <w:rPr>
          <w:color w:val="000000"/>
          <w:lang w:val="en-GB"/>
        </w:rPr>
      </w:pPr>
      <w:r>
        <w:rPr>
          <w:lang w:val="en-US"/>
        </w:rPr>
        <w:t>VEP</w:t>
      </w:r>
      <w:r w:rsidR="003E51E7" w:rsidRPr="003E51E7">
        <w:rPr>
          <w:lang w:val="en-US"/>
        </w:rPr>
        <w:t xml:space="preserve">s showed </w:t>
      </w:r>
      <w:r w:rsidR="003E51E7" w:rsidRPr="003E51E7">
        <w:rPr>
          <w:color w:val="000000"/>
          <w:lang w:val="en-GB"/>
        </w:rPr>
        <w:t xml:space="preserve">an irregular morphology and reduced amplitude </w:t>
      </w:r>
      <w:r w:rsidR="003E51E7" w:rsidRPr="003E51E7">
        <w:rPr>
          <w:lang w:val="en-US"/>
        </w:rPr>
        <w:t xml:space="preserve">in RE at </w:t>
      </w:r>
      <w:r w:rsidR="003E51E7" w:rsidRPr="003E51E7">
        <w:rPr>
          <w:color w:val="000000"/>
          <w:lang w:val="en-GB"/>
        </w:rPr>
        <w:t xml:space="preserve">60'; at 15' there was no reproducible response; </w:t>
      </w:r>
      <w:r>
        <w:rPr>
          <w:color w:val="000000"/>
          <w:lang w:val="en-GB"/>
        </w:rPr>
        <w:t>VEP</w:t>
      </w:r>
      <w:r w:rsidR="003E51E7" w:rsidRPr="003E51E7">
        <w:rPr>
          <w:color w:val="000000"/>
          <w:lang w:val="en-GB"/>
        </w:rPr>
        <w:t>s were absent in LE.</w:t>
      </w:r>
      <w:r w:rsidR="003E51E7" w:rsidRPr="003E51E7">
        <w:rPr>
          <w:b/>
          <w:bCs/>
          <w:color w:val="000000"/>
          <w:lang w:val="en-GB"/>
        </w:rPr>
        <w:t xml:space="preserve"> </w:t>
      </w:r>
      <w:r w:rsidR="003E51E7" w:rsidRPr="003E51E7">
        <w:rPr>
          <w:lang w:val="en-US"/>
        </w:rPr>
        <w:t xml:space="preserve"> PERG showed </w:t>
      </w:r>
      <w:r w:rsidR="003E51E7" w:rsidRPr="003E51E7">
        <w:rPr>
          <w:color w:val="000000"/>
          <w:lang w:val="en-US"/>
        </w:rPr>
        <w:t>BL reduced amplitude of N95.</w:t>
      </w:r>
    </w:p>
    <w:p w14:paraId="302A8CE2" w14:textId="77777777" w:rsidR="003E51E7" w:rsidRPr="003E51E7" w:rsidRDefault="003E51E7" w:rsidP="003E51E7">
      <w:pPr>
        <w:spacing w:line="100" w:lineRule="atLeast"/>
        <w:jc w:val="both"/>
        <w:rPr>
          <w:lang w:val="en-US"/>
        </w:rPr>
      </w:pPr>
      <w:r w:rsidRPr="003E51E7">
        <w:rPr>
          <w:lang w:val="en-GB"/>
        </w:rPr>
        <w:t>Brain MRI showed a bilateral hyperintensity of optic nerves, chiasm with partial involvement of optical tracts.</w:t>
      </w:r>
    </w:p>
    <w:p w14:paraId="6B6B7E22" w14:textId="64EB9EC9" w:rsidR="003E51E7" w:rsidRPr="003E51E7" w:rsidRDefault="003E51E7" w:rsidP="003E51E7">
      <w:pPr>
        <w:spacing w:line="100" w:lineRule="atLeast"/>
        <w:jc w:val="both"/>
        <w:rPr>
          <w:color w:val="000000"/>
          <w:lang w:val="en-US"/>
        </w:rPr>
      </w:pPr>
      <w:r w:rsidRPr="003E51E7">
        <w:rPr>
          <w:lang w:val="en-US"/>
        </w:rPr>
        <w:lastRenderedPageBreak/>
        <w:t>Blood chemistry was normal.</w:t>
      </w:r>
      <w:r w:rsidRPr="003E51E7">
        <w:rPr>
          <w:color w:val="000000"/>
          <w:lang w:val="en-US"/>
        </w:rPr>
        <w:t xml:space="preserve">, whole sequence of </w:t>
      </w:r>
      <w:proofErr w:type="spellStart"/>
      <w:r w:rsidRPr="003E51E7">
        <w:rPr>
          <w:color w:val="000000"/>
          <w:lang w:val="en-US"/>
        </w:rPr>
        <w:t>mtDNA</w:t>
      </w:r>
      <w:proofErr w:type="spellEnd"/>
      <w:r w:rsidRPr="003E51E7">
        <w:rPr>
          <w:color w:val="000000"/>
          <w:lang w:val="en-US"/>
        </w:rPr>
        <w:t xml:space="preserve"> was performed: a </w:t>
      </w:r>
      <w:proofErr w:type="spellStart"/>
      <w:r w:rsidRPr="003E51E7">
        <w:rPr>
          <w:color w:val="000000"/>
          <w:lang w:val="en-US"/>
        </w:rPr>
        <w:t>homoplasmic</w:t>
      </w:r>
      <w:proofErr w:type="spellEnd"/>
      <w:r w:rsidRPr="003E51E7">
        <w:rPr>
          <w:color w:val="000000"/>
          <w:lang w:val="en-US"/>
        </w:rPr>
        <w:t xml:space="preserve"> novel mutation in </w:t>
      </w:r>
      <w:r w:rsidR="00255332" w:rsidRPr="003D5118">
        <w:rPr>
          <w:i/>
          <w:color w:val="000000"/>
          <w:lang w:val="en-US"/>
        </w:rPr>
        <w:t>MT-</w:t>
      </w:r>
      <w:r w:rsidRPr="003D5118">
        <w:rPr>
          <w:i/>
          <w:color w:val="000000"/>
          <w:lang w:val="en-US"/>
        </w:rPr>
        <w:t>ND1</w:t>
      </w:r>
      <w:r w:rsidRPr="003E51E7">
        <w:rPr>
          <w:color w:val="000000"/>
          <w:lang w:val="en-US"/>
        </w:rPr>
        <w:t xml:space="preserve"> gene was identified (</w:t>
      </w:r>
      <w:r w:rsidRPr="003E51E7">
        <w:rPr>
          <w:lang w:val="en-US"/>
        </w:rPr>
        <w:t xml:space="preserve">m.3632C&gt;T), </w:t>
      </w:r>
      <w:r w:rsidRPr="003E51E7">
        <w:rPr>
          <w:color w:val="000000"/>
          <w:lang w:val="en-US"/>
        </w:rPr>
        <w:t xml:space="preserve">leading to an aminoacidic change </w:t>
      </w:r>
      <w:proofErr w:type="gramStart"/>
      <w:r w:rsidRPr="003E51E7">
        <w:rPr>
          <w:lang w:val="en-US"/>
        </w:rPr>
        <w:t>p.Ser</w:t>
      </w:r>
      <w:proofErr w:type="gramEnd"/>
      <w:r w:rsidRPr="003E51E7">
        <w:rPr>
          <w:lang w:val="en-US"/>
        </w:rPr>
        <w:t xml:space="preserve">109Phe, in a highly conserved position. </w:t>
      </w:r>
    </w:p>
    <w:p w14:paraId="15D2DBDC" w14:textId="77777777" w:rsidR="003E51E7" w:rsidRPr="003E51E7" w:rsidRDefault="003E51E7" w:rsidP="003E51E7">
      <w:pPr>
        <w:spacing w:line="100" w:lineRule="atLeast"/>
        <w:jc w:val="both"/>
        <w:rPr>
          <w:lang w:val="en-US"/>
        </w:rPr>
      </w:pPr>
      <w:r w:rsidRPr="003E51E7">
        <w:rPr>
          <w:color w:val="000000"/>
          <w:lang w:val="en-US"/>
        </w:rPr>
        <w:t xml:space="preserve">He started </w:t>
      </w:r>
      <w:proofErr w:type="spellStart"/>
      <w:r w:rsidRPr="003E51E7">
        <w:rPr>
          <w:color w:val="000000"/>
          <w:lang w:val="en-US"/>
        </w:rPr>
        <w:t>Idebenone</w:t>
      </w:r>
      <w:proofErr w:type="spellEnd"/>
      <w:r w:rsidRPr="003E51E7">
        <w:rPr>
          <w:color w:val="000000"/>
          <w:lang w:val="en-US"/>
        </w:rPr>
        <w:t xml:space="preserve">, </w:t>
      </w:r>
      <w:r w:rsidRPr="003E51E7">
        <w:rPr>
          <w:lang w:val="en-US"/>
        </w:rPr>
        <w:t xml:space="preserve">945 mg per day with mild recovery of visual function after 4 months. </w:t>
      </w:r>
    </w:p>
    <w:p w14:paraId="554943FD" w14:textId="70D9A614" w:rsidR="003E51E7" w:rsidRPr="003E51E7" w:rsidRDefault="003E51E7" w:rsidP="003E51E7">
      <w:pPr>
        <w:spacing w:line="100" w:lineRule="atLeast"/>
        <w:jc w:val="both"/>
        <w:rPr>
          <w:lang w:val="en-US"/>
        </w:rPr>
      </w:pPr>
      <w:r w:rsidRPr="003E51E7">
        <w:rPr>
          <w:lang w:val="en-US"/>
        </w:rPr>
        <w:t>The neuro-ophthalmological follow up revealed a bilateral improvement of visual acuity (BCVA RE: 0</w:t>
      </w:r>
      <w:r w:rsidR="005827D4">
        <w:rPr>
          <w:lang w:val="en-US"/>
        </w:rPr>
        <w:t>.</w:t>
      </w:r>
      <w:r w:rsidRPr="003E51E7">
        <w:rPr>
          <w:lang w:val="en-US"/>
        </w:rPr>
        <w:t>1 LE: 00</w:t>
      </w:r>
      <w:r w:rsidR="005827D4">
        <w:rPr>
          <w:lang w:val="en-US"/>
        </w:rPr>
        <w:t>.</w:t>
      </w:r>
      <w:r w:rsidRPr="003E51E7">
        <w:rPr>
          <w:lang w:val="en-US"/>
        </w:rPr>
        <w:t>66), no improvement was detected in color vision testing and in visual filed testing.</w:t>
      </w:r>
    </w:p>
    <w:p w14:paraId="76C21C2B" w14:textId="2D3790A0" w:rsidR="003E51E7" w:rsidRPr="003E51E7" w:rsidRDefault="003E51E7" w:rsidP="003E51E7">
      <w:pPr>
        <w:spacing w:line="100" w:lineRule="atLeast"/>
        <w:jc w:val="both"/>
        <w:rPr>
          <w:lang w:val="en-US"/>
        </w:rPr>
      </w:pPr>
      <w:r w:rsidRPr="003E51E7">
        <w:rPr>
          <w:lang w:val="en-US"/>
        </w:rPr>
        <w:t xml:space="preserve">His asymptomatic </w:t>
      </w:r>
      <w:r w:rsidR="007D0D77">
        <w:rPr>
          <w:lang w:val="en-US"/>
        </w:rPr>
        <w:t xml:space="preserve">first grade relative </w:t>
      </w:r>
      <w:r w:rsidRPr="003E51E7">
        <w:rPr>
          <w:lang w:val="en-US"/>
        </w:rPr>
        <w:t>(</w:t>
      </w:r>
      <w:r w:rsidR="003D3373">
        <w:rPr>
          <w:lang w:val="en-US"/>
        </w:rPr>
        <w:t>Subject</w:t>
      </w:r>
      <w:r w:rsidR="003D3373" w:rsidRPr="003E51E7">
        <w:rPr>
          <w:lang w:val="en-US"/>
        </w:rPr>
        <w:t xml:space="preserve"> </w:t>
      </w:r>
      <w:r w:rsidR="003D3373">
        <w:rPr>
          <w:lang w:val="en-US"/>
        </w:rPr>
        <w:t>1</w:t>
      </w:r>
      <w:r w:rsidRPr="003E51E7">
        <w:rPr>
          <w:lang w:val="en-US"/>
        </w:rPr>
        <w:t xml:space="preserve">) was shown to harbor the same </w:t>
      </w:r>
      <w:proofErr w:type="spellStart"/>
      <w:r w:rsidRPr="003E51E7">
        <w:rPr>
          <w:lang w:val="en-US"/>
        </w:rPr>
        <w:t>homoplasmic</w:t>
      </w:r>
      <w:proofErr w:type="spellEnd"/>
      <w:r w:rsidRPr="003E51E7">
        <w:rPr>
          <w:lang w:val="en-US"/>
        </w:rPr>
        <w:t xml:space="preserve"> mutation in blood.</w:t>
      </w:r>
    </w:p>
    <w:p w14:paraId="0FBFA6F8" w14:textId="77777777" w:rsidR="003E51E7" w:rsidRPr="003E51E7" w:rsidRDefault="003E51E7" w:rsidP="003E51E7">
      <w:pPr>
        <w:spacing w:line="100" w:lineRule="atLeast"/>
        <w:jc w:val="both"/>
        <w:rPr>
          <w:lang w:val="en-US"/>
        </w:rPr>
      </w:pPr>
    </w:p>
    <w:p w14:paraId="4675299F" w14:textId="77777777" w:rsidR="003E51E7" w:rsidRPr="003E51E7" w:rsidRDefault="003E51E7" w:rsidP="003E51E7">
      <w:pPr>
        <w:spacing w:line="100" w:lineRule="atLeast"/>
        <w:jc w:val="both"/>
        <w:rPr>
          <w:lang w:val="en-US"/>
        </w:rPr>
      </w:pPr>
      <w:r w:rsidRPr="003E51E7">
        <w:rPr>
          <w:lang w:val="en-US"/>
        </w:rPr>
        <w:t xml:space="preserve">Patients 6&amp;7 (Family 4) </w:t>
      </w:r>
    </w:p>
    <w:p w14:paraId="17CA9513" w14:textId="77777777" w:rsidR="003E51E7" w:rsidRPr="003E51E7" w:rsidRDefault="003E51E7" w:rsidP="003E51E7">
      <w:pPr>
        <w:spacing w:line="100" w:lineRule="atLeast"/>
        <w:jc w:val="both"/>
        <w:rPr>
          <w:lang w:val="en-US"/>
        </w:rPr>
      </w:pPr>
    </w:p>
    <w:p w14:paraId="51C5CB59" w14:textId="68C53A82" w:rsidR="003E51E7" w:rsidRPr="003E51E7" w:rsidRDefault="003E51E7" w:rsidP="003E51E7">
      <w:pPr>
        <w:spacing w:line="100" w:lineRule="atLeast"/>
        <w:jc w:val="both"/>
        <w:rPr>
          <w:lang w:val="en-US"/>
        </w:rPr>
      </w:pPr>
      <w:r w:rsidRPr="003E51E7">
        <w:rPr>
          <w:lang w:val="en-US"/>
        </w:rPr>
        <w:t xml:space="preserve">A </w:t>
      </w:r>
      <w:r w:rsidR="004D5CEF">
        <w:rPr>
          <w:lang w:val="en-US"/>
        </w:rPr>
        <w:t>young adult</w:t>
      </w:r>
      <w:r w:rsidRPr="003E51E7">
        <w:rPr>
          <w:lang w:val="en-US"/>
        </w:rPr>
        <w:t xml:space="preserve"> Caucasian male (Patient 6) presented with an history of sudden, painless loss of vision in the RE at the age of 24, involving the LE after few weeks. Family history was negative for visual loss. Steroid therapy inefficacy ruled out an inflammatory hypothesis. Noteworthy, parental consanguinity was reported: the parents had the same surname and both were born in the same little village located in northern Italy</w:t>
      </w:r>
      <w:r w:rsidR="006E17D3">
        <w:rPr>
          <w:lang w:val="en-US"/>
        </w:rPr>
        <w:t>.</w:t>
      </w:r>
    </w:p>
    <w:p w14:paraId="2C17002E" w14:textId="77777777" w:rsidR="003E51E7" w:rsidRPr="003E51E7" w:rsidRDefault="003E51E7" w:rsidP="003E51E7">
      <w:pPr>
        <w:spacing w:line="100" w:lineRule="atLeast"/>
        <w:jc w:val="both"/>
        <w:rPr>
          <w:lang w:val="en-US"/>
        </w:rPr>
      </w:pPr>
      <w:r w:rsidRPr="003E51E7">
        <w:rPr>
          <w:lang w:val="en-US"/>
        </w:rPr>
        <w:t>He underwent a complete neuro-ophthalmological examination one year after the onset, that revealed a reduced bilateral visual acuity (BCVA R: 0.2, L: 0.1); Ishihara testing showed proper identification of 3/16 plates in R and 1/16 plates in L; HFA visual field testing was performed in both eyes. Testing of the RE revealed a mean deviation score of -17.00 dB with central-scotoma; testing of the LE revealed a mean deviation score of – 18.14 dB with a central scotoma.</w:t>
      </w:r>
    </w:p>
    <w:p w14:paraId="096EBF4E" w14:textId="77777777" w:rsidR="003E51E7" w:rsidRPr="003E51E7" w:rsidRDefault="003E51E7" w:rsidP="003E51E7">
      <w:pPr>
        <w:spacing w:line="100" w:lineRule="atLeast"/>
        <w:jc w:val="both"/>
        <w:rPr>
          <w:lang w:val="en-US"/>
        </w:rPr>
      </w:pPr>
      <w:r w:rsidRPr="003E51E7">
        <w:rPr>
          <w:lang w:val="en-US"/>
        </w:rPr>
        <w:t>Fundoscopy revealed a bilateral pallor of the optic nerve heads with normal macula and mild-peripheral retina.</w:t>
      </w:r>
    </w:p>
    <w:p w14:paraId="78ADB799" w14:textId="77777777" w:rsidR="003E51E7" w:rsidRPr="003E51E7" w:rsidRDefault="003E51E7" w:rsidP="003E51E7">
      <w:pPr>
        <w:spacing w:line="100" w:lineRule="atLeast"/>
        <w:jc w:val="both"/>
        <w:rPr>
          <w:lang w:val="en-US"/>
        </w:rPr>
      </w:pPr>
      <w:r w:rsidRPr="003E51E7">
        <w:rPr>
          <w:lang w:val="en-US"/>
        </w:rPr>
        <w:t>OCT analysis (</w:t>
      </w:r>
      <w:proofErr w:type="spellStart"/>
      <w:r w:rsidRPr="003E51E7">
        <w:rPr>
          <w:lang w:val="en-US"/>
        </w:rPr>
        <w:t>RTVue</w:t>
      </w:r>
      <w:proofErr w:type="spellEnd"/>
      <w:r w:rsidRPr="003E51E7">
        <w:rPr>
          <w:lang w:val="en-US"/>
        </w:rPr>
        <w:t xml:space="preserve"> 100) revealed a bilateral thinning of RNFL </w:t>
      </w:r>
      <w:r w:rsidRPr="003E51E7">
        <w:rPr>
          <w:color w:val="000000"/>
          <w:lang w:val="en-GB"/>
        </w:rPr>
        <w:t>(RE 41.74 µm; L 42.54 µm)</w:t>
      </w:r>
      <w:r w:rsidRPr="003E51E7">
        <w:rPr>
          <w:lang w:val="en-US"/>
        </w:rPr>
        <w:t xml:space="preserve"> and GCC</w:t>
      </w:r>
      <w:r w:rsidRPr="003E51E7">
        <w:rPr>
          <w:color w:val="000000"/>
          <w:lang w:val="en-GB"/>
        </w:rPr>
        <w:t xml:space="preserve"> in perifoveal region (RE 52.75µm, LE 56.99 µm)</w:t>
      </w:r>
    </w:p>
    <w:p w14:paraId="3B69657D" w14:textId="71628722" w:rsidR="003E51E7" w:rsidRPr="003E51E7" w:rsidRDefault="00145233" w:rsidP="003E51E7">
      <w:pPr>
        <w:spacing w:line="100" w:lineRule="atLeast"/>
        <w:jc w:val="both"/>
        <w:rPr>
          <w:lang w:val="en-GB"/>
        </w:rPr>
      </w:pPr>
      <w:r>
        <w:rPr>
          <w:lang w:val="en-US"/>
        </w:rPr>
        <w:t>VEP</w:t>
      </w:r>
      <w:r w:rsidRPr="003E51E7">
        <w:rPr>
          <w:lang w:val="en-US"/>
        </w:rPr>
        <w:t xml:space="preserve">s </w:t>
      </w:r>
      <w:r w:rsidR="003E51E7" w:rsidRPr="003E51E7">
        <w:rPr>
          <w:lang w:val="en-US"/>
        </w:rPr>
        <w:t>showed reduced amplitude and delayed P100 bilaterally. Similarly, PERG amplitude was reduced bilaterally.</w:t>
      </w:r>
    </w:p>
    <w:p w14:paraId="55673E75" w14:textId="6BE7117E" w:rsidR="003E51E7" w:rsidRPr="003E51E7" w:rsidRDefault="003E51E7" w:rsidP="003E51E7">
      <w:pPr>
        <w:spacing w:line="100" w:lineRule="atLeast"/>
        <w:jc w:val="both"/>
        <w:rPr>
          <w:lang w:val="en-US"/>
        </w:rPr>
      </w:pPr>
      <w:r w:rsidRPr="003E51E7">
        <w:rPr>
          <w:lang w:val="en-GB"/>
        </w:rPr>
        <w:t xml:space="preserve">Brain MRI showed bilateral thinning of optic nerve chiasm and optic tracts along with mild hyperintensity without contrast enhancement. </w:t>
      </w:r>
      <w:r w:rsidRPr="003E51E7">
        <w:rPr>
          <w:i/>
          <w:lang w:val="en-US"/>
        </w:rPr>
        <w:t>OPA1</w:t>
      </w:r>
      <w:r w:rsidRPr="003E51E7">
        <w:rPr>
          <w:lang w:val="en-US"/>
        </w:rPr>
        <w:t xml:space="preserve"> gene mutations were ruled out. NGS panel study analysis did not detect any pathogenic variants. Under the hypothesis of a LHON, we performed a whole </w:t>
      </w:r>
      <w:proofErr w:type="spellStart"/>
      <w:r w:rsidRPr="003E51E7">
        <w:rPr>
          <w:lang w:val="en-US"/>
        </w:rPr>
        <w:t>mtDNA</w:t>
      </w:r>
      <w:proofErr w:type="spellEnd"/>
      <w:r w:rsidRPr="003E51E7">
        <w:rPr>
          <w:lang w:val="en-US"/>
        </w:rPr>
        <w:t xml:space="preserve"> sequence, founding a novel </w:t>
      </w:r>
      <w:proofErr w:type="spellStart"/>
      <w:r w:rsidRPr="003E51E7">
        <w:rPr>
          <w:lang w:val="en-US"/>
        </w:rPr>
        <w:t>homoplasmic</w:t>
      </w:r>
      <w:proofErr w:type="spellEnd"/>
      <w:r w:rsidRPr="003E51E7">
        <w:rPr>
          <w:lang w:val="en-US"/>
        </w:rPr>
        <w:t xml:space="preserve"> variant (m.14538A&gt;G, </w:t>
      </w:r>
      <w:proofErr w:type="gramStart"/>
      <w:r w:rsidRPr="003E51E7">
        <w:rPr>
          <w:lang w:val="en-US"/>
        </w:rPr>
        <w:t>p.Phe</w:t>
      </w:r>
      <w:proofErr w:type="gramEnd"/>
      <w:r w:rsidRPr="003E51E7">
        <w:rPr>
          <w:lang w:val="en-US"/>
        </w:rPr>
        <w:t>46Leu)</w:t>
      </w:r>
      <w:r w:rsidR="00255332">
        <w:rPr>
          <w:lang w:val="en-US"/>
        </w:rPr>
        <w:t xml:space="preserve"> </w:t>
      </w:r>
      <w:r w:rsidRPr="003E51E7">
        <w:rPr>
          <w:lang w:val="en-US"/>
        </w:rPr>
        <w:t xml:space="preserve">within </w:t>
      </w:r>
      <w:r w:rsidRPr="003D5118">
        <w:rPr>
          <w:i/>
          <w:lang w:val="en-US"/>
        </w:rPr>
        <w:t>MT</w:t>
      </w:r>
      <w:r w:rsidR="00255332">
        <w:rPr>
          <w:i/>
          <w:lang w:val="en-US"/>
        </w:rPr>
        <w:t>-</w:t>
      </w:r>
      <w:r w:rsidRPr="003D5118">
        <w:rPr>
          <w:i/>
          <w:lang w:val="en-US"/>
        </w:rPr>
        <w:t xml:space="preserve">ND6 </w:t>
      </w:r>
      <w:r w:rsidRPr="003E51E7">
        <w:rPr>
          <w:lang w:val="en-US"/>
        </w:rPr>
        <w:t xml:space="preserve">gene. </w:t>
      </w:r>
    </w:p>
    <w:p w14:paraId="74D3E45E" w14:textId="77777777" w:rsidR="003E51E7" w:rsidRPr="003E51E7" w:rsidRDefault="003E51E7" w:rsidP="003E51E7">
      <w:pPr>
        <w:spacing w:line="100" w:lineRule="atLeast"/>
        <w:jc w:val="both"/>
        <w:rPr>
          <w:lang w:val="en-US"/>
        </w:rPr>
      </w:pPr>
    </w:p>
    <w:p w14:paraId="7FECF07E" w14:textId="13F1B796" w:rsidR="003E51E7" w:rsidRPr="003E51E7" w:rsidRDefault="007D0D77" w:rsidP="003E51E7">
      <w:pPr>
        <w:spacing w:line="100" w:lineRule="atLeast"/>
        <w:jc w:val="both"/>
        <w:rPr>
          <w:lang w:val="en-US"/>
        </w:rPr>
      </w:pPr>
      <w:r>
        <w:rPr>
          <w:lang w:val="en-US"/>
        </w:rPr>
        <w:t xml:space="preserve">A first grade relative </w:t>
      </w:r>
      <w:r w:rsidR="003E51E7" w:rsidRPr="003E51E7">
        <w:rPr>
          <w:lang w:val="en-US"/>
        </w:rPr>
        <w:t xml:space="preserve">(Patient 7) reported a similar clinical history, and carried </w:t>
      </w:r>
      <w:r w:rsidR="003E51E7" w:rsidRPr="003E51E7">
        <w:rPr>
          <w:shd w:val="clear" w:color="auto" w:fill="FFFFFF"/>
          <w:lang w:val="en-US"/>
        </w:rPr>
        <w:t xml:space="preserve">the same </w:t>
      </w:r>
      <w:proofErr w:type="spellStart"/>
      <w:r w:rsidR="003E51E7" w:rsidRPr="003E51E7">
        <w:rPr>
          <w:shd w:val="clear" w:color="auto" w:fill="FFFFFF"/>
          <w:lang w:val="en-US"/>
        </w:rPr>
        <w:t>homoplasmic</w:t>
      </w:r>
      <w:proofErr w:type="spellEnd"/>
      <w:r w:rsidR="003E51E7" w:rsidRPr="003E51E7">
        <w:rPr>
          <w:shd w:val="clear" w:color="auto" w:fill="FFFFFF"/>
          <w:lang w:val="en-US"/>
        </w:rPr>
        <w:t xml:space="preserve"> </w:t>
      </w:r>
      <w:r w:rsidR="003E51E7" w:rsidRPr="003E51E7">
        <w:rPr>
          <w:lang w:val="en-US"/>
        </w:rPr>
        <w:t>variant. He underwent a complete neuro</w:t>
      </w:r>
      <w:r w:rsidR="00582C30">
        <w:rPr>
          <w:lang w:val="en-US"/>
        </w:rPr>
        <w:t>-o</w:t>
      </w:r>
      <w:r w:rsidR="003E51E7" w:rsidRPr="003E51E7">
        <w:rPr>
          <w:lang w:val="en-US"/>
        </w:rPr>
        <w:t>phthalmological examination, six months after the onset, that revealed a reduced bilateral visual acuity (BCVA R: 0.05, L: 0.1); impaired color vision (proper identification of 7/16 plates in R and 1/16 plates in L at Ishihara test); HFA visual field testing showed a mean deviation score of -19.23 dB in RE with central and superior scotoma and a mean deviation score of – 16 dB with a central and superior scotoma in the LE.</w:t>
      </w:r>
    </w:p>
    <w:p w14:paraId="3FD305D6" w14:textId="77777777" w:rsidR="003E51E7" w:rsidRPr="003E51E7" w:rsidRDefault="003E51E7" w:rsidP="003E51E7">
      <w:pPr>
        <w:spacing w:line="100" w:lineRule="atLeast"/>
        <w:jc w:val="both"/>
        <w:rPr>
          <w:lang w:val="en-US"/>
        </w:rPr>
      </w:pPr>
      <w:r w:rsidRPr="003E51E7">
        <w:rPr>
          <w:lang w:val="en-US"/>
        </w:rPr>
        <w:t>Fundoscopy revealed a bilateral pallor of the optic nerve heads, mild pallor of-peripheral retina with normal macular region.</w:t>
      </w:r>
    </w:p>
    <w:p w14:paraId="1D93CA85" w14:textId="77777777" w:rsidR="003E51E7" w:rsidRPr="003E51E7" w:rsidRDefault="003E51E7" w:rsidP="003E51E7">
      <w:pPr>
        <w:spacing w:line="100" w:lineRule="atLeast"/>
        <w:jc w:val="both"/>
        <w:rPr>
          <w:lang w:val="en-US"/>
        </w:rPr>
      </w:pPr>
      <w:r w:rsidRPr="003E51E7">
        <w:rPr>
          <w:lang w:val="en-US"/>
        </w:rPr>
        <w:t>OCT analysis (</w:t>
      </w:r>
      <w:proofErr w:type="spellStart"/>
      <w:r w:rsidRPr="003E51E7">
        <w:rPr>
          <w:lang w:val="en-US"/>
        </w:rPr>
        <w:t>RTVue</w:t>
      </w:r>
      <w:proofErr w:type="spellEnd"/>
      <w:r w:rsidRPr="003E51E7">
        <w:rPr>
          <w:lang w:val="en-US"/>
        </w:rPr>
        <w:t xml:space="preserve"> 100) revealed a bilateral thinning of RNFL</w:t>
      </w:r>
      <w:r w:rsidRPr="003E51E7">
        <w:rPr>
          <w:color w:val="000000"/>
          <w:lang w:val="en-GB"/>
        </w:rPr>
        <w:t xml:space="preserve"> (RE 67.44µm; LE 69.89 µm)</w:t>
      </w:r>
      <w:r w:rsidRPr="003E51E7">
        <w:rPr>
          <w:lang w:val="en-US"/>
        </w:rPr>
        <w:t xml:space="preserve"> and GCC </w:t>
      </w:r>
      <w:r w:rsidRPr="003E51E7">
        <w:rPr>
          <w:color w:val="000000"/>
          <w:lang w:val="en-GB"/>
        </w:rPr>
        <w:t>(RE 58.32 µm; LE 54.01µm);</w:t>
      </w:r>
    </w:p>
    <w:p w14:paraId="49CD19BF" w14:textId="1A970F94" w:rsidR="003E51E7" w:rsidRPr="003E51E7" w:rsidRDefault="00145233" w:rsidP="003E51E7">
      <w:pPr>
        <w:spacing w:line="100" w:lineRule="atLeast"/>
        <w:jc w:val="both"/>
        <w:rPr>
          <w:lang w:val="en-US"/>
        </w:rPr>
      </w:pPr>
      <w:r>
        <w:rPr>
          <w:lang w:val="en-US"/>
        </w:rPr>
        <w:t>VEP</w:t>
      </w:r>
      <w:r w:rsidRPr="003E51E7">
        <w:rPr>
          <w:lang w:val="en-US"/>
        </w:rPr>
        <w:t xml:space="preserve">s </w:t>
      </w:r>
      <w:r w:rsidR="003E51E7" w:rsidRPr="003E51E7">
        <w:rPr>
          <w:lang w:val="en-US"/>
        </w:rPr>
        <w:t>showed reduced amplitude and delayed P100 bilaterally. PERG were not detectable in R</w:t>
      </w:r>
      <w:r w:rsidR="005827D4">
        <w:rPr>
          <w:lang w:val="en-US"/>
        </w:rPr>
        <w:t>E</w:t>
      </w:r>
      <w:r w:rsidR="003E51E7" w:rsidRPr="003E51E7">
        <w:rPr>
          <w:lang w:val="en-US"/>
        </w:rPr>
        <w:t xml:space="preserve">, while amplitude of N95 was reduced in L </w:t>
      </w:r>
    </w:p>
    <w:p w14:paraId="5C618E86" w14:textId="77777777" w:rsidR="003E51E7" w:rsidRPr="003E51E7" w:rsidRDefault="003E51E7" w:rsidP="003E51E7">
      <w:pPr>
        <w:spacing w:line="100" w:lineRule="atLeast"/>
        <w:jc w:val="both"/>
        <w:rPr>
          <w:lang w:val="en-US"/>
        </w:rPr>
      </w:pPr>
      <w:r w:rsidRPr="003E51E7">
        <w:rPr>
          <w:lang w:val="en-US"/>
        </w:rPr>
        <w:t>MRI brain showed</w:t>
      </w:r>
      <w:r w:rsidRPr="003E51E7">
        <w:rPr>
          <w:rFonts w:eastAsia="Arial" w:cs="Arial"/>
          <w:color w:val="000000"/>
          <w:lang w:val="en-US"/>
        </w:rPr>
        <w:t xml:space="preserve"> iperT2-hyntensity of the posterior part of the optic nerve without contrast enhancement.</w:t>
      </w:r>
    </w:p>
    <w:p w14:paraId="25A5983A" w14:textId="77777777" w:rsidR="003E51E7" w:rsidRPr="003E51E7" w:rsidRDefault="003E51E7" w:rsidP="003E51E7">
      <w:pPr>
        <w:spacing w:line="100" w:lineRule="atLeast"/>
        <w:jc w:val="both"/>
        <w:rPr>
          <w:lang w:val="en-US"/>
        </w:rPr>
      </w:pPr>
      <w:r w:rsidRPr="003E51E7">
        <w:rPr>
          <w:lang w:val="en-US"/>
        </w:rPr>
        <w:t xml:space="preserve">In both patients. </w:t>
      </w:r>
      <w:proofErr w:type="spellStart"/>
      <w:r w:rsidRPr="003E51E7">
        <w:rPr>
          <w:lang w:val="en-US"/>
        </w:rPr>
        <w:t>Idebenone</w:t>
      </w:r>
      <w:proofErr w:type="spellEnd"/>
      <w:r w:rsidRPr="003E51E7">
        <w:rPr>
          <w:lang w:val="en-US"/>
        </w:rPr>
        <w:t xml:space="preserve"> therapy was started (eight months and twelve years after the onset in patient 6, and patient 7, respectively), not leading to any detectable improvement after three years of treatment in both patients.</w:t>
      </w:r>
    </w:p>
    <w:p w14:paraId="5CCDB1F9" w14:textId="77777777" w:rsidR="003E51E7" w:rsidRPr="003E51E7" w:rsidRDefault="003E51E7" w:rsidP="003E51E7">
      <w:pPr>
        <w:spacing w:line="100" w:lineRule="atLeast"/>
        <w:jc w:val="both"/>
        <w:rPr>
          <w:lang w:val="en-US"/>
        </w:rPr>
      </w:pPr>
    </w:p>
    <w:p w14:paraId="5A31938B" w14:textId="77777777" w:rsidR="003E51E7" w:rsidRPr="003E51E7" w:rsidRDefault="003E51E7" w:rsidP="003E51E7">
      <w:pPr>
        <w:spacing w:line="100" w:lineRule="atLeast"/>
        <w:jc w:val="both"/>
        <w:rPr>
          <w:lang w:val="en-US"/>
        </w:rPr>
      </w:pPr>
      <w:r w:rsidRPr="003E51E7">
        <w:rPr>
          <w:lang w:val="en-US"/>
        </w:rPr>
        <w:lastRenderedPageBreak/>
        <w:t xml:space="preserve">Patient 8 (family 5) </w:t>
      </w:r>
    </w:p>
    <w:p w14:paraId="3AF61F87" w14:textId="77777777" w:rsidR="003E51E7" w:rsidRPr="003E51E7" w:rsidRDefault="003E51E7" w:rsidP="003E51E7">
      <w:pPr>
        <w:spacing w:line="100" w:lineRule="atLeast"/>
        <w:jc w:val="both"/>
        <w:rPr>
          <w:lang w:val="en-US"/>
        </w:rPr>
      </w:pPr>
    </w:p>
    <w:p w14:paraId="0F244454" w14:textId="77777777" w:rsidR="003E51E7" w:rsidRPr="003E51E7" w:rsidRDefault="003E51E7" w:rsidP="003E51E7">
      <w:pPr>
        <w:spacing w:line="100" w:lineRule="atLeast"/>
        <w:jc w:val="both"/>
        <w:rPr>
          <w:lang w:val="en-US"/>
        </w:rPr>
      </w:pPr>
      <w:r w:rsidRPr="003E51E7">
        <w:rPr>
          <w:lang w:val="en-US"/>
        </w:rPr>
        <w:t>A Caucasian male</w:t>
      </w:r>
      <w:r w:rsidR="004D5CEF">
        <w:rPr>
          <w:lang w:val="en-US"/>
        </w:rPr>
        <w:t xml:space="preserve"> in his late adulthood</w:t>
      </w:r>
      <w:r w:rsidRPr="003E51E7">
        <w:rPr>
          <w:lang w:val="en-US"/>
        </w:rPr>
        <w:t xml:space="preserve"> started to complain sudden and painless visual loss in his LE followed, after one month by painful visual loss in the other one. Family history revealed was positive for immunological disorders (Crohn, Addison disease, autoimmune thyroiditis and sarcoidosis) but not for ophthalmological diseases.</w:t>
      </w:r>
    </w:p>
    <w:p w14:paraId="7D5E0C86" w14:textId="0A551444" w:rsidR="003E51E7" w:rsidRPr="003E51E7" w:rsidRDefault="003E51E7" w:rsidP="003E51E7">
      <w:pPr>
        <w:spacing w:line="100" w:lineRule="atLeast"/>
        <w:jc w:val="both"/>
        <w:rPr>
          <w:lang w:val="en-US"/>
        </w:rPr>
      </w:pPr>
      <w:r w:rsidRPr="003E51E7">
        <w:rPr>
          <w:lang w:val="en-US"/>
        </w:rPr>
        <w:t>One month after the onset he underwent complete neuro</w:t>
      </w:r>
      <w:r w:rsidR="00582C30">
        <w:rPr>
          <w:lang w:val="en-US"/>
        </w:rPr>
        <w:t>-o</w:t>
      </w:r>
      <w:r w:rsidRPr="003E51E7">
        <w:rPr>
          <w:lang w:val="en-US"/>
        </w:rPr>
        <w:t>phthalmological examination that showed a reduced bilateral visual acuity (BCVA R</w:t>
      </w:r>
      <w:r w:rsidR="00145233">
        <w:rPr>
          <w:lang w:val="en-US"/>
        </w:rPr>
        <w:t>E</w:t>
      </w:r>
      <w:r w:rsidRPr="003E51E7">
        <w:rPr>
          <w:lang w:val="en-US"/>
        </w:rPr>
        <w:t>: 0</w:t>
      </w:r>
      <w:r w:rsidR="00145233">
        <w:rPr>
          <w:lang w:val="en-US"/>
        </w:rPr>
        <w:t>.</w:t>
      </w:r>
      <w:r w:rsidRPr="003E51E7">
        <w:rPr>
          <w:lang w:val="en-US"/>
        </w:rPr>
        <w:t>6; L</w:t>
      </w:r>
      <w:r w:rsidR="00145233">
        <w:rPr>
          <w:lang w:val="en-US"/>
        </w:rPr>
        <w:t>E</w:t>
      </w:r>
      <w:r w:rsidRPr="003E51E7">
        <w:rPr>
          <w:lang w:val="en-US"/>
        </w:rPr>
        <w:t>: count fingers); impaired color vision in RE Ishihara testing score of 1/16 in R</w:t>
      </w:r>
      <w:r w:rsidR="00145233">
        <w:rPr>
          <w:lang w:val="en-US"/>
        </w:rPr>
        <w:t>E</w:t>
      </w:r>
      <w:r w:rsidRPr="003E51E7">
        <w:rPr>
          <w:lang w:val="en-US"/>
        </w:rPr>
        <w:t>, normal scores in L</w:t>
      </w:r>
      <w:r w:rsidR="00145233">
        <w:rPr>
          <w:lang w:val="en-US"/>
        </w:rPr>
        <w:t>E</w:t>
      </w:r>
      <w:r w:rsidRPr="003E51E7">
        <w:rPr>
          <w:lang w:val="en-US"/>
        </w:rPr>
        <w:t>).</w:t>
      </w:r>
    </w:p>
    <w:p w14:paraId="1C1371DC" w14:textId="77777777" w:rsidR="003E51E7" w:rsidRPr="003E51E7" w:rsidRDefault="003E51E7" w:rsidP="003E51E7">
      <w:pPr>
        <w:spacing w:line="100" w:lineRule="atLeast"/>
        <w:jc w:val="both"/>
        <w:rPr>
          <w:lang w:val="en-US"/>
        </w:rPr>
      </w:pPr>
      <w:r w:rsidRPr="003E51E7">
        <w:rPr>
          <w:lang w:val="en-US"/>
        </w:rPr>
        <w:t>HFA visual field testing was performed in both eyes. Testing of the RE revealed a mean deviation score of -9.15 dB with central and inferior scotoma; testing of the LE showed a mean deviation score of – 21.89 dB with central scotoma. Dilated fundus examination showed a mild temporal pallor of the optic disc in the RE. OCT analysis (</w:t>
      </w:r>
      <w:proofErr w:type="spellStart"/>
      <w:r w:rsidRPr="003E51E7">
        <w:rPr>
          <w:lang w:val="en-US"/>
        </w:rPr>
        <w:t>RTVue</w:t>
      </w:r>
      <w:proofErr w:type="spellEnd"/>
      <w:r w:rsidRPr="003E51E7">
        <w:rPr>
          <w:lang w:val="en-US"/>
        </w:rPr>
        <w:t xml:space="preserve"> 100) revealed </w:t>
      </w:r>
      <w:r w:rsidRPr="003E51E7">
        <w:rPr>
          <w:color w:val="000000"/>
          <w:lang w:val="en-GB"/>
        </w:rPr>
        <w:t>a thinning of PRNFL in both eyes (RE 76.69µm; LE 72.96 µm)</w:t>
      </w:r>
      <w:r w:rsidRPr="003E51E7">
        <w:rPr>
          <w:lang w:val="en-US"/>
        </w:rPr>
        <w:t xml:space="preserve"> and of GCC</w:t>
      </w:r>
      <w:r w:rsidRPr="003E51E7">
        <w:rPr>
          <w:color w:val="000000"/>
          <w:lang w:val="en-GB"/>
        </w:rPr>
        <w:t xml:space="preserve"> (RE 71.32 µm; LE 71.25µm) in the perifoveal region.</w:t>
      </w:r>
    </w:p>
    <w:p w14:paraId="3103BE18" w14:textId="77777777" w:rsidR="003E51E7" w:rsidRPr="003E51E7" w:rsidRDefault="003E51E7" w:rsidP="003E51E7">
      <w:pPr>
        <w:spacing w:line="100" w:lineRule="atLeast"/>
        <w:jc w:val="both"/>
        <w:rPr>
          <w:lang w:val="en-GB"/>
        </w:rPr>
      </w:pPr>
      <w:r w:rsidRPr="003E51E7">
        <w:rPr>
          <w:lang w:val="en-GB"/>
        </w:rPr>
        <w:t xml:space="preserve">RE VEPs showed </w:t>
      </w:r>
      <w:r w:rsidRPr="003E51E7">
        <w:rPr>
          <w:color w:val="000000"/>
          <w:lang w:val="en-GB"/>
        </w:rPr>
        <w:t>an</w:t>
      </w:r>
      <w:r w:rsidRPr="003E51E7">
        <w:rPr>
          <w:lang w:val="en-GB"/>
        </w:rPr>
        <w:t xml:space="preserve"> increase in latency and reduction in </w:t>
      </w:r>
      <w:r w:rsidRPr="003E51E7">
        <w:rPr>
          <w:color w:val="000000"/>
          <w:lang w:val="en-GB"/>
        </w:rPr>
        <w:t>amplitude at 60' and no response at 15'. No reproducible response at 60' and 15' was registered in the LE.</w:t>
      </w:r>
    </w:p>
    <w:p w14:paraId="77A068E5" w14:textId="3B1CA466" w:rsidR="003E51E7" w:rsidRPr="003E51E7" w:rsidRDefault="003E51E7" w:rsidP="003E51E7">
      <w:pPr>
        <w:spacing w:line="100" w:lineRule="atLeast"/>
        <w:jc w:val="both"/>
        <w:rPr>
          <w:color w:val="1C1C1C"/>
          <w:shd w:val="clear" w:color="auto" w:fill="FFFFFF"/>
          <w:lang w:val="en-US"/>
        </w:rPr>
      </w:pPr>
      <w:r w:rsidRPr="003E51E7">
        <w:rPr>
          <w:lang w:val="en-GB"/>
        </w:rPr>
        <w:t>PERG showed reduced amplitude of N95</w:t>
      </w:r>
      <w:r w:rsidRPr="003E51E7">
        <w:rPr>
          <w:lang w:val="en-US"/>
        </w:rPr>
        <w:t xml:space="preserve"> bilaterally. </w:t>
      </w:r>
      <w:r w:rsidRPr="003E51E7">
        <w:rPr>
          <w:lang w:val="en-GB"/>
        </w:rPr>
        <w:t xml:space="preserve">Brain MRI showed a mild swelling of the intra-orbital tracts of ocular nerves. </w:t>
      </w:r>
      <w:r w:rsidR="004C0789" w:rsidRPr="003E51E7">
        <w:rPr>
          <w:lang w:val="en-US"/>
        </w:rPr>
        <w:t>Neuro</w:t>
      </w:r>
      <w:r w:rsidR="00582C30">
        <w:rPr>
          <w:lang w:val="en-US"/>
        </w:rPr>
        <w:t>-</w:t>
      </w:r>
      <w:r w:rsidR="004C0789" w:rsidRPr="003E51E7">
        <w:rPr>
          <w:lang w:val="en-US"/>
        </w:rPr>
        <w:t>ophthalmological</w:t>
      </w:r>
      <w:r w:rsidRPr="003E51E7">
        <w:rPr>
          <w:lang w:val="en-US"/>
        </w:rPr>
        <w:t xml:space="preserve"> follow up revealed a further deterioration of visual acuity in RE</w:t>
      </w:r>
      <w:r w:rsidR="00330E68">
        <w:rPr>
          <w:lang w:val="en-US"/>
        </w:rPr>
        <w:t xml:space="preserve"> </w:t>
      </w:r>
      <w:r w:rsidRPr="003E51E7">
        <w:rPr>
          <w:lang w:val="en-US"/>
        </w:rPr>
        <w:t>(BCVA:</w:t>
      </w:r>
      <w:r w:rsidR="00330E68">
        <w:rPr>
          <w:lang w:val="en-US"/>
        </w:rPr>
        <w:t xml:space="preserve"> </w:t>
      </w:r>
      <w:r w:rsidRPr="003E51E7">
        <w:rPr>
          <w:lang w:val="en-US"/>
        </w:rPr>
        <w:t>0</w:t>
      </w:r>
      <w:r w:rsidR="00330E68">
        <w:rPr>
          <w:lang w:val="en-US"/>
        </w:rPr>
        <w:t>.</w:t>
      </w:r>
      <w:r w:rsidRPr="003E51E7">
        <w:rPr>
          <w:lang w:val="en-US"/>
        </w:rPr>
        <w:t>025) and a mild improvement in LE (BCVA:0</w:t>
      </w:r>
      <w:r w:rsidR="00330E68">
        <w:rPr>
          <w:lang w:val="en-US"/>
        </w:rPr>
        <w:t>.</w:t>
      </w:r>
      <w:r w:rsidRPr="003E51E7">
        <w:rPr>
          <w:lang w:val="en-US"/>
        </w:rPr>
        <w:t>025).</w:t>
      </w:r>
    </w:p>
    <w:p w14:paraId="5FE512A6" w14:textId="77777777" w:rsidR="003E51E7" w:rsidRPr="003E51E7" w:rsidRDefault="003E51E7" w:rsidP="003E51E7">
      <w:pPr>
        <w:spacing w:line="100" w:lineRule="atLeast"/>
        <w:jc w:val="both"/>
        <w:rPr>
          <w:lang w:val="en-US"/>
        </w:rPr>
      </w:pPr>
      <w:r w:rsidRPr="003E51E7">
        <w:rPr>
          <w:color w:val="1C1C1C"/>
          <w:shd w:val="clear" w:color="auto" w:fill="FFFFFF"/>
          <w:lang w:val="en-US"/>
        </w:rPr>
        <w:t>Color vision worsened in both (BL: 0/16). No improvement in HFA testing was detected.</w:t>
      </w:r>
      <w:r w:rsidRPr="003E51E7">
        <w:rPr>
          <w:lang w:val="en-GB"/>
        </w:rPr>
        <w:t xml:space="preserve"> </w:t>
      </w:r>
      <w:r w:rsidRPr="003E51E7">
        <w:rPr>
          <w:lang w:val="en-US"/>
        </w:rPr>
        <w:t xml:space="preserve">The patient was treated with steroid for 1 month without any improvement.  After the onset of visual impairment in the right eye a new attempt with IV (intravenous) steroids was proven unsuccessful. CSF analysis and blood examination for aquaporin 4 antibodies resulted in normal findings.  </w:t>
      </w:r>
    </w:p>
    <w:p w14:paraId="72095513" w14:textId="0085B575" w:rsidR="003E51E7" w:rsidRPr="003E51E7" w:rsidRDefault="00255332" w:rsidP="003E51E7">
      <w:pPr>
        <w:spacing w:line="100" w:lineRule="atLeast"/>
        <w:jc w:val="both"/>
        <w:rPr>
          <w:lang w:val="en-US"/>
        </w:rPr>
      </w:pPr>
      <w:proofErr w:type="spellStart"/>
      <w:r>
        <w:rPr>
          <w:lang w:val="en-US"/>
        </w:rPr>
        <w:t>m</w:t>
      </w:r>
      <w:r w:rsidR="003E51E7" w:rsidRPr="003E51E7">
        <w:rPr>
          <w:lang w:val="en-US"/>
        </w:rPr>
        <w:t>tDNA</w:t>
      </w:r>
      <w:proofErr w:type="spellEnd"/>
      <w:r w:rsidR="003E51E7" w:rsidRPr="003E51E7">
        <w:rPr>
          <w:lang w:val="en-US"/>
        </w:rPr>
        <w:t xml:space="preserve"> analysis excluded the three classic LHON mutations, but since a strong suspicion of LHON persisted, we performed whole </w:t>
      </w:r>
      <w:proofErr w:type="spellStart"/>
      <w:r w:rsidR="003E51E7" w:rsidRPr="003E51E7">
        <w:rPr>
          <w:lang w:val="en-US"/>
        </w:rPr>
        <w:t>mtDNA</w:t>
      </w:r>
      <w:proofErr w:type="spellEnd"/>
      <w:r w:rsidR="003E51E7" w:rsidRPr="003E51E7">
        <w:rPr>
          <w:lang w:val="en-US"/>
        </w:rPr>
        <w:t xml:space="preserve"> sequence, leading to the identification of a </w:t>
      </w:r>
      <w:proofErr w:type="spellStart"/>
      <w:r w:rsidR="003E51E7" w:rsidRPr="003E51E7">
        <w:rPr>
          <w:lang w:val="en-US"/>
        </w:rPr>
        <w:t>homoplasmic</w:t>
      </w:r>
      <w:proofErr w:type="spellEnd"/>
      <w:r w:rsidR="003E51E7" w:rsidRPr="003E51E7">
        <w:rPr>
          <w:lang w:val="en-US"/>
        </w:rPr>
        <w:t xml:space="preserve"> variant (m.10350C&gt;A, </w:t>
      </w:r>
      <w:proofErr w:type="gramStart"/>
      <w:r w:rsidR="003E51E7" w:rsidRPr="003E51E7">
        <w:rPr>
          <w:lang w:val="en-US"/>
        </w:rPr>
        <w:t>p.Leu</w:t>
      </w:r>
      <w:proofErr w:type="gramEnd"/>
      <w:r w:rsidR="003E51E7" w:rsidRPr="003E51E7">
        <w:rPr>
          <w:lang w:val="en-US"/>
        </w:rPr>
        <w:t xml:space="preserve">98Met) in </w:t>
      </w:r>
      <w:r w:rsidR="003E51E7" w:rsidRPr="003D5118">
        <w:rPr>
          <w:i/>
          <w:lang w:val="en-US"/>
        </w:rPr>
        <w:t>MT</w:t>
      </w:r>
      <w:r>
        <w:rPr>
          <w:i/>
          <w:lang w:val="en-US"/>
        </w:rPr>
        <w:t>-</w:t>
      </w:r>
      <w:r w:rsidR="003E51E7" w:rsidRPr="003D5118">
        <w:rPr>
          <w:i/>
          <w:lang w:val="en-US"/>
        </w:rPr>
        <w:t>ND3</w:t>
      </w:r>
      <w:r w:rsidR="003E51E7" w:rsidRPr="003E51E7">
        <w:rPr>
          <w:lang w:val="en-US"/>
        </w:rPr>
        <w:t xml:space="preserve"> gene.</w:t>
      </w:r>
    </w:p>
    <w:p w14:paraId="6B11B3E2" w14:textId="77777777" w:rsidR="003E51E7" w:rsidRPr="003E51E7" w:rsidRDefault="003E51E7" w:rsidP="003E51E7">
      <w:pPr>
        <w:spacing w:line="100" w:lineRule="atLeast"/>
        <w:jc w:val="both"/>
        <w:rPr>
          <w:lang w:val="en-US"/>
        </w:rPr>
      </w:pPr>
      <w:r w:rsidRPr="003E51E7">
        <w:rPr>
          <w:lang w:val="en-US"/>
        </w:rPr>
        <w:t xml:space="preserve">Therapy with </w:t>
      </w:r>
      <w:proofErr w:type="spellStart"/>
      <w:r w:rsidRPr="003E51E7">
        <w:rPr>
          <w:color w:val="000000"/>
          <w:lang w:val="en-GB"/>
        </w:rPr>
        <w:t>Idebenone</w:t>
      </w:r>
      <w:proofErr w:type="spellEnd"/>
      <w:r w:rsidRPr="003E51E7">
        <w:rPr>
          <w:color w:val="000000"/>
          <w:lang w:val="en-GB"/>
        </w:rPr>
        <w:t xml:space="preserve"> was started 4 months after the onset at high dosage (945mg /die) and follow up showed a poor recovery in both eyes (From count finger (LE) and</w:t>
      </w:r>
      <w:r w:rsidRPr="003E51E7">
        <w:rPr>
          <w:color w:val="000000"/>
          <w:lang w:val="en-GB"/>
        </w:rPr>
        <w:br/>
        <w:t>0.6 (RE) to 0.025 (LE) and 0.025 (RE).</w:t>
      </w:r>
    </w:p>
    <w:p w14:paraId="212EDA37" w14:textId="77777777" w:rsidR="003E51E7" w:rsidRDefault="003E51E7" w:rsidP="003E51E7">
      <w:pPr>
        <w:spacing w:line="100" w:lineRule="atLeast"/>
        <w:jc w:val="both"/>
        <w:rPr>
          <w:sz w:val="20"/>
          <w:szCs w:val="20"/>
          <w:lang w:val="en-US"/>
        </w:rPr>
      </w:pPr>
    </w:p>
    <w:p w14:paraId="1D76463A" w14:textId="77777777" w:rsidR="003E51E7" w:rsidRDefault="003E51E7" w:rsidP="003E51E7">
      <w:pPr>
        <w:spacing w:line="100" w:lineRule="atLeast"/>
        <w:jc w:val="both"/>
        <w:rPr>
          <w:sz w:val="20"/>
          <w:szCs w:val="20"/>
          <w:lang w:val="en-US"/>
        </w:rPr>
      </w:pPr>
    </w:p>
    <w:p w14:paraId="5D70D52B" w14:textId="77777777" w:rsidR="003E51E7" w:rsidRPr="006E17D3" w:rsidRDefault="003E51E7" w:rsidP="003E51E7">
      <w:pPr>
        <w:spacing w:line="100" w:lineRule="atLeast"/>
        <w:rPr>
          <w:lang w:val="en-US"/>
        </w:rPr>
      </w:pPr>
    </w:p>
    <w:p w14:paraId="4CAEB201" w14:textId="77777777" w:rsidR="007770BA" w:rsidRDefault="007770BA" w:rsidP="003179B5">
      <w:pPr>
        <w:pStyle w:val="PreformattatoHTML"/>
        <w:numPr>
          <w:ilvl w:val="0"/>
          <w:numId w:val="2"/>
        </w:numPr>
        <w:shd w:val="clear" w:color="auto" w:fill="FFFFFF"/>
        <w:tabs>
          <w:tab w:val="clear" w:pos="916"/>
          <w:tab w:val="left" w:pos="851"/>
        </w:tabs>
        <w:rPr>
          <w:rStyle w:val="adornadorn-41seq"/>
          <w:rFonts w:ascii="Times New Roman" w:hAnsi="Times New Roman" w:cs="Times New Roman"/>
          <w:b/>
          <w:bCs/>
          <w:sz w:val="24"/>
          <w:szCs w:val="24"/>
          <w:lang w:val="fr-FR"/>
        </w:rPr>
      </w:pPr>
      <w:proofErr w:type="spellStart"/>
      <w:r>
        <w:rPr>
          <w:rStyle w:val="adornadorn-41seq"/>
          <w:rFonts w:ascii="Times New Roman" w:hAnsi="Times New Roman" w:cs="Times New Roman"/>
          <w:b/>
          <w:bCs/>
          <w:sz w:val="24"/>
          <w:szCs w:val="24"/>
          <w:lang w:val="fr-FR"/>
        </w:rPr>
        <w:t>Supplementary</w:t>
      </w:r>
      <w:proofErr w:type="spellEnd"/>
      <w:r>
        <w:rPr>
          <w:rStyle w:val="adornadorn-41seq"/>
          <w:rFonts w:ascii="Times New Roman" w:hAnsi="Times New Roman" w:cs="Times New Roman"/>
          <w:b/>
          <w:bCs/>
          <w:sz w:val="24"/>
          <w:szCs w:val="24"/>
          <w:lang w:val="fr-FR"/>
        </w:rPr>
        <w:t xml:space="preserve"> figures and tables :</w:t>
      </w:r>
    </w:p>
    <w:p w14:paraId="64EFB2F8" w14:textId="77777777" w:rsidR="007770BA" w:rsidRDefault="007770BA" w:rsidP="007770BA">
      <w:pPr>
        <w:pStyle w:val="PreformattatoHTML"/>
        <w:shd w:val="clear" w:color="auto" w:fill="FFFFFF"/>
        <w:rPr>
          <w:rStyle w:val="adornadorn-41seq"/>
          <w:rFonts w:ascii="Times New Roman" w:hAnsi="Times New Roman" w:cs="Times New Roman"/>
          <w:b/>
          <w:bCs/>
          <w:sz w:val="24"/>
          <w:szCs w:val="24"/>
          <w:lang w:val="fr-FR"/>
        </w:rPr>
      </w:pPr>
    </w:p>
    <w:p w14:paraId="5AB1AF6E" w14:textId="77777777" w:rsidR="007770BA" w:rsidRDefault="007770BA" w:rsidP="007770BA">
      <w:pPr>
        <w:pStyle w:val="PreformattatoHTML"/>
        <w:shd w:val="clear" w:color="auto" w:fill="FFFFFF"/>
        <w:rPr>
          <w:rStyle w:val="adornadorn-41seq"/>
          <w:rFonts w:ascii="Times New Roman" w:hAnsi="Times New Roman" w:cs="Times New Roman"/>
          <w:b/>
          <w:bCs/>
          <w:sz w:val="24"/>
          <w:szCs w:val="24"/>
          <w:lang w:val="fr-FR"/>
        </w:rPr>
      </w:pPr>
    </w:p>
    <w:p w14:paraId="6DA3F8E8"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4690D657"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3D7B9D66"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4A522B12"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4D4B2349"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569587E0"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418A8CD8"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7B4A0698"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61EBE409"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31981FFC"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340FE3E9"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60A7218F"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06BF4278"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7265AF10"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41F9DEDD"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29E7AD69"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sectPr w:rsidR="00B44630">
          <w:pgSz w:w="11906" w:h="16838"/>
          <w:pgMar w:top="1417" w:right="1134" w:bottom="1134" w:left="1134" w:header="708" w:footer="708" w:gutter="0"/>
          <w:cols w:space="708"/>
          <w:docGrid w:linePitch="360"/>
        </w:sectPr>
      </w:pPr>
    </w:p>
    <w:p w14:paraId="37F468EA" w14:textId="77777777" w:rsidR="00B44630" w:rsidRDefault="00B44630" w:rsidP="007770BA">
      <w:pPr>
        <w:pStyle w:val="PreformattatoHTML"/>
        <w:shd w:val="clear" w:color="auto" w:fill="FFFFFF"/>
        <w:rPr>
          <w:rStyle w:val="adornadorn-41seq"/>
          <w:rFonts w:ascii="Times New Roman" w:hAnsi="Times New Roman" w:cs="Times New Roman"/>
          <w:b/>
          <w:bCs/>
          <w:sz w:val="24"/>
          <w:szCs w:val="24"/>
          <w:lang w:val="fr-FR"/>
        </w:rPr>
      </w:pPr>
    </w:p>
    <w:p w14:paraId="3669B5B2" w14:textId="77777777" w:rsidR="0027154F" w:rsidRPr="006E17D3" w:rsidRDefault="003179B5" w:rsidP="0027154F">
      <w:pPr>
        <w:pStyle w:val="PreformattatoHTML"/>
        <w:shd w:val="clear" w:color="auto" w:fill="FFFFFF"/>
        <w:tabs>
          <w:tab w:val="left" w:pos="851"/>
        </w:tabs>
        <w:rPr>
          <w:rStyle w:val="adornadorn-41seq"/>
          <w:rFonts w:ascii="Times New Roman" w:hAnsi="Times New Roman" w:cs="Times New Roman"/>
          <w:sz w:val="24"/>
          <w:szCs w:val="24"/>
          <w:lang w:val="en-US"/>
        </w:rPr>
      </w:pPr>
      <w:r w:rsidRPr="006E17D3">
        <w:rPr>
          <w:rStyle w:val="adornadorn-41seq"/>
          <w:rFonts w:ascii="Times New Roman" w:hAnsi="Times New Roman" w:cs="Times New Roman"/>
          <w:b/>
          <w:bCs/>
          <w:sz w:val="24"/>
          <w:szCs w:val="24"/>
          <w:lang w:val="en-US"/>
        </w:rPr>
        <w:t xml:space="preserve">2.1 </w:t>
      </w:r>
      <w:r w:rsidRPr="006E17D3">
        <w:rPr>
          <w:rStyle w:val="adornadorn-41seq"/>
          <w:rFonts w:ascii="Times New Roman" w:hAnsi="Times New Roman" w:cs="Times New Roman"/>
          <w:b/>
          <w:bCs/>
          <w:sz w:val="24"/>
          <w:szCs w:val="24"/>
          <w:lang w:val="en-US"/>
        </w:rPr>
        <w:tab/>
      </w:r>
      <w:r w:rsidR="00091DA2" w:rsidRPr="006E17D3">
        <w:rPr>
          <w:rStyle w:val="adornadorn-41seq"/>
          <w:rFonts w:ascii="Times New Roman" w:hAnsi="Times New Roman" w:cs="Times New Roman"/>
          <w:b/>
          <w:bCs/>
          <w:sz w:val="24"/>
          <w:szCs w:val="24"/>
          <w:lang w:val="en-US"/>
        </w:rPr>
        <w:t>Supplementary table</w:t>
      </w:r>
      <w:r w:rsidR="00D74519" w:rsidRPr="006E17D3">
        <w:rPr>
          <w:rStyle w:val="adornadorn-41seq"/>
          <w:rFonts w:ascii="Times New Roman" w:hAnsi="Times New Roman" w:cs="Times New Roman"/>
          <w:b/>
          <w:bCs/>
          <w:sz w:val="24"/>
          <w:szCs w:val="24"/>
          <w:lang w:val="en-US"/>
        </w:rPr>
        <w:t xml:space="preserve"> 1</w:t>
      </w:r>
      <w:r w:rsidR="00091DA2" w:rsidRPr="006E17D3">
        <w:rPr>
          <w:rStyle w:val="adornadorn-41seq"/>
          <w:rFonts w:ascii="Times New Roman" w:hAnsi="Times New Roman" w:cs="Times New Roman"/>
          <w:b/>
          <w:bCs/>
          <w:sz w:val="24"/>
          <w:szCs w:val="24"/>
          <w:lang w:val="en-US"/>
        </w:rPr>
        <w:t xml:space="preserve">: </w:t>
      </w:r>
      <w:r w:rsidR="00480A28" w:rsidRPr="006E17D3">
        <w:rPr>
          <w:rStyle w:val="adornadorn-41seq"/>
          <w:rFonts w:ascii="Times New Roman" w:hAnsi="Times New Roman" w:cs="Times New Roman"/>
          <w:sz w:val="24"/>
          <w:szCs w:val="24"/>
          <w:lang w:val="en-US"/>
        </w:rPr>
        <w:t>p</w:t>
      </w:r>
      <w:r w:rsidR="008128BB" w:rsidRPr="006E17D3">
        <w:rPr>
          <w:rStyle w:val="adornadorn-41seq"/>
          <w:rFonts w:ascii="Times New Roman" w:hAnsi="Times New Roman" w:cs="Times New Roman"/>
          <w:sz w:val="24"/>
          <w:szCs w:val="24"/>
          <w:lang w:val="en-US"/>
        </w:rPr>
        <w:t xml:space="preserve">athogenicity prediction of the identified variants using online prediction software. On the right side we reported pathogenicity predictions of the </w:t>
      </w:r>
      <w:r w:rsidR="00480A28" w:rsidRPr="006E17D3">
        <w:rPr>
          <w:rStyle w:val="adornadorn-41seq"/>
          <w:rFonts w:ascii="Times New Roman" w:hAnsi="Times New Roman" w:cs="Times New Roman"/>
          <w:sz w:val="24"/>
          <w:szCs w:val="24"/>
          <w:lang w:val="en-US"/>
        </w:rPr>
        <w:t>main</w:t>
      </w:r>
      <w:r w:rsidR="008128BB" w:rsidRPr="006E17D3">
        <w:rPr>
          <w:rStyle w:val="adornadorn-41seq"/>
          <w:rFonts w:ascii="Times New Roman" w:hAnsi="Times New Roman" w:cs="Times New Roman"/>
          <w:sz w:val="24"/>
          <w:szCs w:val="24"/>
          <w:lang w:val="en-US"/>
        </w:rPr>
        <w:t xml:space="preserve"> LHON primary mutations using the same tools.</w:t>
      </w:r>
      <w:r w:rsidR="0027154F" w:rsidRPr="006E17D3">
        <w:rPr>
          <w:rStyle w:val="adornadorn-41seq"/>
          <w:rFonts w:ascii="Times New Roman" w:hAnsi="Times New Roman" w:cs="Times New Roman"/>
          <w:sz w:val="24"/>
          <w:szCs w:val="24"/>
          <w:lang w:val="en-US"/>
        </w:rPr>
        <w:t xml:space="preserve"> </w:t>
      </w:r>
    </w:p>
    <w:p w14:paraId="106C3B98" w14:textId="76F88639" w:rsidR="00091DA2" w:rsidRPr="006E17D3" w:rsidRDefault="00F30CE1" w:rsidP="00BE3764">
      <w:pPr>
        <w:pStyle w:val="PreformattatoHTML"/>
        <w:shd w:val="clear" w:color="auto" w:fill="FFFFFF"/>
        <w:rPr>
          <w:rStyle w:val="adornadorn-41seq"/>
          <w:rFonts w:ascii="Times New Roman" w:hAnsi="Times New Roman" w:cs="Times New Roman"/>
          <w:sz w:val="24"/>
          <w:szCs w:val="24"/>
          <w:lang w:val="en-US"/>
        </w:rPr>
      </w:pPr>
      <w:r>
        <w:rPr>
          <w:rFonts w:ascii="Times New Roman" w:hAnsi="Times New Roman" w:cs="Times New Roman"/>
          <w:noProof/>
          <w:sz w:val="24"/>
          <w:szCs w:val="24"/>
          <w:lang w:val="fr-FR"/>
        </w:rPr>
        <w:object w:dxaOrig="1440" w:dyaOrig="1440" w14:anchorId="4CDCC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32.5pt;margin-top:13.4pt;width:214.9pt;height:259.1pt;z-index:251660288;mso-position-horizontal-relative:text;mso-position-vertical-relative:text">
            <v:imagedata r:id="rId7" o:title=""/>
          </v:shape>
          <o:OLEObject Type="Embed" ProgID="Excel.Sheet.12" ShapeID="_x0000_s1028" DrawAspect="Content" ObjectID="_1681832229" r:id="rId8"/>
        </w:object>
      </w:r>
    </w:p>
    <w:tbl>
      <w:tblPr>
        <w:tblW w:w="22340" w:type="dxa"/>
        <w:tblInd w:w="80" w:type="dxa"/>
        <w:tblCellMar>
          <w:left w:w="70" w:type="dxa"/>
          <w:right w:w="70" w:type="dxa"/>
        </w:tblCellMar>
        <w:tblLook w:val="04A0" w:firstRow="1" w:lastRow="0" w:firstColumn="1" w:lastColumn="0" w:noHBand="0" w:noVBand="1"/>
      </w:tblPr>
      <w:tblGrid>
        <w:gridCol w:w="1408"/>
        <w:gridCol w:w="1276"/>
        <w:gridCol w:w="1317"/>
        <w:gridCol w:w="1266"/>
        <w:gridCol w:w="1317"/>
        <w:gridCol w:w="1261"/>
        <w:gridCol w:w="10175"/>
        <w:gridCol w:w="1380"/>
        <w:gridCol w:w="1500"/>
        <w:gridCol w:w="1440"/>
      </w:tblGrid>
      <w:tr w:rsidR="00015D21" w14:paraId="2150F929" w14:textId="77777777" w:rsidTr="00015D21">
        <w:trPr>
          <w:trHeight w:val="578"/>
        </w:trPr>
        <w:tc>
          <w:tcPr>
            <w:tcW w:w="14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36E61A" w14:textId="77777777" w:rsidR="00015D21" w:rsidRDefault="00015D21" w:rsidP="00015D21">
            <w:pPr>
              <w:jc w:val="center"/>
              <w:rPr>
                <w:rFonts w:ascii="Calibri" w:hAnsi="Calibri" w:cs="Calibri"/>
                <w:b/>
                <w:bCs/>
                <w:color w:val="000000"/>
                <w:sz w:val="22"/>
                <w:szCs w:val="22"/>
              </w:rPr>
            </w:pPr>
            <w:proofErr w:type="spellStart"/>
            <w:r>
              <w:rPr>
                <w:rFonts w:ascii="Calibri" w:hAnsi="Calibri" w:cs="Calibri"/>
                <w:b/>
                <w:bCs/>
                <w:color w:val="000000"/>
                <w:sz w:val="22"/>
                <w:szCs w:val="22"/>
              </w:rPr>
              <w:t>Pathogenicity</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predictors</w:t>
            </w:r>
            <w:proofErr w:type="spellEnd"/>
            <w:r>
              <w:rPr>
                <w:rFonts w:ascii="Calibri" w:hAnsi="Calibri" w:cs="Calibri"/>
                <w:b/>
                <w:bCs/>
                <w:color w:val="000000"/>
                <w:sz w:val="22"/>
                <w:szCs w:val="22"/>
              </w:rPr>
              <w:t>:</w:t>
            </w:r>
          </w:p>
        </w:tc>
        <w:tc>
          <w:tcPr>
            <w:tcW w:w="1276" w:type="dxa"/>
            <w:tcBorders>
              <w:top w:val="single" w:sz="8" w:space="0" w:color="auto"/>
              <w:left w:val="nil"/>
              <w:bottom w:val="single" w:sz="8" w:space="0" w:color="auto"/>
              <w:right w:val="single" w:sz="4" w:space="0" w:color="auto"/>
            </w:tcBorders>
            <w:shd w:val="clear" w:color="000000" w:fill="D9D9D9"/>
            <w:noWrap/>
            <w:vAlign w:val="center"/>
            <w:hideMark/>
          </w:tcPr>
          <w:p w14:paraId="0C26298C" w14:textId="33E7B816" w:rsidR="00015D21" w:rsidRPr="00015D21" w:rsidRDefault="00015D21" w:rsidP="00015D21">
            <w:pPr>
              <w:jc w:val="center"/>
              <w:rPr>
                <w:rFonts w:ascii="Calibri" w:hAnsi="Calibri" w:cs="Calibri"/>
                <w:b/>
                <w:bCs/>
                <w:i/>
                <w:iCs/>
                <w:sz w:val="20"/>
                <w:szCs w:val="20"/>
              </w:rPr>
            </w:pPr>
            <w:r>
              <w:rPr>
                <w:rFonts w:ascii="Calibri" w:hAnsi="Calibri" w:cs="Calibri"/>
                <w:b/>
                <w:bCs/>
                <w:i/>
                <w:iCs/>
                <w:sz w:val="22"/>
                <w:szCs w:val="22"/>
              </w:rPr>
              <w:t>m.3632C&gt;T</w:t>
            </w:r>
          </w:p>
        </w:tc>
        <w:tc>
          <w:tcPr>
            <w:tcW w:w="1317" w:type="dxa"/>
            <w:tcBorders>
              <w:top w:val="single" w:sz="8" w:space="0" w:color="auto"/>
              <w:left w:val="nil"/>
              <w:bottom w:val="single" w:sz="8" w:space="0" w:color="auto"/>
              <w:right w:val="single" w:sz="4" w:space="0" w:color="auto"/>
            </w:tcBorders>
            <w:shd w:val="clear" w:color="000000" w:fill="D9D9D9"/>
            <w:noWrap/>
            <w:vAlign w:val="center"/>
            <w:hideMark/>
          </w:tcPr>
          <w:p w14:paraId="2F1498E2" w14:textId="516B4F02" w:rsidR="00015D21" w:rsidRPr="00015D21" w:rsidRDefault="00015D21" w:rsidP="00015D21">
            <w:pPr>
              <w:jc w:val="center"/>
              <w:rPr>
                <w:rFonts w:ascii="Calibri" w:hAnsi="Calibri" w:cs="Calibri"/>
                <w:b/>
                <w:bCs/>
                <w:i/>
                <w:iCs/>
                <w:sz w:val="20"/>
                <w:szCs w:val="20"/>
              </w:rPr>
            </w:pPr>
            <w:r>
              <w:rPr>
                <w:rFonts w:ascii="Calibri" w:hAnsi="Calibri" w:cs="Calibri"/>
                <w:b/>
                <w:bCs/>
                <w:i/>
                <w:iCs/>
                <w:sz w:val="22"/>
                <w:szCs w:val="22"/>
              </w:rPr>
              <w:t>m.10350C&gt;A</w:t>
            </w:r>
          </w:p>
        </w:tc>
        <w:tc>
          <w:tcPr>
            <w:tcW w:w="1266" w:type="dxa"/>
            <w:tcBorders>
              <w:top w:val="single" w:sz="8" w:space="0" w:color="auto"/>
              <w:left w:val="nil"/>
              <w:bottom w:val="single" w:sz="8" w:space="0" w:color="auto"/>
              <w:right w:val="single" w:sz="4" w:space="0" w:color="auto"/>
            </w:tcBorders>
            <w:shd w:val="clear" w:color="000000" w:fill="D9D9D9"/>
            <w:noWrap/>
            <w:vAlign w:val="center"/>
          </w:tcPr>
          <w:p w14:paraId="4439D258" w14:textId="662DBAFC" w:rsidR="00015D21" w:rsidRPr="00015D21" w:rsidRDefault="00015D21" w:rsidP="00015D21">
            <w:pPr>
              <w:jc w:val="center"/>
              <w:rPr>
                <w:rFonts w:ascii="Calibri" w:hAnsi="Calibri" w:cs="Calibri"/>
                <w:b/>
                <w:bCs/>
                <w:i/>
                <w:iCs/>
                <w:sz w:val="20"/>
                <w:szCs w:val="20"/>
              </w:rPr>
            </w:pPr>
            <w:r>
              <w:rPr>
                <w:rFonts w:ascii="Calibri" w:hAnsi="Calibri" w:cs="Calibri"/>
                <w:b/>
                <w:bCs/>
                <w:i/>
                <w:iCs/>
                <w:sz w:val="22"/>
                <w:szCs w:val="22"/>
              </w:rPr>
              <w:t>m.13340T&gt;C</w:t>
            </w:r>
          </w:p>
        </w:tc>
        <w:tc>
          <w:tcPr>
            <w:tcW w:w="1317" w:type="dxa"/>
            <w:tcBorders>
              <w:top w:val="single" w:sz="8" w:space="0" w:color="auto"/>
              <w:left w:val="nil"/>
              <w:bottom w:val="single" w:sz="8" w:space="0" w:color="auto"/>
              <w:right w:val="single" w:sz="4" w:space="0" w:color="auto"/>
            </w:tcBorders>
            <w:shd w:val="clear" w:color="000000" w:fill="D9D9D9"/>
            <w:noWrap/>
            <w:vAlign w:val="center"/>
            <w:hideMark/>
          </w:tcPr>
          <w:p w14:paraId="7947554E" w14:textId="37871261" w:rsidR="00015D21" w:rsidRPr="00015D21" w:rsidRDefault="00015D21" w:rsidP="00015D21">
            <w:pPr>
              <w:jc w:val="center"/>
              <w:rPr>
                <w:rFonts w:ascii="Calibri" w:hAnsi="Calibri" w:cs="Calibri"/>
                <w:b/>
                <w:bCs/>
                <w:i/>
                <w:iCs/>
                <w:sz w:val="20"/>
                <w:szCs w:val="20"/>
              </w:rPr>
            </w:pPr>
            <w:r>
              <w:rPr>
                <w:rFonts w:ascii="Calibri" w:hAnsi="Calibri" w:cs="Calibri"/>
                <w:b/>
                <w:bCs/>
                <w:i/>
                <w:iCs/>
                <w:sz w:val="22"/>
                <w:szCs w:val="22"/>
              </w:rPr>
              <w:t>m.13379A&gt;G</w:t>
            </w:r>
          </w:p>
        </w:tc>
        <w:tc>
          <w:tcPr>
            <w:tcW w:w="1261" w:type="dxa"/>
            <w:tcBorders>
              <w:top w:val="single" w:sz="8" w:space="0" w:color="auto"/>
              <w:left w:val="nil"/>
              <w:bottom w:val="single" w:sz="8" w:space="0" w:color="auto"/>
              <w:right w:val="single" w:sz="8" w:space="0" w:color="auto"/>
            </w:tcBorders>
            <w:shd w:val="clear" w:color="000000" w:fill="D9D9D9"/>
            <w:noWrap/>
            <w:vAlign w:val="center"/>
            <w:hideMark/>
          </w:tcPr>
          <w:p w14:paraId="40A07B49" w14:textId="14111C3E" w:rsidR="00015D21" w:rsidRPr="00015D21" w:rsidRDefault="00015D21" w:rsidP="00015D21">
            <w:pPr>
              <w:jc w:val="center"/>
              <w:rPr>
                <w:rFonts w:ascii="Calibri" w:hAnsi="Calibri" w:cs="Calibri"/>
                <w:b/>
                <w:bCs/>
                <w:i/>
                <w:iCs/>
                <w:sz w:val="20"/>
                <w:szCs w:val="20"/>
              </w:rPr>
            </w:pPr>
            <w:r w:rsidRPr="00015D21">
              <w:rPr>
                <w:rFonts w:ascii="Calibri" w:hAnsi="Calibri" w:cs="Calibri"/>
                <w:b/>
                <w:bCs/>
                <w:i/>
                <w:iCs/>
                <w:sz w:val="20"/>
                <w:szCs w:val="20"/>
              </w:rPr>
              <w:t>m.14538A&gt;G</w:t>
            </w:r>
          </w:p>
        </w:tc>
        <w:tc>
          <w:tcPr>
            <w:tcW w:w="10175" w:type="dxa"/>
            <w:tcBorders>
              <w:top w:val="nil"/>
              <w:left w:val="nil"/>
              <w:bottom w:val="nil"/>
              <w:right w:val="nil"/>
            </w:tcBorders>
            <w:shd w:val="clear" w:color="auto" w:fill="auto"/>
            <w:vAlign w:val="center"/>
            <w:hideMark/>
          </w:tcPr>
          <w:p w14:paraId="67A6735D" w14:textId="1F34230D" w:rsidR="00015D21" w:rsidRDefault="00015D21" w:rsidP="00015D21">
            <w:pPr>
              <w:rPr>
                <w:rFonts w:ascii="Calibri" w:hAnsi="Calibri" w:cs="Calibri"/>
                <w:b/>
                <w:bCs/>
                <w:color w:val="808080"/>
                <w:sz w:val="20"/>
                <w:szCs w:val="20"/>
              </w:rPr>
            </w:pPr>
            <w:r>
              <w:rPr>
                <w:rFonts w:ascii="Calibri" w:hAnsi="Calibri" w:cs="Calibri"/>
                <w:b/>
                <w:bCs/>
                <w:color w:val="808080"/>
                <w:sz w:val="20"/>
                <w:szCs w:val="20"/>
              </w:rPr>
              <w:t>Notes</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A49A70" w14:textId="77777777" w:rsidR="00015D21" w:rsidRDefault="00015D21" w:rsidP="00015D21">
            <w:pPr>
              <w:rPr>
                <w:rFonts w:ascii="Calibri" w:hAnsi="Calibri" w:cs="Calibri"/>
                <w:b/>
                <w:bCs/>
                <w:i/>
                <w:iCs/>
                <w:color w:val="0070C0"/>
                <w:sz w:val="22"/>
                <w:szCs w:val="22"/>
              </w:rPr>
            </w:pPr>
            <w:r>
              <w:rPr>
                <w:rFonts w:ascii="Calibri" w:hAnsi="Calibri" w:cs="Calibri"/>
                <w:b/>
                <w:bCs/>
                <w:i/>
                <w:iCs/>
                <w:color w:val="0070C0"/>
                <w:sz w:val="22"/>
                <w:szCs w:val="22"/>
              </w:rPr>
              <w:t>m.3460G&gt;A</w:t>
            </w:r>
          </w:p>
        </w:tc>
        <w:tc>
          <w:tcPr>
            <w:tcW w:w="1500" w:type="dxa"/>
            <w:tcBorders>
              <w:top w:val="single" w:sz="4" w:space="0" w:color="auto"/>
              <w:left w:val="nil"/>
              <w:bottom w:val="single" w:sz="4" w:space="0" w:color="auto"/>
              <w:right w:val="single" w:sz="4" w:space="0" w:color="auto"/>
            </w:tcBorders>
            <w:shd w:val="clear" w:color="000000" w:fill="D9D9D9"/>
            <w:noWrap/>
            <w:vAlign w:val="center"/>
            <w:hideMark/>
          </w:tcPr>
          <w:p w14:paraId="00C5AADC" w14:textId="77777777" w:rsidR="00015D21" w:rsidRDefault="00015D21" w:rsidP="00015D21">
            <w:pPr>
              <w:rPr>
                <w:rFonts w:ascii="Calibri" w:hAnsi="Calibri" w:cs="Calibri"/>
                <w:b/>
                <w:bCs/>
                <w:i/>
                <w:iCs/>
                <w:color w:val="0070C0"/>
                <w:sz w:val="22"/>
                <w:szCs w:val="22"/>
              </w:rPr>
            </w:pPr>
            <w:r>
              <w:rPr>
                <w:rFonts w:ascii="Calibri" w:hAnsi="Calibri" w:cs="Calibri"/>
                <w:b/>
                <w:bCs/>
                <w:i/>
                <w:iCs/>
                <w:color w:val="0070C0"/>
                <w:sz w:val="22"/>
                <w:szCs w:val="22"/>
              </w:rPr>
              <w:t>m.11778G&gt;A</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A386A40" w14:textId="77777777" w:rsidR="00015D21" w:rsidRDefault="00015D21" w:rsidP="00015D21">
            <w:pPr>
              <w:rPr>
                <w:rFonts w:ascii="Calibri" w:hAnsi="Calibri" w:cs="Calibri"/>
                <w:b/>
                <w:bCs/>
                <w:i/>
                <w:iCs/>
                <w:color w:val="0070C0"/>
                <w:sz w:val="22"/>
                <w:szCs w:val="22"/>
              </w:rPr>
            </w:pPr>
            <w:r>
              <w:rPr>
                <w:rFonts w:ascii="Calibri" w:hAnsi="Calibri" w:cs="Calibri"/>
                <w:b/>
                <w:bCs/>
                <w:i/>
                <w:iCs/>
                <w:color w:val="0070C0"/>
                <w:sz w:val="22"/>
                <w:szCs w:val="22"/>
              </w:rPr>
              <w:t>m.14484T&gt;C</w:t>
            </w:r>
          </w:p>
        </w:tc>
      </w:tr>
      <w:tr w:rsidR="00015D21" w14:paraId="58EFC129" w14:textId="77777777" w:rsidTr="00015D21">
        <w:trPr>
          <w:trHeight w:val="1050"/>
        </w:trPr>
        <w:tc>
          <w:tcPr>
            <w:tcW w:w="1408" w:type="dxa"/>
            <w:tcBorders>
              <w:top w:val="nil"/>
              <w:left w:val="single" w:sz="8" w:space="0" w:color="auto"/>
              <w:bottom w:val="single" w:sz="4" w:space="0" w:color="auto"/>
              <w:right w:val="single" w:sz="8" w:space="0" w:color="auto"/>
            </w:tcBorders>
            <w:shd w:val="clear" w:color="auto" w:fill="auto"/>
            <w:vAlign w:val="center"/>
            <w:hideMark/>
          </w:tcPr>
          <w:p w14:paraId="3A736C04" w14:textId="77777777" w:rsidR="00015D21" w:rsidRDefault="00015D21" w:rsidP="00015D21">
            <w:pPr>
              <w:rPr>
                <w:rFonts w:ascii="Calibri" w:hAnsi="Calibri" w:cs="Calibri"/>
                <w:b/>
                <w:bCs/>
                <w:color w:val="000000"/>
                <w:sz w:val="22"/>
                <w:szCs w:val="22"/>
              </w:rPr>
            </w:pPr>
            <w:r>
              <w:rPr>
                <w:rFonts w:ascii="Calibri" w:hAnsi="Calibri" w:cs="Calibri"/>
                <w:b/>
                <w:bCs/>
                <w:color w:val="000000"/>
                <w:sz w:val="22"/>
                <w:szCs w:val="22"/>
              </w:rPr>
              <w:t>Polyphen2</w:t>
            </w:r>
          </w:p>
        </w:tc>
        <w:tc>
          <w:tcPr>
            <w:tcW w:w="1276" w:type="dxa"/>
            <w:tcBorders>
              <w:top w:val="nil"/>
              <w:left w:val="nil"/>
              <w:bottom w:val="single" w:sz="4" w:space="0" w:color="auto"/>
              <w:right w:val="single" w:sz="4" w:space="0" w:color="auto"/>
            </w:tcBorders>
            <w:shd w:val="clear" w:color="auto" w:fill="auto"/>
            <w:vAlign w:val="center"/>
            <w:hideMark/>
          </w:tcPr>
          <w:p w14:paraId="7903B249" w14:textId="25858054"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Probably</w:t>
            </w:r>
            <w:proofErr w:type="spellEnd"/>
            <w:r>
              <w:rPr>
                <w:rFonts w:ascii="Calibri" w:hAnsi="Calibri" w:cs="Calibri"/>
                <w:color w:val="FF0000"/>
                <w:sz w:val="22"/>
                <w:szCs w:val="22"/>
              </w:rPr>
              <w:t xml:space="preserve"> </w:t>
            </w:r>
            <w:proofErr w:type="spellStart"/>
            <w:r>
              <w:rPr>
                <w:rFonts w:ascii="Calibri" w:hAnsi="Calibri" w:cs="Calibri"/>
                <w:color w:val="FF0000"/>
                <w:sz w:val="22"/>
                <w:szCs w:val="22"/>
              </w:rPr>
              <w:t>damaging</w:t>
            </w:r>
            <w:proofErr w:type="spellEnd"/>
            <w:r>
              <w:rPr>
                <w:rFonts w:ascii="Calibri" w:hAnsi="Calibri" w:cs="Calibri"/>
                <w:color w:val="FF0000"/>
                <w:sz w:val="22"/>
                <w:szCs w:val="22"/>
              </w:rPr>
              <w:t>, 0.92</w:t>
            </w:r>
          </w:p>
        </w:tc>
        <w:tc>
          <w:tcPr>
            <w:tcW w:w="1317" w:type="dxa"/>
            <w:tcBorders>
              <w:top w:val="nil"/>
              <w:left w:val="nil"/>
              <w:bottom w:val="single" w:sz="4" w:space="0" w:color="auto"/>
              <w:right w:val="single" w:sz="4" w:space="0" w:color="auto"/>
            </w:tcBorders>
            <w:shd w:val="clear" w:color="auto" w:fill="auto"/>
            <w:vAlign w:val="center"/>
            <w:hideMark/>
          </w:tcPr>
          <w:p w14:paraId="1DDB9CBF" w14:textId="70B1EBFA"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Probably</w:t>
            </w:r>
            <w:proofErr w:type="spellEnd"/>
            <w:r>
              <w:rPr>
                <w:rFonts w:ascii="Calibri" w:hAnsi="Calibri" w:cs="Calibri"/>
                <w:color w:val="FF0000"/>
                <w:sz w:val="22"/>
                <w:szCs w:val="22"/>
              </w:rPr>
              <w:t xml:space="preserve"> </w:t>
            </w:r>
            <w:proofErr w:type="spellStart"/>
            <w:r>
              <w:rPr>
                <w:rFonts w:ascii="Calibri" w:hAnsi="Calibri" w:cs="Calibri"/>
                <w:color w:val="FF0000"/>
                <w:sz w:val="22"/>
                <w:szCs w:val="22"/>
              </w:rPr>
              <w:t>damaging</w:t>
            </w:r>
            <w:proofErr w:type="spellEnd"/>
            <w:r>
              <w:rPr>
                <w:rFonts w:ascii="Calibri" w:hAnsi="Calibri" w:cs="Calibri"/>
                <w:color w:val="FF0000"/>
                <w:sz w:val="22"/>
                <w:szCs w:val="22"/>
              </w:rPr>
              <w:t>, 1</w:t>
            </w:r>
          </w:p>
        </w:tc>
        <w:tc>
          <w:tcPr>
            <w:tcW w:w="1266" w:type="dxa"/>
            <w:tcBorders>
              <w:top w:val="nil"/>
              <w:left w:val="nil"/>
              <w:bottom w:val="single" w:sz="4" w:space="0" w:color="auto"/>
              <w:right w:val="single" w:sz="4" w:space="0" w:color="auto"/>
            </w:tcBorders>
            <w:shd w:val="clear" w:color="auto" w:fill="auto"/>
            <w:vAlign w:val="center"/>
          </w:tcPr>
          <w:p w14:paraId="0D19198A" w14:textId="51C28E9A"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Probably</w:t>
            </w:r>
            <w:proofErr w:type="spellEnd"/>
            <w:r>
              <w:rPr>
                <w:rFonts w:ascii="Calibri" w:hAnsi="Calibri" w:cs="Calibri"/>
                <w:color w:val="FF0000"/>
                <w:sz w:val="22"/>
                <w:szCs w:val="22"/>
              </w:rPr>
              <w:t xml:space="preserve"> </w:t>
            </w:r>
            <w:proofErr w:type="spellStart"/>
            <w:r>
              <w:rPr>
                <w:rFonts w:ascii="Calibri" w:hAnsi="Calibri" w:cs="Calibri"/>
                <w:color w:val="FF0000"/>
                <w:sz w:val="22"/>
                <w:szCs w:val="22"/>
              </w:rPr>
              <w:t>damaging</w:t>
            </w:r>
            <w:proofErr w:type="spellEnd"/>
            <w:r>
              <w:rPr>
                <w:rFonts w:ascii="Calibri" w:hAnsi="Calibri" w:cs="Calibri"/>
                <w:color w:val="FF0000"/>
                <w:sz w:val="22"/>
                <w:szCs w:val="22"/>
              </w:rPr>
              <w:t>, 1</w:t>
            </w:r>
          </w:p>
        </w:tc>
        <w:tc>
          <w:tcPr>
            <w:tcW w:w="1317" w:type="dxa"/>
            <w:tcBorders>
              <w:top w:val="nil"/>
              <w:left w:val="nil"/>
              <w:bottom w:val="single" w:sz="4" w:space="0" w:color="auto"/>
              <w:right w:val="single" w:sz="4" w:space="0" w:color="auto"/>
            </w:tcBorders>
            <w:shd w:val="clear" w:color="auto" w:fill="auto"/>
            <w:vAlign w:val="center"/>
            <w:hideMark/>
          </w:tcPr>
          <w:p w14:paraId="16F587EB" w14:textId="0D231569"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Probably</w:t>
            </w:r>
            <w:proofErr w:type="spellEnd"/>
            <w:r>
              <w:rPr>
                <w:rFonts w:ascii="Calibri" w:hAnsi="Calibri" w:cs="Calibri"/>
                <w:color w:val="FF0000"/>
                <w:sz w:val="22"/>
                <w:szCs w:val="22"/>
              </w:rPr>
              <w:t xml:space="preserve"> </w:t>
            </w:r>
            <w:proofErr w:type="spellStart"/>
            <w:r>
              <w:rPr>
                <w:rFonts w:ascii="Calibri" w:hAnsi="Calibri" w:cs="Calibri"/>
                <w:color w:val="FF0000"/>
                <w:sz w:val="22"/>
                <w:szCs w:val="22"/>
              </w:rPr>
              <w:t>damaging</w:t>
            </w:r>
            <w:proofErr w:type="spellEnd"/>
            <w:r>
              <w:rPr>
                <w:rFonts w:ascii="Calibri" w:hAnsi="Calibri" w:cs="Calibri"/>
                <w:color w:val="FF0000"/>
                <w:sz w:val="22"/>
                <w:szCs w:val="22"/>
              </w:rPr>
              <w:t>, 1</w:t>
            </w:r>
          </w:p>
        </w:tc>
        <w:tc>
          <w:tcPr>
            <w:tcW w:w="1261" w:type="dxa"/>
            <w:tcBorders>
              <w:top w:val="nil"/>
              <w:left w:val="nil"/>
              <w:bottom w:val="single" w:sz="4" w:space="0" w:color="auto"/>
              <w:right w:val="single" w:sz="8" w:space="0" w:color="auto"/>
            </w:tcBorders>
            <w:shd w:val="clear" w:color="auto" w:fill="auto"/>
            <w:vAlign w:val="center"/>
            <w:hideMark/>
          </w:tcPr>
          <w:p w14:paraId="646C1278" w14:textId="33169E12" w:rsidR="00015D21" w:rsidRDefault="00015D21" w:rsidP="00015D21">
            <w:pPr>
              <w:rPr>
                <w:rFonts w:ascii="Calibri" w:hAnsi="Calibri" w:cs="Calibri"/>
                <w:color w:val="000000"/>
                <w:sz w:val="22"/>
                <w:szCs w:val="22"/>
              </w:rPr>
            </w:pPr>
            <w:proofErr w:type="spellStart"/>
            <w:r>
              <w:rPr>
                <w:rFonts w:ascii="Calibri" w:hAnsi="Calibri" w:cs="Calibri"/>
                <w:color w:val="000000"/>
                <w:sz w:val="22"/>
                <w:szCs w:val="22"/>
              </w:rPr>
              <w:t>Benign</w:t>
            </w:r>
            <w:proofErr w:type="spellEnd"/>
            <w:r>
              <w:rPr>
                <w:rFonts w:ascii="Calibri" w:hAnsi="Calibri" w:cs="Calibri"/>
                <w:color w:val="000000"/>
                <w:sz w:val="22"/>
                <w:szCs w:val="22"/>
              </w:rPr>
              <w:t>, 0</w:t>
            </w:r>
          </w:p>
        </w:tc>
        <w:tc>
          <w:tcPr>
            <w:tcW w:w="10175" w:type="dxa"/>
            <w:tcBorders>
              <w:top w:val="nil"/>
              <w:left w:val="nil"/>
              <w:bottom w:val="nil"/>
              <w:right w:val="nil"/>
            </w:tcBorders>
            <w:shd w:val="clear" w:color="auto" w:fill="auto"/>
            <w:vAlign w:val="center"/>
            <w:hideMark/>
          </w:tcPr>
          <w:p w14:paraId="210D661B" w14:textId="79F7CB5A" w:rsidR="00015D21" w:rsidRPr="006E17D3" w:rsidRDefault="00015D21" w:rsidP="00015D21">
            <w:pPr>
              <w:rPr>
                <w:rFonts w:ascii="Calibri" w:hAnsi="Calibri" w:cs="Calibri"/>
                <w:color w:val="808080"/>
                <w:sz w:val="20"/>
                <w:szCs w:val="20"/>
                <w:lang w:val="en-US"/>
              </w:rPr>
            </w:pPr>
            <w:r w:rsidRPr="006E17D3">
              <w:rPr>
                <w:rFonts w:ascii="Calibri" w:hAnsi="Calibri" w:cs="Calibri"/>
                <w:color w:val="808080"/>
                <w:sz w:val="16"/>
                <w:szCs w:val="16"/>
                <w:lang w:val="en-US"/>
              </w:rPr>
              <w:t>[min 0, max 1]</w:t>
            </w:r>
            <w:r w:rsidRPr="006E17D3">
              <w:rPr>
                <w:rFonts w:ascii="Calibri" w:hAnsi="Calibri" w:cs="Calibri"/>
                <w:color w:val="808080"/>
                <w:sz w:val="16"/>
                <w:szCs w:val="16"/>
                <w:lang w:val="en-US"/>
              </w:rPr>
              <w:br/>
              <w:t>Neutral:  score &lt;= 0.15</w:t>
            </w:r>
            <w:r w:rsidRPr="006E17D3">
              <w:rPr>
                <w:rFonts w:ascii="Calibri" w:hAnsi="Calibri" w:cs="Calibri"/>
                <w:color w:val="808080"/>
                <w:sz w:val="16"/>
                <w:szCs w:val="16"/>
                <w:lang w:val="en-US"/>
              </w:rPr>
              <w:br/>
              <w:t>Possibly damaging:  0.15 &lt; score &lt;= 0.85</w:t>
            </w:r>
            <w:r w:rsidRPr="006E17D3">
              <w:rPr>
                <w:rFonts w:ascii="Calibri" w:hAnsi="Calibri" w:cs="Calibri"/>
                <w:color w:val="808080"/>
                <w:sz w:val="16"/>
                <w:szCs w:val="16"/>
                <w:lang w:val="en-US"/>
              </w:rPr>
              <w:br/>
              <w:t>Probably damaging:  score &gt; 0.85</w:t>
            </w:r>
          </w:p>
        </w:tc>
        <w:tc>
          <w:tcPr>
            <w:tcW w:w="1380" w:type="dxa"/>
            <w:tcBorders>
              <w:top w:val="nil"/>
              <w:left w:val="single" w:sz="4" w:space="0" w:color="auto"/>
              <w:bottom w:val="nil"/>
              <w:right w:val="nil"/>
            </w:tcBorders>
            <w:shd w:val="clear" w:color="auto" w:fill="auto"/>
            <w:vAlign w:val="bottom"/>
            <w:hideMark/>
          </w:tcPr>
          <w:p w14:paraId="1A12CB7D" w14:textId="77777777" w:rsidR="00015D21" w:rsidRDefault="00015D21" w:rsidP="00015D21">
            <w:pPr>
              <w:rPr>
                <w:rFonts w:ascii="Calibri" w:hAnsi="Calibri" w:cs="Calibri"/>
                <w:color w:val="FF0000"/>
                <w:sz w:val="22"/>
                <w:szCs w:val="22"/>
              </w:rPr>
            </w:pPr>
            <w:r>
              <w:rPr>
                <w:rFonts w:ascii="Calibri" w:hAnsi="Calibri" w:cs="Calibri"/>
                <w:color w:val="FF0000"/>
                <w:sz w:val="22"/>
                <w:szCs w:val="22"/>
              </w:rPr>
              <w:t>PD, 1</w:t>
            </w:r>
          </w:p>
        </w:tc>
        <w:tc>
          <w:tcPr>
            <w:tcW w:w="1500" w:type="dxa"/>
            <w:tcBorders>
              <w:top w:val="nil"/>
              <w:left w:val="nil"/>
              <w:bottom w:val="nil"/>
              <w:right w:val="nil"/>
            </w:tcBorders>
            <w:shd w:val="clear" w:color="auto" w:fill="auto"/>
            <w:vAlign w:val="bottom"/>
            <w:hideMark/>
          </w:tcPr>
          <w:p w14:paraId="5E153E4B" w14:textId="77777777" w:rsidR="00015D21" w:rsidRDefault="00015D21" w:rsidP="00015D21">
            <w:pPr>
              <w:rPr>
                <w:rFonts w:ascii="Calibri" w:hAnsi="Calibri" w:cs="Calibri"/>
                <w:color w:val="FF0000"/>
                <w:sz w:val="22"/>
                <w:szCs w:val="22"/>
              </w:rPr>
            </w:pPr>
            <w:r>
              <w:rPr>
                <w:rFonts w:ascii="Calibri" w:hAnsi="Calibri" w:cs="Calibri"/>
                <w:color w:val="FF0000"/>
                <w:sz w:val="22"/>
                <w:szCs w:val="22"/>
              </w:rPr>
              <w:t>PD, 1</w:t>
            </w:r>
          </w:p>
        </w:tc>
        <w:tc>
          <w:tcPr>
            <w:tcW w:w="1440" w:type="dxa"/>
            <w:tcBorders>
              <w:top w:val="nil"/>
              <w:left w:val="nil"/>
              <w:bottom w:val="nil"/>
              <w:right w:val="single" w:sz="4" w:space="0" w:color="auto"/>
            </w:tcBorders>
            <w:shd w:val="clear" w:color="auto" w:fill="auto"/>
            <w:vAlign w:val="bottom"/>
            <w:hideMark/>
          </w:tcPr>
          <w:p w14:paraId="7003B2D0" w14:textId="77777777" w:rsidR="00015D21" w:rsidRDefault="00015D21" w:rsidP="00015D21">
            <w:pPr>
              <w:rPr>
                <w:rFonts w:ascii="Calibri" w:hAnsi="Calibri" w:cs="Calibri"/>
                <w:color w:val="FF0000"/>
                <w:sz w:val="22"/>
                <w:szCs w:val="22"/>
              </w:rPr>
            </w:pPr>
            <w:r>
              <w:rPr>
                <w:rFonts w:ascii="Calibri" w:hAnsi="Calibri" w:cs="Calibri"/>
                <w:color w:val="FF0000"/>
                <w:sz w:val="22"/>
                <w:szCs w:val="22"/>
              </w:rPr>
              <w:t>PD, 0.99</w:t>
            </w:r>
          </w:p>
        </w:tc>
      </w:tr>
      <w:tr w:rsidR="00015D21" w14:paraId="2646BA0D" w14:textId="77777777" w:rsidTr="00015D21">
        <w:trPr>
          <w:trHeight w:val="788"/>
        </w:trPr>
        <w:tc>
          <w:tcPr>
            <w:tcW w:w="1408" w:type="dxa"/>
            <w:tcBorders>
              <w:top w:val="nil"/>
              <w:left w:val="single" w:sz="8" w:space="0" w:color="auto"/>
              <w:bottom w:val="single" w:sz="4" w:space="0" w:color="auto"/>
              <w:right w:val="single" w:sz="8" w:space="0" w:color="auto"/>
            </w:tcBorders>
            <w:shd w:val="clear" w:color="auto" w:fill="auto"/>
            <w:vAlign w:val="center"/>
            <w:hideMark/>
          </w:tcPr>
          <w:p w14:paraId="00D21572" w14:textId="77777777" w:rsidR="00015D21" w:rsidRDefault="00015D21" w:rsidP="00015D21">
            <w:pPr>
              <w:rPr>
                <w:rFonts w:ascii="Calibri" w:hAnsi="Calibri" w:cs="Calibri"/>
                <w:b/>
                <w:bCs/>
                <w:color w:val="000000"/>
                <w:sz w:val="22"/>
                <w:szCs w:val="22"/>
              </w:rPr>
            </w:pPr>
            <w:proofErr w:type="spellStart"/>
            <w:r>
              <w:rPr>
                <w:rFonts w:ascii="Calibri" w:hAnsi="Calibri" w:cs="Calibri"/>
                <w:b/>
                <w:bCs/>
                <w:color w:val="000000"/>
                <w:sz w:val="22"/>
                <w:szCs w:val="22"/>
              </w:rPr>
              <w:t>Provean</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68D57D6" w14:textId="3B58B220"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-5.55</w:t>
            </w:r>
          </w:p>
        </w:tc>
        <w:tc>
          <w:tcPr>
            <w:tcW w:w="1317" w:type="dxa"/>
            <w:tcBorders>
              <w:top w:val="nil"/>
              <w:left w:val="nil"/>
              <w:bottom w:val="single" w:sz="4" w:space="0" w:color="auto"/>
              <w:right w:val="single" w:sz="4" w:space="0" w:color="auto"/>
            </w:tcBorders>
            <w:shd w:val="clear" w:color="auto" w:fill="auto"/>
            <w:vAlign w:val="center"/>
            <w:hideMark/>
          </w:tcPr>
          <w:p w14:paraId="476F60AB" w14:textId="25D2EF34" w:rsidR="00015D21" w:rsidRDefault="00015D21" w:rsidP="00015D21">
            <w:pPr>
              <w:rPr>
                <w:rFonts w:ascii="Calibri" w:hAnsi="Calibri" w:cs="Calibri"/>
                <w:color w:val="FF0000"/>
                <w:sz w:val="22"/>
                <w:szCs w:val="22"/>
              </w:rPr>
            </w:pPr>
            <w:proofErr w:type="spellStart"/>
            <w:r>
              <w:rPr>
                <w:rFonts w:ascii="Calibri" w:hAnsi="Calibri" w:cs="Calibri"/>
                <w:sz w:val="22"/>
                <w:szCs w:val="22"/>
              </w:rPr>
              <w:t>Neutral</w:t>
            </w:r>
            <w:proofErr w:type="spellEnd"/>
            <w:r>
              <w:rPr>
                <w:rFonts w:ascii="Calibri" w:hAnsi="Calibri" w:cs="Calibri"/>
                <w:sz w:val="22"/>
                <w:szCs w:val="22"/>
              </w:rPr>
              <w:t>, -1.92</w:t>
            </w:r>
          </w:p>
        </w:tc>
        <w:tc>
          <w:tcPr>
            <w:tcW w:w="1266" w:type="dxa"/>
            <w:tcBorders>
              <w:top w:val="nil"/>
              <w:left w:val="nil"/>
              <w:bottom w:val="single" w:sz="4" w:space="0" w:color="auto"/>
              <w:right w:val="single" w:sz="4" w:space="0" w:color="auto"/>
            </w:tcBorders>
            <w:shd w:val="clear" w:color="auto" w:fill="auto"/>
            <w:vAlign w:val="center"/>
          </w:tcPr>
          <w:p w14:paraId="16DC60BE" w14:textId="2FE57D44"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-7.21</w:t>
            </w:r>
          </w:p>
        </w:tc>
        <w:tc>
          <w:tcPr>
            <w:tcW w:w="1317" w:type="dxa"/>
            <w:tcBorders>
              <w:top w:val="nil"/>
              <w:left w:val="nil"/>
              <w:bottom w:val="single" w:sz="4" w:space="0" w:color="auto"/>
              <w:right w:val="single" w:sz="4" w:space="0" w:color="auto"/>
            </w:tcBorders>
            <w:shd w:val="clear" w:color="auto" w:fill="auto"/>
            <w:vAlign w:val="center"/>
            <w:hideMark/>
          </w:tcPr>
          <w:p w14:paraId="1F78284D" w14:textId="0FB48D4A" w:rsidR="00015D21" w:rsidRDefault="00015D21" w:rsidP="00015D21">
            <w:pPr>
              <w:rPr>
                <w:rFonts w:ascii="Calibri" w:hAnsi="Calibri" w:cs="Calibri"/>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-7.21</w:t>
            </w:r>
          </w:p>
        </w:tc>
        <w:tc>
          <w:tcPr>
            <w:tcW w:w="1261" w:type="dxa"/>
            <w:tcBorders>
              <w:top w:val="nil"/>
              <w:left w:val="nil"/>
              <w:bottom w:val="single" w:sz="4" w:space="0" w:color="auto"/>
              <w:right w:val="single" w:sz="8" w:space="0" w:color="auto"/>
            </w:tcBorders>
            <w:shd w:val="clear" w:color="auto" w:fill="auto"/>
            <w:vAlign w:val="center"/>
            <w:hideMark/>
          </w:tcPr>
          <w:p w14:paraId="5FAECC31" w14:textId="6DF75BAB"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-4,3</w:t>
            </w:r>
          </w:p>
        </w:tc>
        <w:tc>
          <w:tcPr>
            <w:tcW w:w="10175" w:type="dxa"/>
            <w:tcBorders>
              <w:top w:val="nil"/>
              <w:left w:val="nil"/>
              <w:bottom w:val="nil"/>
              <w:right w:val="nil"/>
            </w:tcBorders>
            <w:shd w:val="clear" w:color="auto" w:fill="auto"/>
            <w:vAlign w:val="center"/>
            <w:hideMark/>
          </w:tcPr>
          <w:p w14:paraId="683C7868" w14:textId="77777777" w:rsidR="00015D21" w:rsidRPr="006E17D3" w:rsidRDefault="00015D21" w:rsidP="00015D21">
            <w:pPr>
              <w:rPr>
                <w:rFonts w:ascii="Calibri" w:hAnsi="Calibri" w:cs="Calibri"/>
                <w:color w:val="808080"/>
                <w:sz w:val="16"/>
                <w:szCs w:val="16"/>
                <w:lang w:val="en-US"/>
              </w:rPr>
            </w:pPr>
            <w:r w:rsidRPr="006E17D3">
              <w:rPr>
                <w:rFonts w:ascii="Calibri" w:hAnsi="Calibri" w:cs="Calibri"/>
                <w:color w:val="808080"/>
                <w:sz w:val="16"/>
                <w:szCs w:val="16"/>
                <w:lang w:val="en-US"/>
              </w:rPr>
              <w:t xml:space="preserve"> [min -14, max 14]</w:t>
            </w:r>
            <w:r w:rsidRPr="006E17D3">
              <w:rPr>
                <w:rFonts w:ascii="Calibri" w:hAnsi="Calibri" w:cs="Calibri"/>
                <w:color w:val="808080"/>
                <w:sz w:val="16"/>
                <w:szCs w:val="16"/>
                <w:lang w:val="en-US"/>
              </w:rPr>
              <w:br/>
              <w:t>Neutral:  score &gt; -2.5</w:t>
            </w:r>
            <w:r w:rsidRPr="006E17D3">
              <w:rPr>
                <w:rFonts w:ascii="Calibri" w:hAnsi="Calibri" w:cs="Calibri"/>
                <w:color w:val="808080"/>
                <w:sz w:val="16"/>
                <w:szCs w:val="16"/>
                <w:lang w:val="en-US"/>
              </w:rPr>
              <w:br/>
              <w:t xml:space="preserve">Deleterious:  score &lt;= -2.5 </w:t>
            </w:r>
          </w:p>
          <w:p w14:paraId="4FDC52CF" w14:textId="1F8263D4" w:rsidR="00015D21" w:rsidRPr="006E17D3" w:rsidRDefault="00015D21" w:rsidP="00015D21">
            <w:pPr>
              <w:rPr>
                <w:rFonts w:ascii="Calibri" w:hAnsi="Calibri" w:cs="Calibri"/>
                <w:color w:val="808080"/>
                <w:sz w:val="20"/>
                <w:szCs w:val="20"/>
                <w:lang w:val="en-US"/>
              </w:rPr>
            </w:pPr>
            <w:r w:rsidRPr="006E17D3">
              <w:rPr>
                <w:rFonts w:ascii="Calibri" w:hAnsi="Calibri" w:cs="Calibri"/>
                <w:color w:val="808080"/>
                <w:sz w:val="16"/>
                <w:szCs w:val="16"/>
                <w:lang w:val="en-US"/>
              </w:rPr>
              <w:t>(soft threshold)</w:t>
            </w:r>
          </w:p>
        </w:tc>
        <w:tc>
          <w:tcPr>
            <w:tcW w:w="1380" w:type="dxa"/>
            <w:tcBorders>
              <w:top w:val="nil"/>
              <w:left w:val="single" w:sz="4" w:space="0" w:color="auto"/>
              <w:bottom w:val="nil"/>
              <w:right w:val="nil"/>
            </w:tcBorders>
            <w:shd w:val="clear" w:color="auto" w:fill="auto"/>
            <w:vAlign w:val="bottom"/>
            <w:hideMark/>
          </w:tcPr>
          <w:p w14:paraId="5261B553" w14:textId="77777777" w:rsidR="00015D21" w:rsidRDefault="00015D21" w:rsidP="00015D21">
            <w:pPr>
              <w:rPr>
                <w:rFonts w:ascii="Calibri" w:hAnsi="Calibri" w:cs="Calibri"/>
                <w:sz w:val="22"/>
                <w:szCs w:val="22"/>
              </w:rPr>
            </w:pPr>
            <w:proofErr w:type="spellStart"/>
            <w:r>
              <w:rPr>
                <w:rFonts w:ascii="Calibri" w:hAnsi="Calibri" w:cs="Calibri"/>
                <w:sz w:val="22"/>
                <w:szCs w:val="22"/>
              </w:rPr>
              <w:t>Neutral</w:t>
            </w:r>
            <w:proofErr w:type="spellEnd"/>
            <w:r>
              <w:rPr>
                <w:rFonts w:ascii="Calibri" w:hAnsi="Calibri" w:cs="Calibri"/>
                <w:sz w:val="22"/>
                <w:szCs w:val="22"/>
              </w:rPr>
              <w:t>, -2.36</w:t>
            </w:r>
          </w:p>
        </w:tc>
        <w:tc>
          <w:tcPr>
            <w:tcW w:w="1500" w:type="dxa"/>
            <w:tcBorders>
              <w:top w:val="nil"/>
              <w:left w:val="nil"/>
              <w:bottom w:val="nil"/>
              <w:right w:val="nil"/>
            </w:tcBorders>
            <w:shd w:val="clear" w:color="auto" w:fill="auto"/>
            <w:vAlign w:val="bottom"/>
            <w:hideMark/>
          </w:tcPr>
          <w:p w14:paraId="09762119" w14:textId="77777777" w:rsidR="00015D21" w:rsidRDefault="00015D21" w:rsidP="00015D21">
            <w:pPr>
              <w:rPr>
                <w:rFonts w:ascii="Calibri" w:hAnsi="Calibri" w:cs="Calibri"/>
                <w:color w:val="FF0000"/>
                <w:sz w:val="22"/>
                <w:szCs w:val="22"/>
              </w:rPr>
            </w:pPr>
            <w:r>
              <w:rPr>
                <w:rFonts w:ascii="Calibri" w:hAnsi="Calibri" w:cs="Calibri"/>
                <w:color w:val="FF0000"/>
                <w:sz w:val="22"/>
                <w:szCs w:val="22"/>
              </w:rPr>
              <w:t>Del, -4.74</w:t>
            </w:r>
          </w:p>
        </w:tc>
        <w:tc>
          <w:tcPr>
            <w:tcW w:w="1440" w:type="dxa"/>
            <w:tcBorders>
              <w:top w:val="nil"/>
              <w:left w:val="nil"/>
              <w:bottom w:val="nil"/>
              <w:right w:val="single" w:sz="4" w:space="0" w:color="auto"/>
            </w:tcBorders>
            <w:shd w:val="clear" w:color="auto" w:fill="auto"/>
            <w:vAlign w:val="bottom"/>
            <w:hideMark/>
          </w:tcPr>
          <w:p w14:paraId="13E07DCC" w14:textId="77777777" w:rsidR="00015D21" w:rsidRDefault="00015D21" w:rsidP="00015D21">
            <w:pPr>
              <w:rPr>
                <w:rFonts w:ascii="Calibri" w:hAnsi="Calibri" w:cs="Calibri"/>
                <w:sz w:val="22"/>
                <w:szCs w:val="22"/>
              </w:rPr>
            </w:pPr>
            <w:proofErr w:type="spellStart"/>
            <w:r>
              <w:rPr>
                <w:rFonts w:ascii="Calibri" w:hAnsi="Calibri" w:cs="Calibri"/>
                <w:sz w:val="22"/>
                <w:szCs w:val="22"/>
              </w:rPr>
              <w:t>Neutral</w:t>
            </w:r>
            <w:proofErr w:type="spellEnd"/>
            <w:r>
              <w:rPr>
                <w:rFonts w:ascii="Calibri" w:hAnsi="Calibri" w:cs="Calibri"/>
                <w:sz w:val="22"/>
                <w:szCs w:val="22"/>
              </w:rPr>
              <w:t>, -1.97</w:t>
            </w:r>
          </w:p>
        </w:tc>
      </w:tr>
      <w:tr w:rsidR="00015D21" w14:paraId="0754F9AC" w14:textId="77777777" w:rsidTr="00015D21">
        <w:trPr>
          <w:trHeight w:val="285"/>
        </w:trPr>
        <w:tc>
          <w:tcPr>
            <w:tcW w:w="1408" w:type="dxa"/>
            <w:tcBorders>
              <w:top w:val="nil"/>
              <w:left w:val="single" w:sz="8" w:space="0" w:color="auto"/>
              <w:bottom w:val="single" w:sz="4" w:space="0" w:color="auto"/>
              <w:right w:val="single" w:sz="8" w:space="0" w:color="auto"/>
            </w:tcBorders>
            <w:shd w:val="clear" w:color="auto" w:fill="auto"/>
            <w:vAlign w:val="center"/>
            <w:hideMark/>
          </w:tcPr>
          <w:p w14:paraId="025C4E62" w14:textId="77777777" w:rsidR="00015D21" w:rsidRDefault="00015D21" w:rsidP="00015D21">
            <w:pPr>
              <w:rPr>
                <w:rFonts w:ascii="Calibri" w:hAnsi="Calibri" w:cs="Calibri"/>
                <w:b/>
                <w:bCs/>
                <w:color w:val="000000"/>
                <w:sz w:val="22"/>
                <w:szCs w:val="22"/>
              </w:rPr>
            </w:pPr>
            <w:r>
              <w:rPr>
                <w:rFonts w:ascii="Calibri" w:hAnsi="Calibri" w:cs="Calibri"/>
                <w:b/>
                <w:bCs/>
                <w:color w:val="000000"/>
                <w:sz w:val="22"/>
                <w:szCs w:val="22"/>
              </w:rPr>
              <w:t>MitoClass1</w:t>
            </w:r>
          </w:p>
        </w:tc>
        <w:tc>
          <w:tcPr>
            <w:tcW w:w="1276" w:type="dxa"/>
            <w:tcBorders>
              <w:top w:val="nil"/>
              <w:left w:val="nil"/>
              <w:bottom w:val="single" w:sz="4" w:space="0" w:color="auto"/>
              <w:right w:val="single" w:sz="4" w:space="0" w:color="auto"/>
            </w:tcBorders>
            <w:shd w:val="clear" w:color="auto" w:fill="auto"/>
            <w:vAlign w:val="center"/>
            <w:hideMark/>
          </w:tcPr>
          <w:p w14:paraId="2A37A7EC" w14:textId="6F500E34"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Damaging</w:t>
            </w:r>
            <w:proofErr w:type="spellEnd"/>
          </w:p>
        </w:tc>
        <w:tc>
          <w:tcPr>
            <w:tcW w:w="1317" w:type="dxa"/>
            <w:tcBorders>
              <w:top w:val="nil"/>
              <w:left w:val="nil"/>
              <w:bottom w:val="single" w:sz="4" w:space="0" w:color="auto"/>
              <w:right w:val="single" w:sz="4" w:space="0" w:color="auto"/>
            </w:tcBorders>
            <w:shd w:val="clear" w:color="auto" w:fill="auto"/>
            <w:vAlign w:val="center"/>
            <w:hideMark/>
          </w:tcPr>
          <w:p w14:paraId="3431C38E" w14:textId="3DAFAE06"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Damaging</w:t>
            </w:r>
            <w:proofErr w:type="spellEnd"/>
          </w:p>
        </w:tc>
        <w:tc>
          <w:tcPr>
            <w:tcW w:w="1266" w:type="dxa"/>
            <w:tcBorders>
              <w:top w:val="nil"/>
              <w:left w:val="nil"/>
              <w:bottom w:val="single" w:sz="4" w:space="0" w:color="auto"/>
              <w:right w:val="single" w:sz="4" w:space="0" w:color="auto"/>
            </w:tcBorders>
            <w:shd w:val="clear" w:color="auto" w:fill="auto"/>
            <w:vAlign w:val="center"/>
          </w:tcPr>
          <w:p w14:paraId="7427FF9D" w14:textId="120372F2"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Damaging</w:t>
            </w:r>
            <w:proofErr w:type="spellEnd"/>
          </w:p>
        </w:tc>
        <w:tc>
          <w:tcPr>
            <w:tcW w:w="1317" w:type="dxa"/>
            <w:tcBorders>
              <w:top w:val="nil"/>
              <w:left w:val="nil"/>
              <w:bottom w:val="single" w:sz="4" w:space="0" w:color="auto"/>
              <w:right w:val="single" w:sz="4" w:space="0" w:color="auto"/>
            </w:tcBorders>
            <w:shd w:val="clear" w:color="auto" w:fill="auto"/>
            <w:vAlign w:val="center"/>
            <w:hideMark/>
          </w:tcPr>
          <w:p w14:paraId="3D8632DB" w14:textId="4FDB837B"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Damaging</w:t>
            </w:r>
            <w:proofErr w:type="spellEnd"/>
          </w:p>
        </w:tc>
        <w:tc>
          <w:tcPr>
            <w:tcW w:w="1261" w:type="dxa"/>
            <w:tcBorders>
              <w:top w:val="nil"/>
              <w:left w:val="nil"/>
              <w:bottom w:val="single" w:sz="4" w:space="0" w:color="auto"/>
              <w:right w:val="single" w:sz="8" w:space="0" w:color="auto"/>
            </w:tcBorders>
            <w:shd w:val="clear" w:color="auto" w:fill="auto"/>
            <w:vAlign w:val="center"/>
            <w:hideMark/>
          </w:tcPr>
          <w:p w14:paraId="6059C91C" w14:textId="0DAB9BE3" w:rsidR="00015D21" w:rsidRDefault="00015D21" w:rsidP="00015D21">
            <w:pPr>
              <w:rPr>
                <w:rFonts w:ascii="Calibri" w:hAnsi="Calibri" w:cs="Calibri"/>
                <w:color w:val="000000"/>
                <w:sz w:val="22"/>
                <w:szCs w:val="22"/>
              </w:rPr>
            </w:pPr>
            <w:proofErr w:type="spellStart"/>
            <w:r>
              <w:rPr>
                <w:rFonts w:ascii="Calibri" w:hAnsi="Calibri" w:cs="Calibri"/>
                <w:color w:val="000000"/>
                <w:sz w:val="22"/>
                <w:szCs w:val="22"/>
              </w:rPr>
              <w:t>Neutral</w:t>
            </w:r>
            <w:proofErr w:type="spellEnd"/>
          </w:p>
        </w:tc>
        <w:tc>
          <w:tcPr>
            <w:tcW w:w="10175" w:type="dxa"/>
            <w:tcBorders>
              <w:top w:val="nil"/>
              <w:left w:val="nil"/>
              <w:bottom w:val="nil"/>
              <w:right w:val="nil"/>
            </w:tcBorders>
            <w:shd w:val="clear" w:color="auto" w:fill="auto"/>
            <w:vAlign w:val="center"/>
            <w:hideMark/>
          </w:tcPr>
          <w:p w14:paraId="6F8510EF" w14:textId="77777777" w:rsidR="00015D21" w:rsidRPr="009C6A62" w:rsidRDefault="00015D21" w:rsidP="00015D21">
            <w:pPr>
              <w:rPr>
                <w:rFonts w:ascii="Calibri" w:hAnsi="Calibri" w:cs="Calibri"/>
                <w:color w:val="808080"/>
                <w:sz w:val="16"/>
                <w:szCs w:val="16"/>
              </w:rPr>
            </w:pPr>
            <w:proofErr w:type="spellStart"/>
            <w:r w:rsidRPr="009C6A62">
              <w:rPr>
                <w:rFonts w:ascii="Calibri" w:hAnsi="Calibri" w:cs="Calibri"/>
                <w:color w:val="808080"/>
                <w:sz w:val="16"/>
                <w:szCs w:val="16"/>
              </w:rPr>
              <w:t>Categorical</w:t>
            </w:r>
            <w:proofErr w:type="spellEnd"/>
            <w:r w:rsidRPr="009C6A62">
              <w:rPr>
                <w:rFonts w:ascii="Calibri" w:hAnsi="Calibri" w:cs="Calibri"/>
                <w:color w:val="808080"/>
                <w:sz w:val="16"/>
                <w:szCs w:val="16"/>
              </w:rPr>
              <w:t xml:space="preserve"> </w:t>
            </w:r>
            <w:proofErr w:type="spellStart"/>
            <w:r w:rsidRPr="009C6A62">
              <w:rPr>
                <w:rFonts w:ascii="Calibri" w:hAnsi="Calibri" w:cs="Calibri"/>
                <w:color w:val="808080"/>
                <w:sz w:val="16"/>
                <w:szCs w:val="16"/>
              </w:rPr>
              <w:t>only</w:t>
            </w:r>
            <w:proofErr w:type="spellEnd"/>
          </w:p>
        </w:tc>
        <w:tc>
          <w:tcPr>
            <w:tcW w:w="1380" w:type="dxa"/>
            <w:tcBorders>
              <w:top w:val="nil"/>
              <w:left w:val="single" w:sz="4" w:space="0" w:color="auto"/>
              <w:bottom w:val="nil"/>
              <w:right w:val="nil"/>
            </w:tcBorders>
            <w:shd w:val="clear" w:color="auto" w:fill="auto"/>
            <w:vAlign w:val="bottom"/>
            <w:hideMark/>
          </w:tcPr>
          <w:p w14:paraId="5EE791E4"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Damaging</w:t>
            </w:r>
            <w:proofErr w:type="spellEnd"/>
          </w:p>
        </w:tc>
        <w:tc>
          <w:tcPr>
            <w:tcW w:w="1500" w:type="dxa"/>
            <w:tcBorders>
              <w:top w:val="nil"/>
              <w:left w:val="nil"/>
              <w:bottom w:val="nil"/>
              <w:right w:val="nil"/>
            </w:tcBorders>
            <w:shd w:val="clear" w:color="auto" w:fill="auto"/>
            <w:vAlign w:val="bottom"/>
            <w:hideMark/>
          </w:tcPr>
          <w:p w14:paraId="74D4B569"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Damaging</w:t>
            </w:r>
            <w:proofErr w:type="spellEnd"/>
          </w:p>
        </w:tc>
        <w:tc>
          <w:tcPr>
            <w:tcW w:w="1440" w:type="dxa"/>
            <w:tcBorders>
              <w:top w:val="nil"/>
              <w:left w:val="nil"/>
              <w:bottom w:val="nil"/>
              <w:right w:val="single" w:sz="4" w:space="0" w:color="auto"/>
            </w:tcBorders>
            <w:shd w:val="clear" w:color="auto" w:fill="auto"/>
            <w:vAlign w:val="bottom"/>
            <w:hideMark/>
          </w:tcPr>
          <w:p w14:paraId="1F407854" w14:textId="77777777" w:rsidR="00015D21" w:rsidRDefault="00015D21" w:rsidP="00015D21">
            <w:pPr>
              <w:jc w:val="center"/>
              <w:rPr>
                <w:rFonts w:ascii="Calibri" w:hAnsi="Calibri" w:cs="Calibri"/>
                <w:sz w:val="22"/>
                <w:szCs w:val="22"/>
              </w:rPr>
            </w:pPr>
            <w:proofErr w:type="spellStart"/>
            <w:r>
              <w:rPr>
                <w:rFonts w:ascii="Calibri" w:hAnsi="Calibri" w:cs="Calibri"/>
                <w:sz w:val="22"/>
                <w:szCs w:val="22"/>
              </w:rPr>
              <w:t>Neutral</w:t>
            </w:r>
            <w:proofErr w:type="spellEnd"/>
          </w:p>
        </w:tc>
      </w:tr>
      <w:tr w:rsidR="00015D21" w14:paraId="65701171" w14:textId="77777777" w:rsidTr="00015D21">
        <w:trPr>
          <w:trHeight w:val="788"/>
        </w:trPr>
        <w:tc>
          <w:tcPr>
            <w:tcW w:w="1408" w:type="dxa"/>
            <w:tcBorders>
              <w:top w:val="nil"/>
              <w:left w:val="single" w:sz="8" w:space="0" w:color="auto"/>
              <w:bottom w:val="single" w:sz="4" w:space="0" w:color="auto"/>
              <w:right w:val="single" w:sz="8" w:space="0" w:color="auto"/>
            </w:tcBorders>
            <w:shd w:val="clear" w:color="auto" w:fill="auto"/>
            <w:vAlign w:val="center"/>
            <w:hideMark/>
          </w:tcPr>
          <w:p w14:paraId="61FAF614" w14:textId="77777777" w:rsidR="00015D21" w:rsidRDefault="00015D21" w:rsidP="00015D21">
            <w:pPr>
              <w:rPr>
                <w:rFonts w:ascii="Calibri" w:hAnsi="Calibri" w:cs="Calibri"/>
                <w:b/>
                <w:bCs/>
                <w:color w:val="000000"/>
                <w:sz w:val="22"/>
                <w:szCs w:val="22"/>
              </w:rPr>
            </w:pPr>
            <w:proofErr w:type="spellStart"/>
            <w:r>
              <w:rPr>
                <w:rFonts w:ascii="Calibri" w:hAnsi="Calibri" w:cs="Calibri"/>
                <w:b/>
                <w:bCs/>
                <w:color w:val="000000"/>
                <w:sz w:val="22"/>
                <w:szCs w:val="22"/>
              </w:rPr>
              <w:t>Panther</w:t>
            </w:r>
            <w:proofErr w:type="spellEnd"/>
          </w:p>
        </w:tc>
        <w:tc>
          <w:tcPr>
            <w:tcW w:w="1276" w:type="dxa"/>
            <w:tcBorders>
              <w:top w:val="nil"/>
              <w:left w:val="single" w:sz="4" w:space="0" w:color="auto"/>
              <w:bottom w:val="single" w:sz="4" w:space="0" w:color="auto"/>
              <w:right w:val="nil"/>
            </w:tcBorders>
            <w:shd w:val="clear" w:color="auto" w:fill="auto"/>
            <w:vAlign w:val="center"/>
            <w:hideMark/>
          </w:tcPr>
          <w:p w14:paraId="73BF38C0" w14:textId="79199116" w:rsidR="00015D21" w:rsidRDefault="00015D21" w:rsidP="00015D21">
            <w:pPr>
              <w:rPr>
                <w:rFonts w:ascii="Calibri" w:hAnsi="Calibri" w:cs="Calibri"/>
                <w:color w:val="FF0000"/>
                <w:sz w:val="22"/>
                <w:szCs w:val="22"/>
              </w:rPr>
            </w:pPr>
            <w:proofErr w:type="spellStart"/>
            <w:r>
              <w:rPr>
                <w:rFonts w:ascii="Calibri" w:hAnsi="Calibri" w:cs="Calibri"/>
                <w:sz w:val="22"/>
                <w:szCs w:val="22"/>
              </w:rPr>
              <w:t>Neutral</w:t>
            </w:r>
            <w:proofErr w:type="spellEnd"/>
            <w:r>
              <w:rPr>
                <w:rFonts w:ascii="Calibri" w:hAnsi="Calibri" w:cs="Calibri"/>
                <w:sz w:val="22"/>
                <w:szCs w:val="22"/>
              </w:rPr>
              <w:t>, 0.29</w:t>
            </w:r>
          </w:p>
        </w:tc>
        <w:tc>
          <w:tcPr>
            <w:tcW w:w="1317" w:type="dxa"/>
            <w:tcBorders>
              <w:top w:val="nil"/>
              <w:left w:val="single" w:sz="4" w:space="0" w:color="auto"/>
              <w:bottom w:val="single" w:sz="4" w:space="0" w:color="auto"/>
              <w:right w:val="nil"/>
            </w:tcBorders>
            <w:shd w:val="clear" w:color="auto" w:fill="auto"/>
            <w:vAlign w:val="center"/>
            <w:hideMark/>
          </w:tcPr>
          <w:p w14:paraId="09F115A4" w14:textId="6C933F43" w:rsidR="00015D21" w:rsidRDefault="00015D21" w:rsidP="00015D21">
            <w:pPr>
              <w:rPr>
                <w:rFonts w:ascii="Calibri" w:hAnsi="Calibri" w:cs="Calibri"/>
                <w:color w:val="FF0000"/>
                <w:sz w:val="22"/>
                <w:szCs w:val="22"/>
              </w:rPr>
            </w:pPr>
            <w:proofErr w:type="spellStart"/>
            <w:r>
              <w:rPr>
                <w:rFonts w:ascii="Calibri" w:hAnsi="Calibri" w:cs="Calibri"/>
                <w:sz w:val="22"/>
                <w:szCs w:val="22"/>
              </w:rPr>
              <w:t>Neutral</w:t>
            </w:r>
            <w:proofErr w:type="spellEnd"/>
            <w:r>
              <w:rPr>
                <w:rFonts w:ascii="Calibri" w:hAnsi="Calibri" w:cs="Calibri"/>
                <w:sz w:val="22"/>
                <w:szCs w:val="22"/>
              </w:rPr>
              <w:t>, 0.48</w:t>
            </w:r>
          </w:p>
        </w:tc>
        <w:tc>
          <w:tcPr>
            <w:tcW w:w="1266" w:type="dxa"/>
            <w:tcBorders>
              <w:top w:val="nil"/>
              <w:left w:val="single" w:sz="4" w:space="0" w:color="auto"/>
              <w:bottom w:val="single" w:sz="4" w:space="0" w:color="auto"/>
              <w:right w:val="nil"/>
            </w:tcBorders>
            <w:shd w:val="clear" w:color="auto" w:fill="auto"/>
            <w:vAlign w:val="center"/>
          </w:tcPr>
          <w:p w14:paraId="00D7D9AC" w14:textId="295D6E34" w:rsidR="00015D21" w:rsidRDefault="00015D21" w:rsidP="00015D21">
            <w:pPr>
              <w:rPr>
                <w:rFonts w:ascii="Calibri" w:hAnsi="Calibri" w:cs="Calibri"/>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0.85</w:t>
            </w:r>
          </w:p>
        </w:tc>
        <w:tc>
          <w:tcPr>
            <w:tcW w:w="1317" w:type="dxa"/>
            <w:tcBorders>
              <w:top w:val="nil"/>
              <w:left w:val="single" w:sz="4" w:space="0" w:color="auto"/>
              <w:bottom w:val="single" w:sz="4" w:space="0" w:color="auto"/>
              <w:right w:val="nil"/>
            </w:tcBorders>
            <w:shd w:val="clear" w:color="auto" w:fill="auto"/>
            <w:vAlign w:val="center"/>
            <w:hideMark/>
          </w:tcPr>
          <w:p w14:paraId="73C64B96" w14:textId="19619350" w:rsidR="00015D21" w:rsidRDefault="00015D21" w:rsidP="00015D21">
            <w:pPr>
              <w:rPr>
                <w:rFonts w:ascii="Calibri" w:hAnsi="Calibri" w:cs="Calibri"/>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0.69</w:t>
            </w:r>
          </w:p>
        </w:tc>
        <w:tc>
          <w:tcPr>
            <w:tcW w:w="1261" w:type="dxa"/>
            <w:tcBorders>
              <w:top w:val="nil"/>
              <w:left w:val="single" w:sz="4" w:space="0" w:color="auto"/>
              <w:bottom w:val="single" w:sz="4" w:space="0" w:color="auto"/>
              <w:right w:val="single" w:sz="8" w:space="0" w:color="auto"/>
            </w:tcBorders>
            <w:shd w:val="clear" w:color="auto" w:fill="auto"/>
            <w:vAlign w:val="center"/>
            <w:hideMark/>
          </w:tcPr>
          <w:p w14:paraId="194EAADD" w14:textId="7C53FF29"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0.55</w:t>
            </w:r>
          </w:p>
        </w:tc>
        <w:tc>
          <w:tcPr>
            <w:tcW w:w="10175" w:type="dxa"/>
            <w:tcBorders>
              <w:top w:val="nil"/>
              <w:left w:val="nil"/>
              <w:bottom w:val="nil"/>
              <w:right w:val="nil"/>
            </w:tcBorders>
            <w:shd w:val="clear" w:color="auto" w:fill="auto"/>
            <w:vAlign w:val="center"/>
            <w:hideMark/>
          </w:tcPr>
          <w:p w14:paraId="79FD988E" w14:textId="77777777" w:rsidR="00015D21" w:rsidRPr="009C6A62" w:rsidRDefault="00015D21" w:rsidP="00015D21">
            <w:pPr>
              <w:rPr>
                <w:rFonts w:ascii="Calibri" w:hAnsi="Calibri" w:cs="Calibri"/>
                <w:color w:val="808080"/>
                <w:sz w:val="16"/>
                <w:szCs w:val="16"/>
              </w:rPr>
            </w:pPr>
            <w:r w:rsidRPr="009C6A62">
              <w:rPr>
                <w:rFonts w:ascii="Calibri" w:hAnsi="Calibri" w:cs="Calibri"/>
                <w:color w:val="808080"/>
                <w:sz w:val="16"/>
                <w:szCs w:val="16"/>
              </w:rPr>
              <w:t>[min 0, max 1]</w:t>
            </w:r>
            <w:r w:rsidRPr="009C6A62">
              <w:rPr>
                <w:rFonts w:ascii="Calibri" w:hAnsi="Calibri" w:cs="Calibri"/>
                <w:color w:val="808080"/>
                <w:sz w:val="16"/>
                <w:szCs w:val="16"/>
              </w:rPr>
              <w:br/>
            </w:r>
            <w:proofErr w:type="spellStart"/>
            <w:proofErr w:type="gramStart"/>
            <w:r w:rsidRPr="009C6A62">
              <w:rPr>
                <w:rFonts w:ascii="Calibri" w:hAnsi="Calibri" w:cs="Calibri"/>
                <w:color w:val="808080"/>
                <w:sz w:val="16"/>
                <w:szCs w:val="16"/>
              </w:rPr>
              <w:t>Neutral</w:t>
            </w:r>
            <w:proofErr w:type="spellEnd"/>
            <w:r w:rsidRPr="009C6A62">
              <w:rPr>
                <w:rFonts w:ascii="Calibri" w:hAnsi="Calibri" w:cs="Calibri"/>
                <w:color w:val="808080"/>
                <w:sz w:val="16"/>
                <w:szCs w:val="16"/>
              </w:rPr>
              <w:t>:  score</w:t>
            </w:r>
            <w:proofErr w:type="gramEnd"/>
            <w:r w:rsidRPr="009C6A62">
              <w:rPr>
                <w:rFonts w:ascii="Calibri" w:hAnsi="Calibri" w:cs="Calibri"/>
                <w:color w:val="808080"/>
                <w:sz w:val="16"/>
                <w:szCs w:val="16"/>
              </w:rPr>
              <w:t xml:space="preserve"> &lt; 0.5</w:t>
            </w:r>
            <w:r w:rsidRPr="009C6A62">
              <w:rPr>
                <w:rFonts w:ascii="Calibri" w:hAnsi="Calibri" w:cs="Calibri"/>
                <w:color w:val="808080"/>
                <w:sz w:val="16"/>
                <w:szCs w:val="16"/>
              </w:rPr>
              <w:br/>
            </w:r>
            <w:proofErr w:type="spellStart"/>
            <w:r w:rsidRPr="009C6A62">
              <w:rPr>
                <w:rFonts w:ascii="Calibri" w:hAnsi="Calibri" w:cs="Calibri"/>
                <w:color w:val="808080"/>
                <w:sz w:val="16"/>
                <w:szCs w:val="16"/>
              </w:rPr>
              <w:t>Disease</w:t>
            </w:r>
            <w:proofErr w:type="spellEnd"/>
            <w:r w:rsidRPr="009C6A62">
              <w:rPr>
                <w:rFonts w:ascii="Calibri" w:hAnsi="Calibri" w:cs="Calibri"/>
                <w:color w:val="808080"/>
                <w:sz w:val="16"/>
                <w:szCs w:val="16"/>
              </w:rPr>
              <w:t>:  score &gt;= 0.5</w:t>
            </w:r>
          </w:p>
        </w:tc>
        <w:tc>
          <w:tcPr>
            <w:tcW w:w="1380" w:type="dxa"/>
            <w:tcBorders>
              <w:top w:val="nil"/>
              <w:left w:val="single" w:sz="4" w:space="0" w:color="auto"/>
              <w:bottom w:val="nil"/>
              <w:right w:val="nil"/>
            </w:tcBorders>
            <w:shd w:val="clear" w:color="auto" w:fill="auto"/>
            <w:vAlign w:val="bottom"/>
            <w:hideMark/>
          </w:tcPr>
          <w:p w14:paraId="10D2693D" w14:textId="77777777" w:rsidR="00015D21" w:rsidRDefault="00015D21" w:rsidP="00015D21">
            <w:pPr>
              <w:rPr>
                <w:rFonts w:ascii="Calibri" w:hAnsi="Calibri" w:cs="Calibri"/>
                <w:sz w:val="22"/>
                <w:szCs w:val="22"/>
              </w:rPr>
            </w:pPr>
            <w:proofErr w:type="spellStart"/>
            <w:r>
              <w:rPr>
                <w:rFonts w:ascii="Calibri" w:hAnsi="Calibri" w:cs="Calibri"/>
                <w:sz w:val="22"/>
                <w:szCs w:val="22"/>
              </w:rPr>
              <w:t>Neutral</w:t>
            </w:r>
            <w:proofErr w:type="spellEnd"/>
            <w:r>
              <w:rPr>
                <w:rFonts w:ascii="Calibri" w:hAnsi="Calibri" w:cs="Calibri"/>
                <w:sz w:val="22"/>
                <w:szCs w:val="22"/>
              </w:rPr>
              <w:t>, 0.26</w:t>
            </w:r>
          </w:p>
        </w:tc>
        <w:tc>
          <w:tcPr>
            <w:tcW w:w="1500" w:type="dxa"/>
            <w:tcBorders>
              <w:top w:val="nil"/>
              <w:left w:val="nil"/>
              <w:bottom w:val="nil"/>
              <w:right w:val="nil"/>
            </w:tcBorders>
            <w:shd w:val="clear" w:color="auto" w:fill="auto"/>
            <w:vAlign w:val="bottom"/>
            <w:hideMark/>
          </w:tcPr>
          <w:p w14:paraId="731C0121"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0.63</w:t>
            </w:r>
          </w:p>
        </w:tc>
        <w:tc>
          <w:tcPr>
            <w:tcW w:w="1440" w:type="dxa"/>
            <w:tcBorders>
              <w:top w:val="nil"/>
              <w:left w:val="nil"/>
              <w:bottom w:val="nil"/>
              <w:right w:val="single" w:sz="4" w:space="0" w:color="auto"/>
            </w:tcBorders>
            <w:shd w:val="clear" w:color="auto" w:fill="auto"/>
            <w:vAlign w:val="bottom"/>
            <w:hideMark/>
          </w:tcPr>
          <w:p w14:paraId="14644321" w14:textId="77777777" w:rsidR="00015D21" w:rsidRDefault="00015D21" w:rsidP="00015D21">
            <w:pPr>
              <w:rPr>
                <w:rFonts w:ascii="Calibri" w:hAnsi="Calibri" w:cs="Calibri"/>
                <w:sz w:val="22"/>
                <w:szCs w:val="22"/>
              </w:rPr>
            </w:pPr>
            <w:proofErr w:type="spellStart"/>
            <w:r>
              <w:rPr>
                <w:rFonts w:ascii="Calibri" w:hAnsi="Calibri" w:cs="Calibri"/>
                <w:sz w:val="22"/>
                <w:szCs w:val="22"/>
              </w:rPr>
              <w:t>Neutral</w:t>
            </w:r>
            <w:proofErr w:type="spellEnd"/>
            <w:r>
              <w:rPr>
                <w:rFonts w:ascii="Calibri" w:hAnsi="Calibri" w:cs="Calibri"/>
                <w:sz w:val="22"/>
                <w:szCs w:val="22"/>
              </w:rPr>
              <w:t>, 0.23</w:t>
            </w:r>
          </w:p>
        </w:tc>
      </w:tr>
      <w:tr w:rsidR="00015D21" w14:paraId="7438D4A2" w14:textId="77777777" w:rsidTr="00015D21">
        <w:trPr>
          <w:trHeight w:val="788"/>
        </w:trPr>
        <w:tc>
          <w:tcPr>
            <w:tcW w:w="1408" w:type="dxa"/>
            <w:tcBorders>
              <w:top w:val="nil"/>
              <w:left w:val="single" w:sz="8" w:space="0" w:color="auto"/>
              <w:bottom w:val="nil"/>
              <w:right w:val="single" w:sz="8" w:space="0" w:color="auto"/>
            </w:tcBorders>
            <w:shd w:val="clear" w:color="auto" w:fill="auto"/>
            <w:vAlign w:val="center"/>
            <w:hideMark/>
          </w:tcPr>
          <w:p w14:paraId="175A0EB2" w14:textId="77777777" w:rsidR="00015D21" w:rsidRDefault="00015D21" w:rsidP="00015D21">
            <w:pPr>
              <w:rPr>
                <w:rFonts w:ascii="Calibri" w:hAnsi="Calibri" w:cs="Calibri"/>
                <w:b/>
                <w:bCs/>
                <w:color w:val="000000"/>
                <w:sz w:val="22"/>
                <w:szCs w:val="22"/>
              </w:rPr>
            </w:pPr>
            <w:r>
              <w:rPr>
                <w:rFonts w:ascii="Calibri" w:hAnsi="Calibri" w:cs="Calibri"/>
                <w:b/>
                <w:bCs/>
                <w:color w:val="000000"/>
                <w:sz w:val="22"/>
                <w:szCs w:val="22"/>
              </w:rPr>
              <w:t>PhD-SNP</w:t>
            </w:r>
          </w:p>
        </w:tc>
        <w:tc>
          <w:tcPr>
            <w:tcW w:w="1276" w:type="dxa"/>
            <w:tcBorders>
              <w:top w:val="nil"/>
              <w:left w:val="nil"/>
              <w:bottom w:val="nil"/>
              <w:right w:val="nil"/>
            </w:tcBorders>
            <w:shd w:val="clear" w:color="auto" w:fill="auto"/>
            <w:vAlign w:val="center"/>
            <w:hideMark/>
          </w:tcPr>
          <w:p w14:paraId="74F272B1" w14:textId="7FACC1CE"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0.92</w:t>
            </w:r>
          </w:p>
        </w:tc>
        <w:tc>
          <w:tcPr>
            <w:tcW w:w="1317" w:type="dxa"/>
            <w:tcBorders>
              <w:top w:val="nil"/>
              <w:left w:val="single" w:sz="4" w:space="0" w:color="auto"/>
              <w:bottom w:val="nil"/>
              <w:right w:val="nil"/>
            </w:tcBorders>
            <w:shd w:val="clear" w:color="auto" w:fill="auto"/>
            <w:vAlign w:val="center"/>
            <w:hideMark/>
          </w:tcPr>
          <w:p w14:paraId="1426DAB4" w14:textId="54A5B909"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0.90</w:t>
            </w:r>
          </w:p>
        </w:tc>
        <w:tc>
          <w:tcPr>
            <w:tcW w:w="1266" w:type="dxa"/>
            <w:tcBorders>
              <w:top w:val="nil"/>
              <w:left w:val="single" w:sz="4" w:space="0" w:color="auto"/>
              <w:bottom w:val="nil"/>
              <w:right w:val="nil"/>
            </w:tcBorders>
            <w:shd w:val="clear" w:color="auto" w:fill="auto"/>
            <w:vAlign w:val="center"/>
          </w:tcPr>
          <w:p w14:paraId="31A0DC2C" w14:textId="005994E4"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0.85</w:t>
            </w:r>
          </w:p>
        </w:tc>
        <w:tc>
          <w:tcPr>
            <w:tcW w:w="1317" w:type="dxa"/>
            <w:tcBorders>
              <w:top w:val="nil"/>
              <w:left w:val="single" w:sz="4" w:space="0" w:color="auto"/>
              <w:bottom w:val="nil"/>
              <w:right w:val="nil"/>
            </w:tcBorders>
            <w:shd w:val="clear" w:color="auto" w:fill="auto"/>
            <w:vAlign w:val="center"/>
            <w:hideMark/>
          </w:tcPr>
          <w:p w14:paraId="032B40FB" w14:textId="42DB299B"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0.89</w:t>
            </w:r>
          </w:p>
        </w:tc>
        <w:tc>
          <w:tcPr>
            <w:tcW w:w="1261" w:type="dxa"/>
            <w:tcBorders>
              <w:top w:val="nil"/>
              <w:left w:val="single" w:sz="4" w:space="0" w:color="auto"/>
              <w:bottom w:val="nil"/>
              <w:right w:val="single" w:sz="8" w:space="0" w:color="auto"/>
            </w:tcBorders>
            <w:shd w:val="clear" w:color="auto" w:fill="auto"/>
            <w:vAlign w:val="center"/>
            <w:hideMark/>
          </w:tcPr>
          <w:p w14:paraId="2D688B1E" w14:textId="286BF36B" w:rsidR="00015D21" w:rsidRDefault="00015D21" w:rsidP="00015D21">
            <w:pPr>
              <w:rPr>
                <w:rFonts w:ascii="Calibri" w:hAnsi="Calibri" w:cs="Calibri"/>
                <w:sz w:val="22"/>
                <w:szCs w:val="22"/>
              </w:rPr>
            </w:pPr>
            <w:proofErr w:type="spellStart"/>
            <w:r>
              <w:rPr>
                <w:rFonts w:ascii="Calibri" w:hAnsi="Calibri" w:cs="Calibri"/>
                <w:sz w:val="22"/>
                <w:szCs w:val="22"/>
              </w:rPr>
              <w:t>Neutral</w:t>
            </w:r>
            <w:proofErr w:type="spellEnd"/>
            <w:r>
              <w:rPr>
                <w:rFonts w:ascii="Calibri" w:hAnsi="Calibri" w:cs="Calibri"/>
                <w:sz w:val="22"/>
                <w:szCs w:val="22"/>
              </w:rPr>
              <w:t>, 0.49</w:t>
            </w:r>
          </w:p>
        </w:tc>
        <w:tc>
          <w:tcPr>
            <w:tcW w:w="10175" w:type="dxa"/>
            <w:tcBorders>
              <w:top w:val="nil"/>
              <w:left w:val="nil"/>
              <w:bottom w:val="nil"/>
              <w:right w:val="nil"/>
            </w:tcBorders>
            <w:shd w:val="clear" w:color="auto" w:fill="auto"/>
            <w:vAlign w:val="center"/>
            <w:hideMark/>
          </w:tcPr>
          <w:p w14:paraId="1EADBEA4" w14:textId="666C09DC" w:rsidR="00015D21" w:rsidRPr="009C6A62" w:rsidRDefault="00015D21" w:rsidP="00015D21">
            <w:pPr>
              <w:rPr>
                <w:rFonts w:ascii="Calibri" w:hAnsi="Calibri" w:cs="Calibri"/>
                <w:color w:val="808080"/>
                <w:sz w:val="16"/>
                <w:szCs w:val="16"/>
              </w:rPr>
            </w:pPr>
            <w:r w:rsidRPr="009C6A62">
              <w:rPr>
                <w:rFonts w:ascii="Calibri" w:hAnsi="Calibri" w:cs="Calibri"/>
                <w:color w:val="808080"/>
                <w:sz w:val="16"/>
                <w:szCs w:val="16"/>
              </w:rPr>
              <w:t>[min 0, max 1]</w:t>
            </w:r>
            <w:r w:rsidRPr="009C6A62">
              <w:rPr>
                <w:rFonts w:ascii="Calibri" w:hAnsi="Calibri" w:cs="Calibri"/>
                <w:color w:val="808080"/>
                <w:sz w:val="16"/>
                <w:szCs w:val="16"/>
              </w:rPr>
              <w:br/>
            </w:r>
            <w:proofErr w:type="spellStart"/>
            <w:proofErr w:type="gramStart"/>
            <w:r w:rsidRPr="009C6A62">
              <w:rPr>
                <w:rFonts w:ascii="Calibri" w:hAnsi="Calibri" w:cs="Calibri"/>
                <w:color w:val="808080"/>
                <w:sz w:val="16"/>
                <w:szCs w:val="16"/>
              </w:rPr>
              <w:t>Neutral</w:t>
            </w:r>
            <w:proofErr w:type="spellEnd"/>
            <w:r w:rsidRPr="009C6A62">
              <w:rPr>
                <w:rFonts w:ascii="Calibri" w:hAnsi="Calibri" w:cs="Calibri"/>
                <w:color w:val="808080"/>
                <w:sz w:val="16"/>
                <w:szCs w:val="16"/>
              </w:rPr>
              <w:t>:  score</w:t>
            </w:r>
            <w:proofErr w:type="gramEnd"/>
            <w:r w:rsidRPr="009C6A62">
              <w:rPr>
                <w:rFonts w:ascii="Calibri" w:hAnsi="Calibri" w:cs="Calibri"/>
                <w:color w:val="808080"/>
                <w:sz w:val="16"/>
                <w:szCs w:val="16"/>
              </w:rPr>
              <w:t xml:space="preserve"> &lt; 0.5</w:t>
            </w:r>
            <w:r w:rsidRPr="009C6A62">
              <w:rPr>
                <w:rFonts w:ascii="Calibri" w:hAnsi="Calibri" w:cs="Calibri"/>
                <w:color w:val="808080"/>
                <w:sz w:val="16"/>
                <w:szCs w:val="16"/>
              </w:rPr>
              <w:br/>
            </w:r>
            <w:proofErr w:type="spellStart"/>
            <w:r w:rsidRPr="009C6A62">
              <w:rPr>
                <w:rFonts w:ascii="Calibri" w:hAnsi="Calibri" w:cs="Calibri"/>
                <w:color w:val="808080"/>
                <w:sz w:val="16"/>
                <w:szCs w:val="16"/>
              </w:rPr>
              <w:t>Disease</w:t>
            </w:r>
            <w:proofErr w:type="spellEnd"/>
            <w:r w:rsidRPr="009C6A62">
              <w:rPr>
                <w:rFonts w:ascii="Calibri" w:hAnsi="Calibri" w:cs="Calibri"/>
                <w:color w:val="808080"/>
                <w:sz w:val="16"/>
                <w:szCs w:val="16"/>
              </w:rPr>
              <w:t>:  score &gt;= 0.5</w:t>
            </w:r>
          </w:p>
        </w:tc>
        <w:tc>
          <w:tcPr>
            <w:tcW w:w="1380" w:type="dxa"/>
            <w:tcBorders>
              <w:top w:val="nil"/>
              <w:left w:val="single" w:sz="4" w:space="0" w:color="auto"/>
              <w:bottom w:val="nil"/>
              <w:right w:val="nil"/>
            </w:tcBorders>
            <w:shd w:val="clear" w:color="auto" w:fill="auto"/>
            <w:vAlign w:val="center"/>
            <w:hideMark/>
          </w:tcPr>
          <w:p w14:paraId="0A7761AA"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0.72</w:t>
            </w:r>
          </w:p>
        </w:tc>
        <w:tc>
          <w:tcPr>
            <w:tcW w:w="1500" w:type="dxa"/>
            <w:tcBorders>
              <w:top w:val="nil"/>
              <w:left w:val="nil"/>
              <w:bottom w:val="nil"/>
              <w:right w:val="nil"/>
            </w:tcBorders>
            <w:shd w:val="clear" w:color="auto" w:fill="auto"/>
            <w:vAlign w:val="bottom"/>
            <w:hideMark/>
          </w:tcPr>
          <w:p w14:paraId="20EA6032"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0.92</w:t>
            </w:r>
          </w:p>
        </w:tc>
        <w:tc>
          <w:tcPr>
            <w:tcW w:w="1440" w:type="dxa"/>
            <w:tcBorders>
              <w:top w:val="nil"/>
              <w:left w:val="nil"/>
              <w:bottom w:val="nil"/>
              <w:right w:val="single" w:sz="4" w:space="0" w:color="auto"/>
            </w:tcBorders>
            <w:shd w:val="clear" w:color="auto" w:fill="auto"/>
            <w:vAlign w:val="bottom"/>
            <w:hideMark/>
          </w:tcPr>
          <w:p w14:paraId="5A7922CC"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Disease</w:t>
            </w:r>
            <w:proofErr w:type="spellEnd"/>
            <w:r>
              <w:rPr>
                <w:rFonts w:ascii="Calibri" w:hAnsi="Calibri" w:cs="Calibri"/>
                <w:color w:val="FF0000"/>
                <w:sz w:val="22"/>
                <w:szCs w:val="22"/>
              </w:rPr>
              <w:t>, 0.92</w:t>
            </w:r>
          </w:p>
        </w:tc>
      </w:tr>
      <w:tr w:rsidR="00015D21" w14:paraId="4C52239B" w14:textId="77777777" w:rsidTr="00015D21">
        <w:trPr>
          <w:trHeight w:val="803"/>
        </w:trPr>
        <w:tc>
          <w:tcPr>
            <w:tcW w:w="140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342339A" w14:textId="77777777" w:rsidR="00015D21" w:rsidRDefault="00015D21" w:rsidP="00015D21">
            <w:pPr>
              <w:rPr>
                <w:rFonts w:ascii="Calibri" w:hAnsi="Calibri" w:cs="Calibri"/>
                <w:b/>
                <w:bCs/>
                <w:color w:val="000000"/>
                <w:sz w:val="22"/>
                <w:szCs w:val="22"/>
              </w:rPr>
            </w:pPr>
            <w:proofErr w:type="spellStart"/>
            <w:r>
              <w:rPr>
                <w:rFonts w:ascii="Calibri" w:hAnsi="Calibri" w:cs="Calibri"/>
                <w:b/>
                <w:bCs/>
                <w:color w:val="000000"/>
                <w:sz w:val="22"/>
                <w:szCs w:val="22"/>
              </w:rPr>
              <w:t>Mtoolbox</w:t>
            </w:r>
            <w:proofErr w:type="spellEnd"/>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5DC27263" w14:textId="42E0187C"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0.73</w:t>
            </w:r>
          </w:p>
        </w:tc>
        <w:tc>
          <w:tcPr>
            <w:tcW w:w="1317" w:type="dxa"/>
            <w:tcBorders>
              <w:top w:val="single" w:sz="4" w:space="0" w:color="auto"/>
              <w:left w:val="nil"/>
              <w:bottom w:val="single" w:sz="8" w:space="0" w:color="auto"/>
              <w:right w:val="single" w:sz="4" w:space="0" w:color="auto"/>
            </w:tcBorders>
            <w:shd w:val="clear" w:color="auto" w:fill="auto"/>
            <w:vAlign w:val="center"/>
            <w:hideMark/>
          </w:tcPr>
          <w:p w14:paraId="07AB18D5" w14:textId="6192EAF0"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0.71</w:t>
            </w:r>
          </w:p>
        </w:tc>
        <w:tc>
          <w:tcPr>
            <w:tcW w:w="1266" w:type="dxa"/>
            <w:tcBorders>
              <w:top w:val="single" w:sz="4" w:space="0" w:color="auto"/>
              <w:left w:val="nil"/>
              <w:bottom w:val="single" w:sz="8" w:space="0" w:color="auto"/>
              <w:right w:val="single" w:sz="4" w:space="0" w:color="auto"/>
            </w:tcBorders>
            <w:shd w:val="clear" w:color="auto" w:fill="auto"/>
            <w:vAlign w:val="center"/>
          </w:tcPr>
          <w:p w14:paraId="49E46730" w14:textId="07B193B2"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0.82</w:t>
            </w:r>
          </w:p>
        </w:tc>
        <w:tc>
          <w:tcPr>
            <w:tcW w:w="1317" w:type="dxa"/>
            <w:tcBorders>
              <w:top w:val="single" w:sz="4" w:space="0" w:color="auto"/>
              <w:left w:val="nil"/>
              <w:bottom w:val="single" w:sz="8" w:space="0" w:color="auto"/>
              <w:right w:val="single" w:sz="4" w:space="0" w:color="auto"/>
            </w:tcBorders>
            <w:shd w:val="clear" w:color="auto" w:fill="auto"/>
            <w:vAlign w:val="center"/>
            <w:hideMark/>
          </w:tcPr>
          <w:p w14:paraId="5A578509" w14:textId="32C62C44"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Deleterious</w:t>
            </w:r>
            <w:proofErr w:type="spellEnd"/>
            <w:r>
              <w:rPr>
                <w:rFonts w:ascii="Calibri" w:hAnsi="Calibri" w:cs="Calibri"/>
                <w:color w:val="FF0000"/>
                <w:sz w:val="22"/>
                <w:szCs w:val="22"/>
              </w:rPr>
              <w:t>, 0.87</w:t>
            </w:r>
          </w:p>
        </w:tc>
        <w:tc>
          <w:tcPr>
            <w:tcW w:w="1261" w:type="dxa"/>
            <w:tcBorders>
              <w:top w:val="single" w:sz="4" w:space="0" w:color="auto"/>
              <w:left w:val="nil"/>
              <w:bottom w:val="single" w:sz="8" w:space="0" w:color="auto"/>
              <w:right w:val="single" w:sz="8" w:space="0" w:color="auto"/>
            </w:tcBorders>
            <w:shd w:val="clear" w:color="auto" w:fill="auto"/>
            <w:vAlign w:val="center"/>
            <w:hideMark/>
          </w:tcPr>
          <w:p w14:paraId="6A9799FC" w14:textId="76C0464D" w:rsidR="00015D21" w:rsidRDefault="00015D21" w:rsidP="00015D21">
            <w:pPr>
              <w:rPr>
                <w:rFonts w:ascii="Calibri" w:hAnsi="Calibri" w:cs="Calibri"/>
                <w:color w:val="000000"/>
                <w:sz w:val="22"/>
                <w:szCs w:val="22"/>
              </w:rPr>
            </w:pPr>
            <w:proofErr w:type="spellStart"/>
            <w:r>
              <w:rPr>
                <w:rFonts w:ascii="Calibri" w:hAnsi="Calibri" w:cs="Calibri"/>
                <w:color w:val="000000"/>
                <w:sz w:val="22"/>
                <w:szCs w:val="22"/>
              </w:rPr>
              <w:t>Neutral</w:t>
            </w:r>
            <w:proofErr w:type="spellEnd"/>
            <w:r>
              <w:rPr>
                <w:rFonts w:ascii="Calibri" w:hAnsi="Calibri" w:cs="Calibri"/>
                <w:color w:val="000000"/>
                <w:sz w:val="22"/>
                <w:szCs w:val="22"/>
              </w:rPr>
              <w:t>, 0.18</w:t>
            </w:r>
          </w:p>
        </w:tc>
        <w:tc>
          <w:tcPr>
            <w:tcW w:w="10175" w:type="dxa"/>
            <w:tcBorders>
              <w:top w:val="nil"/>
              <w:left w:val="nil"/>
              <w:bottom w:val="nil"/>
              <w:right w:val="nil"/>
            </w:tcBorders>
            <w:shd w:val="clear" w:color="auto" w:fill="auto"/>
            <w:vAlign w:val="bottom"/>
            <w:hideMark/>
          </w:tcPr>
          <w:p w14:paraId="54FB5214" w14:textId="77777777" w:rsidR="00015D21" w:rsidRPr="009C6A62" w:rsidRDefault="00015D21" w:rsidP="00015D21">
            <w:pPr>
              <w:rPr>
                <w:rFonts w:ascii="Calibri" w:hAnsi="Calibri" w:cs="Calibri"/>
                <w:color w:val="808080"/>
                <w:sz w:val="16"/>
                <w:szCs w:val="16"/>
              </w:rPr>
            </w:pPr>
            <w:r w:rsidRPr="009C6A62">
              <w:rPr>
                <w:rFonts w:ascii="Calibri" w:hAnsi="Calibri" w:cs="Calibri"/>
                <w:color w:val="808080"/>
                <w:sz w:val="16"/>
                <w:szCs w:val="16"/>
              </w:rPr>
              <w:t>[min 0, max 1]</w:t>
            </w:r>
            <w:r w:rsidRPr="009C6A62">
              <w:rPr>
                <w:rFonts w:ascii="Calibri" w:hAnsi="Calibri" w:cs="Calibri"/>
                <w:color w:val="808080"/>
                <w:sz w:val="16"/>
                <w:szCs w:val="16"/>
              </w:rPr>
              <w:br/>
            </w:r>
            <w:proofErr w:type="spellStart"/>
            <w:proofErr w:type="gramStart"/>
            <w:r w:rsidRPr="009C6A62">
              <w:rPr>
                <w:rFonts w:ascii="Calibri" w:hAnsi="Calibri" w:cs="Calibri"/>
                <w:color w:val="808080"/>
                <w:sz w:val="16"/>
                <w:szCs w:val="16"/>
              </w:rPr>
              <w:t>Neutral</w:t>
            </w:r>
            <w:proofErr w:type="spellEnd"/>
            <w:r w:rsidRPr="009C6A62">
              <w:rPr>
                <w:rFonts w:ascii="Calibri" w:hAnsi="Calibri" w:cs="Calibri"/>
                <w:color w:val="808080"/>
                <w:sz w:val="16"/>
                <w:szCs w:val="16"/>
              </w:rPr>
              <w:t>:  score</w:t>
            </w:r>
            <w:proofErr w:type="gramEnd"/>
            <w:r w:rsidRPr="009C6A62">
              <w:rPr>
                <w:rFonts w:ascii="Calibri" w:hAnsi="Calibri" w:cs="Calibri"/>
                <w:color w:val="808080"/>
                <w:sz w:val="16"/>
                <w:szCs w:val="16"/>
              </w:rPr>
              <w:t xml:space="preserve"> &lt; 0.43</w:t>
            </w:r>
            <w:r w:rsidRPr="009C6A62">
              <w:rPr>
                <w:rFonts w:ascii="Calibri" w:hAnsi="Calibri" w:cs="Calibri"/>
                <w:color w:val="808080"/>
                <w:sz w:val="16"/>
                <w:szCs w:val="16"/>
              </w:rPr>
              <w:br/>
            </w:r>
            <w:proofErr w:type="spellStart"/>
            <w:r w:rsidRPr="009C6A62">
              <w:rPr>
                <w:rFonts w:ascii="Calibri" w:hAnsi="Calibri" w:cs="Calibri"/>
                <w:color w:val="808080"/>
                <w:sz w:val="16"/>
                <w:szCs w:val="16"/>
              </w:rPr>
              <w:t>Deleterious</w:t>
            </w:r>
            <w:proofErr w:type="spellEnd"/>
            <w:r w:rsidRPr="009C6A62">
              <w:rPr>
                <w:rFonts w:ascii="Calibri" w:hAnsi="Calibri" w:cs="Calibri"/>
                <w:color w:val="808080"/>
                <w:sz w:val="16"/>
                <w:szCs w:val="16"/>
              </w:rPr>
              <w:t>:  score &gt;= 0.43</w:t>
            </w:r>
          </w:p>
        </w:tc>
        <w:tc>
          <w:tcPr>
            <w:tcW w:w="1380" w:type="dxa"/>
            <w:tcBorders>
              <w:top w:val="nil"/>
              <w:left w:val="single" w:sz="4" w:space="0" w:color="auto"/>
              <w:bottom w:val="single" w:sz="4" w:space="0" w:color="auto"/>
              <w:right w:val="nil"/>
            </w:tcBorders>
            <w:shd w:val="clear" w:color="auto" w:fill="auto"/>
            <w:vAlign w:val="bottom"/>
            <w:hideMark/>
          </w:tcPr>
          <w:p w14:paraId="4888BAEF"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w:t>
            </w:r>
            <w:proofErr w:type="spellEnd"/>
            <w:r>
              <w:rPr>
                <w:rFonts w:ascii="Calibri" w:hAnsi="Calibri" w:cs="Calibri"/>
                <w:color w:val="FF0000"/>
                <w:sz w:val="22"/>
                <w:szCs w:val="22"/>
              </w:rPr>
              <w:t>, 0.76</w:t>
            </w:r>
          </w:p>
        </w:tc>
        <w:tc>
          <w:tcPr>
            <w:tcW w:w="1500" w:type="dxa"/>
            <w:tcBorders>
              <w:top w:val="nil"/>
              <w:left w:val="nil"/>
              <w:bottom w:val="single" w:sz="4" w:space="0" w:color="auto"/>
              <w:right w:val="nil"/>
            </w:tcBorders>
            <w:shd w:val="clear" w:color="auto" w:fill="auto"/>
            <w:vAlign w:val="bottom"/>
            <w:hideMark/>
          </w:tcPr>
          <w:p w14:paraId="40782B5B"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w:t>
            </w:r>
            <w:proofErr w:type="spellEnd"/>
            <w:r>
              <w:rPr>
                <w:rFonts w:ascii="Calibri" w:hAnsi="Calibri" w:cs="Calibri"/>
                <w:color w:val="FF0000"/>
                <w:sz w:val="22"/>
                <w:szCs w:val="22"/>
              </w:rPr>
              <w:t>, 0.85</w:t>
            </w:r>
          </w:p>
        </w:tc>
        <w:tc>
          <w:tcPr>
            <w:tcW w:w="1440" w:type="dxa"/>
            <w:tcBorders>
              <w:top w:val="nil"/>
              <w:left w:val="nil"/>
              <w:bottom w:val="single" w:sz="4" w:space="0" w:color="auto"/>
              <w:right w:val="single" w:sz="4" w:space="0" w:color="auto"/>
            </w:tcBorders>
            <w:shd w:val="clear" w:color="auto" w:fill="auto"/>
            <w:vAlign w:val="bottom"/>
            <w:hideMark/>
          </w:tcPr>
          <w:p w14:paraId="5D24154D" w14:textId="77777777" w:rsidR="00015D21" w:rsidRDefault="00015D21" w:rsidP="00015D21">
            <w:pPr>
              <w:rPr>
                <w:rFonts w:ascii="Calibri" w:hAnsi="Calibri" w:cs="Calibri"/>
                <w:color w:val="FF0000"/>
                <w:sz w:val="22"/>
                <w:szCs w:val="22"/>
              </w:rPr>
            </w:pPr>
            <w:proofErr w:type="spellStart"/>
            <w:r>
              <w:rPr>
                <w:rFonts w:ascii="Calibri" w:hAnsi="Calibri" w:cs="Calibri"/>
                <w:color w:val="FF0000"/>
                <w:sz w:val="22"/>
                <w:szCs w:val="22"/>
              </w:rPr>
              <w:t>Delet</w:t>
            </w:r>
            <w:proofErr w:type="spellEnd"/>
            <w:r>
              <w:rPr>
                <w:rFonts w:ascii="Calibri" w:hAnsi="Calibri" w:cs="Calibri"/>
                <w:color w:val="FF0000"/>
                <w:sz w:val="22"/>
                <w:szCs w:val="22"/>
              </w:rPr>
              <w:t>, 0.8</w:t>
            </w:r>
          </w:p>
        </w:tc>
      </w:tr>
    </w:tbl>
    <w:p w14:paraId="062CDC16" w14:textId="77777777" w:rsidR="00091DA2" w:rsidRDefault="00091DA2" w:rsidP="00BE3764">
      <w:pPr>
        <w:pStyle w:val="PreformattatoHTML"/>
        <w:shd w:val="clear" w:color="auto" w:fill="FFFFFF"/>
        <w:rPr>
          <w:rStyle w:val="adornadorn-41seq"/>
          <w:rFonts w:ascii="Times New Roman" w:hAnsi="Times New Roman" w:cs="Times New Roman"/>
          <w:sz w:val="24"/>
          <w:szCs w:val="24"/>
          <w:lang w:val="fr-FR"/>
        </w:rPr>
      </w:pPr>
    </w:p>
    <w:p w14:paraId="0203E541"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6A7E96FF" w14:textId="1864C80D"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1573B12C"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1260AB1F"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21917857"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64C25E4C"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0FA86866"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4AB9BBEA"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526AD5F3"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679EB23A"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4E284AF0"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sectPr w:rsidR="00B44630" w:rsidSect="00B44630">
          <w:pgSz w:w="16838" w:h="11906" w:orient="landscape"/>
          <w:pgMar w:top="1134" w:right="1417" w:bottom="1134" w:left="1134" w:header="708" w:footer="708" w:gutter="0"/>
          <w:cols w:space="708"/>
          <w:docGrid w:linePitch="360"/>
        </w:sectPr>
      </w:pPr>
    </w:p>
    <w:p w14:paraId="7ACFBA4B" w14:textId="77777777" w:rsidR="00B44630" w:rsidRDefault="00B44630" w:rsidP="00BE3764">
      <w:pPr>
        <w:pStyle w:val="PreformattatoHTML"/>
        <w:shd w:val="clear" w:color="auto" w:fill="FFFFFF"/>
        <w:rPr>
          <w:rStyle w:val="adornadorn-41seq"/>
          <w:rFonts w:ascii="Times New Roman" w:hAnsi="Times New Roman" w:cs="Times New Roman"/>
          <w:sz w:val="24"/>
          <w:szCs w:val="24"/>
          <w:lang w:val="fr-FR"/>
        </w:rPr>
      </w:pPr>
    </w:p>
    <w:p w14:paraId="0E2AB8AC" w14:textId="77777777" w:rsidR="008128BB" w:rsidRPr="00CC280D" w:rsidRDefault="008128BB" w:rsidP="00BE3764">
      <w:pPr>
        <w:pStyle w:val="PreformattatoHTML"/>
        <w:shd w:val="clear" w:color="auto" w:fill="FFFFFF"/>
        <w:rPr>
          <w:rStyle w:val="adornadorn-41seq"/>
          <w:rFonts w:ascii="Times New Roman" w:hAnsi="Times New Roman" w:cs="Times New Roman"/>
          <w:sz w:val="24"/>
          <w:szCs w:val="24"/>
          <w:lang w:val="fr-FR"/>
        </w:rPr>
      </w:pPr>
    </w:p>
    <w:p w14:paraId="3BC38D0A" w14:textId="77777777" w:rsidR="00E30C66" w:rsidRDefault="00E30C66" w:rsidP="00035264">
      <w:pPr>
        <w:jc w:val="both"/>
        <w:rPr>
          <w:color w:val="000000"/>
          <w:lang w:val="en-US"/>
        </w:rPr>
      </w:pPr>
    </w:p>
    <w:p w14:paraId="5806917F" w14:textId="77777777" w:rsidR="0071623F" w:rsidRDefault="0071623F" w:rsidP="00035264">
      <w:pPr>
        <w:jc w:val="both"/>
        <w:rPr>
          <w:color w:val="000000"/>
          <w:lang w:val="en-US"/>
        </w:rPr>
      </w:pPr>
    </w:p>
    <w:p w14:paraId="0F089F50" w14:textId="77777777" w:rsidR="0071623F" w:rsidRPr="001549D3" w:rsidRDefault="003179B5" w:rsidP="003179B5">
      <w:pPr>
        <w:pStyle w:val="Titolo2"/>
        <w:numPr>
          <w:ilvl w:val="0"/>
          <w:numId w:val="0"/>
        </w:numPr>
        <w:ind w:left="851" w:hanging="851"/>
      </w:pPr>
      <w:r>
        <w:t>2.2</w:t>
      </w:r>
      <w:r>
        <w:tab/>
      </w:r>
      <w:r w:rsidR="0071623F" w:rsidRPr="0001436A">
        <w:t>Supplementary</w:t>
      </w:r>
      <w:r w:rsidR="0071623F" w:rsidRPr="001549D3">
        <w:t xml:space="preserve"> Figure</w:t>
      </w:r>
      <w:r w:rsidR="007770BA">
        <w:t>s:</w:t>
      </w:r>
    </w:p>
    <w:p w14:paraId="58D4824C" w14:textId="752F15DE" w:rsidR="0071623F" w:rsidRDefault="00CD1A06" w:rsidP="00035264">
      <w:pPr>
        <w:jc w:val="both"/>
        <w:rPr>
          <w:color w:val="000000"/>
          <w:lang w:val="en-US"/>
        </w:rPr>
      </w:pPr>
      <w:r>
        <w:rPr>
          <w:noProof/>
        </w:rPr>
        <w:drawing>
          <wp:anchor distT="0" distB="0" distL="114300" distR="114300" simplePos="0" relativeHeight="251657216" behindDoc="0" locked="0" layoutInCell="1" allowOverlap="1" wp14:anchorId="1A9EDDA3" wp14:editId="3421E53A">
            <wp:simplePos x="0" y="0"/>
            <wp:positionH relativeFrom="margin">
              <wp:align>center</wp:align>
            </wp:positionH>
            <wp:positionV relativeFrom="paragraph">
              <wp:posOffset>234315</wp:posOffset>
            </wp:positionV>
            <wp:extent cx="6105525" cy="5292090"/>
            <wp:effectExtent l="0" t="0" r="0" b="381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05525" cy="5292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78D53" w14:textId="6261E898" w:rsidR="0071623F" w:rsidRDefault="0071623F" w:rsidP="0071623F">
      <w:pPr>
        <w:jc w:val="both"/>
        <w:rPr>
          <w:lang w:val="en-GB"/>
        </w:rPr>
      </w:pPr>
      <w:r w:rsidRPr="00755737">
        <w:rPr>
          <w:b/>
          <w:bCs/>
          <w:lang w:val="en-GB"/>
        </w:rPr>
        <w:t>Supplementary figure 1</w:t>
      </w:r>
      <w:r w:rsidRPr="002C5103">
        <w:rPr>
          <w:b/>
          <w:bCs/>
          <w:lang w:val="en-GB"/>
        </w:rPr>
        <w:t xml:space="preserve">: </w:t>
      </w:r>
      <w:r w:rsidRPr="00755737">
        <w:rPr>
          <w:lang w:val="en-GB"/>
        </w:rPr>
        <w:t>Spectral Domain OCT Analysis (</w:t>
      </w:r>
      <w:proofErr w:type="spellStart"/>
      <w:r w:rsidRPr="00755737">
        <w:rPr>
          <w:lang w:val="en-GB"/>
        </w:rPr>
        <w:t>RTVue</w:t>
      </w:r>
      <w:proofErr w:type="spellEnd"/>
      <w:r w:rsidRPr="00755737">
        <w:rPr>
          <w:lang w:val="en-GB"/>
        </w:rPr>
        <w:t xml:space="preserve">) SD_OCT ANALYSIS: evolution of retinal </w:t>
      </w:r>
      <w:proofErr w:type="spellStart"/>
      <w:r w:rsidRPr="00755737">
        <w:rPr>
          <w:lang w:val="en-GB"/>
        </w:rPr>
        <w:t>fiber</w:t>
      </w:r>
      <w:proofErr w:type="spellEnd"/>
      <w:r w:rsidRPr="00755737">
        <w:rPr>
          <w:lang w:val="en-GB"/>
        </w:rPr>
        <w:t xml:space="preserve"> layer thickness (RNFL) and </w:t>
      </w:r>
      <w:r w:rsidR="007D0D77" w:rsidRPr="00755737">
        <w:rPr>
          <w:lang w:val="en-GB"/>
        </w:rPr>
        <w:t>impairment</w:t>
      </w:r>
      <w:r w:rsidRPr="00755737">
        <w:rPr>
          <w:lang w:val="en-GB"/>
        </w:rPr>
        <w:t xml:space="preserve"> of retinal ganglion cell layer (RGC).  A: Patient 1; B: Patient </w:t>
      </w:r>
      <w:r w:rsidR="003D3373">
        <w:rPr>
          <w:lang w:val="en-GB"/>
        </w:rPr>
        <w:t>3</w:t>
      </w:r>
      <w:r w:rsidRPr="00755737">
        <w:rPr>
          <w:lang w:val="en-GB"/>
        </w:rPr>
        <w:t xml:space="preserve">; C: Patient </w:t>
      </w:r>
      <w:r w:rsidR="003D3373">
        <w:rPr>
          <w:lang w:val="en-GB"/>
        </w:rPr>
        <w:t>5</w:t>
      </w:r>
      <w:r w:rsidRPr="002C5103">
        <w:rPr>
          <w:lang w:val="en-GB"/>
        </w:rPr>
        <w:t>.</w:t>
      </w:r>
    </w:p>
    <w:p w14:paraId="3015A2B0" w14:textId="77777777" w:rsidR="0071623F" w:rsidRDefault="0071623F" w:rsidP="0071623F">
      <w:pPr>
        <w:jc w:val="both"/>
        <w:rPr>
          <w:lang w:val="en-GB"/>
        </w:rPr>
      </w:pPr>
    </w:p>
    <w:p w14:paraId="490F0564" w14:textId="77777777" w:rsidR="0071623F" w:rsidRDefault="0071623F" w:rsidP="0071623F">
      <w:pPr>
        <w:jc w:val="both"/>
        <w:rPr>
          <w:lang w:val="en-GB"/>
        </w:rPr>
      </w:pPr>
    </w:p>
    <w:p w14:paraId="604EA3CB" w14:textId="77777777" w:rsidR="0071623F" w:rsidRDefault="0071623F" w:rsidP="0071623F">
      <w:pPr>
        <w:jc w:val="both"/>
        <w:rPr>
          <w:lang w:val="en-GB"/>
        </w:rPr>
      </w:pPr>
    </w:p>
    <w:p w14:paraId="43EE941D" w14:textId="77777777" w:rsidR="0071623F" w:rsidRDefault="0071623F" w:rsidP="0071623F">
      <w:pPr>
        <w:jc w:val="both"/>
        <w:rPr>
          <w:lang w:val="en-GB"/>
        </w:rPr>
      </w:pPr>
    </w:p>
    <w:p w14:paraId="32B4EF8F" w14:textId="77777777" w:rsidR="0071623F" w:rsidRDefault="0071623F" w:rsidP="0071623F">
      <w:pPr>
        <w:jc w:val="both"/>
        <w:rPr>
          <w:lang w:val="en-GB"/>
        </w:rPr>
      </w:pPr>
    </w:p>
    <w:p w14:paraId="6256FE50" w14:textId="77777777" w:rsidR="0071623F" w:rsidRDefault="0071623F" w:rsidP="0071623F">
      <w:pPr>
        <w:jc w:val="both"/>
        <w:rPr>
          <w:lang w:val="en-GB"/>
        </w:rPr>
      </w:pPr>
    </w:p>
    <w:p w14:paraId="3E673A33" w14:textId="77777777" w:rsidR="0071623F" w:rsidRDefault="0071623F" w:rsidP="0071623F">
      <w:pPr>
        <w:jc w:val="both"/>
        <w:rPr>
          <w:lang w:val="en-GB"/>
        </w:rPr>
      </w:pPr>
    </w:p>
    <w:p w14:paraId="19308907" w14:textId="77777777" w:rsidR="0071623F" w:rsidRDefault="0071623F" w:rsidP="0071623F">
      <w:pPr>
        <w:jc w:val="both"/>
        <w:rPr>
          <w:lang w:val="en-GB"/>
        </w:rPr>
      </w:pPr>
    </w:p>
    <w:p w14:paraId="7605847E" w14:textId="77777777" w:rsidR="0071623F" w:rsidRDefault="0071623F" w:rsidP="0071623F">
      <w:pPr>
        <w:jc w:val="both"/>
        <w:rPr>
          <w:lang w:val="en-GB"/>
        </w:rPr>
      </w:pPr>
    </w:p>
    <w:p w14:paraId="4CB8C365" w14:textId="3F513F0D" w:rsidR="0071623F" w:rsidRPr="00511662" w:rsidRDefault="00CD1A06" w:rsidP="0071623F">
      <w:pPr>
        <w:jc w:val="both"/>
        <w:rPr>
          <w:lang w:val="en-GB"/>
        </w:rPr>
      </w:pPr>
      <w:r>
        <w:rPr>
          <w:noProof/>
        </w:rPr>
        <w:lastRenderedPageBreak/>
        <w:drawing>
          <wp:anchor distT="0" distB="0" distL="114300" distR="114300" simplePos="0" relativeHeight="251658240" behindDoc="0" locked="0" layoutInCell="1" allowOverlap="1" wp14:anchorId="5BA97767" wp14:editId="59196C01">
            <wp:simplePos x="0" y="0"/>
            <wp:positionH relativeFrom="column">
              <wp:align>inside</wp:align>
            </wp:positionH>
            <wp:positionV relativeFrom="paragraph">
              <wp:posOffset>0</wp:posOffset>
            </wp:positionV>
            <wp:extent cx="6105525" cy="529463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529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23F" w:rsidRPr="002C5103">
        <w:rPr>
          <w:b/>
          <w:bCs/>
          <w:lang w:val="en-GB"/>
        </w:rPr>
        <w:t>Supplementary figure 2:</w:t>
      </w:r>
      <w:r w:rsidR="0071623F" w:rsidRPr="002C5103">
        <w:rPr>
          <w:lang w:val="en-GB"/>
        </w:rPr>
        <w:t xml:space="preserve"> Spectral Domain OCT Analysis (</w:t>
      </w:r>
      <w:proofErr w:type="spellStart"/>
      <w:r w:rsidR="0071623F" w:rsidRPr="002C5103">
        <w:rPr>
          <w:lang w:val="en-GB"/>
        </w:rPr>
        <w:t>RTVue</w:t>
      </w:r>
      <w:proofErr w:type="spellEnd"/>
      <w:r w:rsidR="0071623F" w:rsidRPr="002C5103">
        <w:rPr>
          <w:lang w:val="en-GB"/>
        </w:rPr>
        <w:t xml:space="preserve">) SD_OCT ANALYSIS: evolution of retinal </w:t>
      </w:r>
      <w:proofErr w:type="spellStart"/>
      <w:r w:rsidR="0071623F" w:rsidRPr="002C5103">
        <w:rPr>
          <w:lang w:val="en-GB"/>
        </w:rPr>
        <w:t>fiber</w:t>
      </w:r>
      <w:proofErr w:type="spellEnd"/>
      <w:r w:rsidR="0071623F" w:rsidRPr="002C5103">
        <w:rPr>
          <w:lang w:val="en-GB"/>
        </w:rPr>
        <w:t xml:space="preserve"> layer thickness (RNFL) and </w:t>
      </w:r>
      <w:r w:rsidR="007D0D77" w:rsidRPr="002C5103">
        <w:rPr>
          <w:lang w:val="en-GB"/>
        </w:rPr>
        <w:t>impairment</w:t>
      </w:r>
      <w:r w:rsidR="0071623F" w:rsidRPr="002C5103">
        <w:rPr>
          <w:lang w:val="en-GB"/>
        </w:rPr>
        <w:t xml:space="preserve"> of retinal ganglion cell layer (RGC). D: Patient 6; E: Patient 7; F: Patient 8.</w:t>
      </w:r>
    </w:p>
    <w:p w14:paraId="672CC9A3" w14:textId="77777777" w:rsidR="0071623F" w:rsidRDefault="0071623F" w:rsidP="00035264">
      <w:pPr>
        <w:jc w:val="both"/>
        <w:rPr>
          <w:color w:val="000000"/>
          <w:lang w:val="en-US"/>
        </w:rPr>
      </w:pPr>
    </w:p>
    <w:p w14:paraId="3C406B26" w14:textId="77777777" w:rsidR="0071623F" w:rsidRDefault="0071623F" w:rsidP="00035264">
      <w:pPr>
        <w:jc w:val="both"/>
        <w:rPr>
          <w:color w:val="000000"/>
          <w:lang w:val="en-US"/>
        </w:rPr>
      </w:pPr>
    </w:p>
    <w:p w14:paraId="0E5B7117" w14:textId="77777777" w:rsidR="0071623F" w:rsidRDefault="0071623F" w:rsidP="0071623F">
      <w:pPr>
        <w:jc w:val="both"/>
        <w:rPr>
          <w:color w:val="000000"/>
          <w:lang w:val="en-US"/>
        </w:rPr>
      </w:pPr>
    </w:p>
    <w:p w14:paraId="650E427D" w14:textId="77777777" w:rsidR="0071623F" w:rsidRDefault="0071623F" w:rsidP="0071623F">
      <w:pPr>
        <w:jc w:val="both"/>
        <w:rPr>
          <w:color w:val="000000"/>
          <w:lang w:val="en-US"/>
        </w:rPr>
      </w:pPr>
    </w:p>
    <w:p w14:paraId="6F19AC05" w14:textId="77777777" w:rsidR="0071623F" w:rsidRDefault="0071623F" w:rsidP="0071623F">
      <w:pPr>
        <w:jc w:val="both"/>
        <w:rPr>
          <w:color w:val="000000"/>
          <w:lang w:val="en-US"/>
        </w:rPr>
      </w:pPr>
    </w:p>
    <w:p w14:paraId="46E92A43" w14:textId="77777777" w:rsidR="0071623F" w:rsidRDefault="0071623F" w:rsidP="0071623F">
      <w:pPr>
        <w:jc w:val="both"/>
        <w:rPr>
          <w:color w:val="000000"/>
          <w:lang w:val="en-US"/>
        </w:rPr>
      </w:pPr>
    </w:p>
    <w:p w14:paraId="7A071C49" w14:textId="77777777" w:rsidR="0071623F" w:rsidRDefault="0071623F" w:rsidP="0071623F">
      <w:pPr>
        <w:jc w:val="both"/>
        <w:rPr>
          <w:color w:val="000000"/>
          <w:lang w:val="en-US"/>
        </w:rPr>
      </w:pPr>
    </w:p>
    <w:p w14:paraId="7DD51573" w14:textId="77777777" w:rsidR="0071623F" w:rsidRDefault="0071623F" w:rsidP="0071623F">
      <w:pPr>
        <w:jc w:val="both"/>
        <w:rPr>
          <w:color w:val="000000"/>
          <w:lang w:val="en-US"/>
        </w:rPr>
      </w:pPr>
    </w:p>
    <w:p w14:paraId="72A4E392" w14:textId="77777777" w:rsidR="0071623F" w:rsidRDefault="0071623F" w:rsidP="0071623F">
      <w:pPr>
        <w:jc w:val="both"/>
        <w:rPr>
          <w:color w:val="000000"/>
          <w:lang w:val="en-US"/>
        </w:rPr>
      </w:pPr>
    </w:p>
    <w:p w14:paraId="3ABB4F8D" w14:textId="77777777" w:rsidR="0071623F" w:rsidRDefault="0071623F" w:rsidP="0071623F">
      <w:pPr>
        <w:jc w:val="both"/>
        <w:rPr>
          <w:color w:val="000000"/>
          <w:lang w:val="en-US"/>
        </w:rPr>
      </w:pPr>
    </w:p>
    <w:p w14:paraId="3EE7A346" w14:textId="77777777" w:rsidR="0071623F" w:rsidRDefault="0071623F" w:rsidP="0071623F">
      <w:pPr>
        <w:jc w:val="both"/>
        <w:rPr>
          <w:color w:val="000000"/>
          <w:lang w:val="en-US"/>
        </w:rPr>
      </w:pPr>
    </w:p>
    <w:p w14:paraId="576F801B" w14:textId="77777777" w:rsidR="0071623F" w:rsidRDefault="0071623F" w:rsidP="0071623F">
      <w:pPr>
        <w:jc w:val="both"/>
        <w:rPr>
          <w:color w:val="000000"/>
          <w:lang w:val="en-US"/>
        </w:rPr>
      </w:pPr>
    </w:p>
    <w:p w14:paraId="6B92772E" w14:textId="77777777" w:rsidR="0071623F" w:rsidRDefault="0071623F" w:rsidP="0071623F">
      <w:pPr>
        <w:jc w:val="both"/>
        <w:rPr>
          <w:color w:val="000000"/>
          <w:lang w:val="en-US"/>
        </w:rPr>
      </w:pPr>
    </w:p>
    <w:p w14:paraId="6CF304B6" w14:textId="77777777" w:rsidR="0071623F" w:rsidRDefault="0071623F" w:rsidP="0071623F">
      <w:pPr>
        <w:jc w:val="both"/>
        <w:rPr>
          <w:color w:val="000000"/>
          <w:lang w:val="en-US"/>
        </w:rPr>
      </w:pPr>
    </w:p>
    <w:p w14:paraId="4208B4A0" w14:textId="77777777" w:rsidR="0071623F" w:rsidRDefault="0071623F" w:rsidP="0071623F">
      <w:pPr>
        <w:jc w:val="both"/>
        <w:rPr>
          <w:color w:val="000000"/>
          <w:lang w:val="en-US"/>
        </w:rPr>
      </w:pPr>
    </w:p>
    <w:p w14:paraId="6306375D" w14:textId="77777777" w:rsidR="0071623F" w:rsidRDefault="0071623F" w:rsidP="0071623F">
      <w:pPr>
        <w:jc w:val="both"/>
        <w:rPr>
          <w:color w:val="000000"/>
          <w:lang w:val="en-US"/>
        </w:rPr>
      </w:pPr>
    </w:p>
    <w:p w14:paraId="0086D171" w14:textId="77777777" w:rsidR="0071623F" w:rsidRDefault="0071623F" w:rsidP="0071623F">
      <w:pPr>
        <w:jc w:val="both"/>
        <w:rPr>
          <w:color w:val="000000"/>
          <w:lang w:val="en-US"/>
        </w:rPr>
      </w:pPr>
    </w:p>
    <w:p w14:paraId="4F1D89AE" w14:textId="77777777" w:rsidR="0071623F" w:rsidRDefault="0071623F" w:rsidP="0071623F">
      <w:pPr>
        <w:jc w:val="both"/>
        <w:rPr>
          <w:color w:val="000000"/>
          <w:lang w:val="en-US"/>
        </w:rPr>
      </w:pPr>
    </w:p>
    <w:p w14:paraId="3B37C9CE" w14:textId="2F711AD7" w:rsidR="0071623F" w:rsidRPr="006E17D3" w:rsidRDefault="00CD1A06" w:rsidP="0071623F">
      <w:pPr>
        <w:jc w:val="both"/>
        <w:rPr>
          <w:color w:val="000000"/>
          <w:lang w:val="fr-FR"/>
        </w:rPr>
      </w:pPr>
      <w:r>
        <w:rPr>
          <w:noProof/>
          <w:color w:val="000000"/>
        </w:rPr>
        <w:lastRenderedPageBreak/>
        <w:drawing>
          <wp:inline distT="0" distB="0" distL="0" distR="0" wp14:anchorId="3F7EE92A" wp14:editId="554226E6">
            <wp:extent cx="6110605" cy="4191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0605" cy="4191000"/>
                    </a:xfrm>
                    <a:prstGeom prst="rect">
                      <a:avLst/>
                    </a:prstGeom>
                    <a:noFill/>
                    <a:ln>
                      <a:noFill/>
                    </a:ln>
                  </pic:spPr>
                </pic:pic>
              </a:graphicData>
            </a:graphic>
          </wp:inline>
        </w:drawing>
      </w:r>
      <w:bookmarkStart w:id="0" w:name="_Hlk61801477"/>
      <w:r w:rsidR="0071623F" w:rsidRPr="002C5103">
        <w:rPr>
          <w:b/>
          <w:bCs/>
          <w:lang w:val="en-GB"/>
        </w:rPr>
        <w:t>Supplementary figure 3:</w:t>
      </w:r>
      <w:r w:rsidR="0071623F" w:rsidRPr="008A4072">
        <w:rPr>
          <w:lang w:val="en-US"/>
        </w:rPr>
        <w:t xml:space="preserve"> </w:t>
      </w:r>
      <w:r w:rsidR="0071623F" w:rsidRPr="00755737">
        <w:rPr>
          <w:lang w:val="en-GB"/>
        </w:rPr>
        <w:t>Seahorse results</w:t>
      </w:r>
      <w:r w:rsidR="0071623F" w:rsidRPr="002C5103">
        <w:rPr>
          <w:lang w:val="en-GB"/>
        </w:rPr>
        <w:t>.</w:t>
      </w:r>
      <w:r w:rsidR="0071623F" w:rsidRPr="008A4072">
        <w:rPr>
          <w:lang w:val="en-US"/>
        </w:rPr>
        <w:t xml:space="preserve"> </w:t>
      </w:r>
      <w:r w:rsidR="0071623F" w:rsidRPr="002C5103">
        <w:rPr>
          <w:lang w:val="en-GB"/>
        </w:rPr>
        <w:t xml:space="preserve">OCR normalization to cell number (fibroblasts in DMEM medium). Blue, red, green and violet histograms indicate OCR-Basal, -Oligomycin, -FCCP and Rotenone, respectively. </w:t>
      </w:r>
      <w:r w:rsidR="0071623F" w:rsidRPr="008A4072">
        <w:rPr>
          <w:lang w:val="fr-FR"/>
        </w:rPr>
        <w:t xml:space="preserve">1=Fb </w:t>
      </w:r>
      <w:proofErr w:type="spellStart"/>
      <w:r w:rsidR="0071623F" w:rsidRPr="008A4072">
        <w:rPr>
          <w:lang w:val="fr-FR"/>
        </w:rPr>
        <w:t>ctr</w:t>
      </w:r>
      <w:proofErr w:type="spellEnd"/>
      <w:r w:rsidR="00FE542B">
        <w:rPr>
          <w:lang w:val="fr-FR"/>
        </w:rPr>
        <w:t xml:space="preserve"> </w:t>
      </w:r>
      <w:proofErr w:type="gramStart"/>
      <w:r w:rsidR="00FE542B">
        <w:rPr>
          <w:lang w:val="fr-FR"/>
        </w:rPr>
        <w:t>1</w:t>
      </w:r>
      <w:r w:rsidR="0071623F" w:rsidRPr="008A4072">
        <w:rPr>
          <w:lang w:val="fr-FR"/>
        </w:rPr>
        <w:t>;</w:t>
      </w:r>
      <w:proofErr w:type="gramEnd"/>
      <w:r w:rsidR="0071623F" w:rsidRPr="008A4072">
        <w:rPr>
          <w:lang w:val="fr-FR"/>
        </w:rPr>
        <w:t xml:space="preserve"> 2=Fb ctrl</w:t>
      </w:r>
      <w:r w:rsidR="00FE542B">
        <w:rPr>
          <w:lang w:val="fr-FR"/>
        </w:rPr>
        <w:t xml:space="preserve"> </w:t>
      </w:r>
      <w:r w:rsidR="0071623F" w:rsidRPr="008A4072">
        <w:rPr>
          <w:lang w:val="fr-FR"/>
        </w:rPr>
        <w:t>2;  3=Fb Patient</w:t>
      </w:r>
      <w:r w:rsidR="00FE542B">
        <w:rPr>
          <w:lang w:val="fr-FR"/>
        </w:rPr>
        <w:t xml:space="preserve"> </w:t>
      </w:r>
      <w:r w:rsidR="003D3373">
        <w:rPr>
          <w:lang w:val="fr-FR"/>
        </w:rPr>
        <w:t>3</w:t>
      </w:r>
      <w:r w:rsidR="0071623F" w:rsidRPr="008A4072">
        <w:rPr>
          <w:lang w:val="fr-FR"/>
        </w:rPr>
        <w:t xml:space="preserve">;  4=Fb Patient </w:t>
      </w:r>
      <w:r w:rsidR="003D3373">
        <w:rPr>
          <w:lang w:val="fr-FR"/>
        </w:rPr>
        <w:t>5</w:t>
      </w:r>
      <w:r w:rsidR="0071623F" w:rsidRPr="008A4072">
        <w:rPr>
          <w:lang w:val="fr-FR"/>
        </w:rPr>
        <w:t>;  5=Fb Patient 6.</w:t>
      </w:r>
    </w:p>
    <w:bookmarkEnd w:id="0"/>
    <w:p w14:paraId="6645B0DC" w14:textId="77777777" w:rsidR="0071623F" w:rsidRPr="006E17D3" w:rsidRDefault="0071623F" w:rsidP="0071623F">
      <w:pPr>
        <w:jc w:val="both"/>
        <w:rPr>
          <w:color w:val="000000"/>
          <w:lang w:val="fr-FR"/>
        </w:rPr>
      </w:pPr>
    </w:p>
    <w:sectPr w:rsidR="0071623F" w:rsidRPr="006E17D3" w:rsidSect="00B4463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0EC97" w14:textId="77777777" w:rsidR="00F30CE1" w:rsidRDefault="00F30CE1" w:rsidP="004825CD">
      <w:r>
        <w:separator/>
      </w:r>
    </w:p>
  </w:endnote>
  <w:endnote w:type="continuationSeparator" w:id="0">
    <w:p w14:paraId="0664D2A8" w14:textId="77777777" w:rsidR="00F30CE1" w:rsidRDefault="00F30CE1" w:rsidP="0048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SSymbol-Medium">
    <w:altName w:val="Arial Unicode MS"/>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3538E" w14:textId="77777777" w:rsidR="00F30CE1" w:rsidRDefault="00F30CE1" w:rsidP="004825CD">
      <w:r>
        <w:separator/>
      </w:r>
    </w:p>
  </w:footnote>
  <w:footnote w:type="continuationSeparator" w:id="0">
    <w:p w14:paraId="5DF7672D" w14:textId="77777777" w:rsidR="00F30CE1" w:rsidRDefault="00F30CE1" w:rsidP="004825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39D571F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E6A059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4EC"/>
    <w:rsid w:val="00015D21"/>
    <w:rsid w:val="00035264"/>
    <w:rsid w:val="00087261"/>
    <w:rsid w:val="00091DA2"/>
    <w:rsid w:val="00094C5C"/>
    <w:rsid w:val="000A3D41"/>
    <w:rsid w:val="000D71A0"/>
    <w:rsid w:val="000F645A"/>
    <w:rsid w:val="00101F95"/>
    <w:rsid w:val="00126DE2"/>
    <w:rsid w:val="0013424E"/>
    <w:rsid w:val="00141D18"/>
    <w:rsid w:val="00145233"/>
    <w:rsid w:val="00156F5E"/>
    <w:rsid w:val="001A5A39"/>
    <w:rsid w:val="001B48C9"/>
    <w:rsid w:val="001C297F"/>
    <w:rsid w:val="001F215F"/>
    <w:rsid w:val="001F6AEF"/>
    <w:rsid w:val="0021572F"/>
    <w:rsid w:val="00221540"/>
    <w:rsid w:val="00222A10"/>
    <w:rsid w:val="00255332"/>
    <w:rsid w:val="00257ADE"/>
    <w:rsid w:val="00260CDD"/>
    <w:rsid w:val="0027154F"/>
    <w:rsid w:val="002A23BE"/>
    <w:rsid w:val="002D7108"/>
    <w:rsid w:val="002E7177"/>
    <w:rsid w:val="003179B5"/>
    <w:rsid w:val="00330E68"/>
    <w:rsid w:val="00362C74"/>
    <w:rsid w:val="003A717A"/>
    <w:rsid w:val="003C3705"/>
    <w:rsid w:val="003D3373"/>
    <w:rsid w:val="003D5118"/>
    <w:rsid w:val="003E51E7"/>
    <w:rsid w:val="003E6FFF"/>
    <w:rsid w:val="003F562D"/>
    <w:rsid w:val="00405FA1"/>
    <w:rsid w:val="00480A28"/>
    <w:rsid w:val="004825CD"/>
    <w:rsid w:val="004A623D"/>
    <w:rsid w:val="004C0789"/>
    <w:rsid w:val="004D5CEF"/>
    <w:rsid w:val="00524CA7"/>
    <w:rsid w:val="00527536"/>
    <w:rsid w:val="00551F8D"/>
    <w:rsid w:val="005827D4"/>
    <w:rsid w:val="00582C30"/>
    <w:rsid w:val="005C42A5"/>
    <w:rsid w:val="005D381C"/>
    <w:rsid w:val="00647707"/>
    <w:rsid w:val="00670B2A"/>
    <w:rsid w:val="0067747F"/>
    <w:rsid w:val="006835A4"/>
    <w:rsid w:val="006A16CD"/>
    <w:rsid w:val="006D3669"/>
    <w:rsid w:val="006E17D3"/>
    <w:rsid w:val="006F6478"/>
    <w:rsid w:val="00710DF0"/>
    <w:rsid w:val="0071623F"/>
    <w:rsid w:val="00751622"/>
    <w:rsid w:val="007770BA"/>
    <w:rsid w:val="007D0D77"/>
    <w:rsid w:val="008128BB"/>
    <w:rsid w:val="008140B5"/>
    <w:rsid w:val="008659E4"/>
    <w:rsid w:val="00872745"/>
    <w:rsid w:val="008F4E72"/>
    <w:rsid w:val="00932090"/>
    <w:rsid w:val="009344EC"/>
    <w:rsid w:val="009C6A62"/>
    <w:rsid w:val="009D27F4"/>
    <w:rsid w:val="00A36D3A"/>
    <w:rsid w:val="00A94C2B"/>
    <w:rsid w:val="00AF0A89"/>
    <w:rsid w:val="00AF2B15"/>
    <w:rsid w:val="00B17356"/>
    <w:rsid w:val="00B44630"/>
    <w:rsid w:val="00B94BC8"/>
    <w:rsid w:val="00BE3764"/>
    <w:rsid w:val="00C35B48"/>
    <w:rsid w:val="00CC280D"/>
    <w:rsid w:val="00CD1A06"/>
    <w:rsid w:val="00CD5A46"/>
    <w:rsid w:val="00CE6AE5"/>
    <w:rsid w:val="00D31AE5"/>
    <w:rsid w:val="00D461E3"/>
    <w:rsid w:val="00D50517"/>
    <w:rsid w:val="00D55E2A"/>
    <w:rsid w:val="00D62E71"/>
    <w:rsid w:val="00D74519"/>
    <w:rsid w:val="00DB3BCB"/>
    <w:rsid w:val="00DB7B47"/>
    <w:rsid w:val="00DC33FB"/>
    <w:rsid w:val="00DE2ACB"/>
    <w:rsid w:val="00E30C66"/>
    <w:rsid w:val="00E80F44"/>
    <w:rsid w:val="00F019D7"/>
    <w:rsid w:val="00F0346F"/>
    <w:rsid w:val="00F23238"/>
    <w:rsid w:val="00F30CE1"/>
    <w:rsid w:val="00F623A0"/>
    <w:rsid w:val="00F83CF4"/>
    <w:rsid w:val="00F965AE"/>
    <w:rsid w:val="00FA43AB"/>
    <w:rsid w:val="00FE542B"/>
    <w:rsid w:val="00FF6D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44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35264"/>
    <w:rPr>
      <w:sz w:val="24"/>
      <w:szCs w:val="24"/>
    </w:rPr>
  </w:style>
  <w:style w:type="paragraph" w:styleId="Titolo1">
    <w:name w:val="heading 1"/>
    <w:basedOn w:val="Paragrafoelenco"/>
    <w:next w:val="Normale"/>
    <w:link w:val="Titolo1Carattere"/>
    <w:uiPriority w:val="2"/>
    <w:qFormat/>
    <w:rsid w:val="0071623F"/>
    <w:pPr>
      <w:numPr>
        <w:numId w:val="1"/>
      </w:numPr>
      <w:spacing w:before="240" w:after="240"/>
      <w:outlineLvl w:val="0"/>
    </w:pPr>
    <w:rPr>
      <w:rFonts w:eastAsia="Cambria"/>
      <w:b/>
      <w:lang w:val="en-US" w:eastAsia="en-US"/>
    </w:rPr>
  </w:style>
  <w:style w:type="paragraph" w:styleId="Titolo2">
    <w:name w:val="heading 2"/>
    <w:basedOn w:val="Titolo1"/>
    <w:next w:val="Normale"/>
    <w:link w:val="Titolo2Carattere"/>
    <w:uiPriority w:val="2"/>
    <w:qFormat/>
    <w:rsid w:val="0071623F"/>
    <w:pPr>
      <w:numPr>
        <w:ilvl w:val="1"/>
      </w:numPr>
      <w:spacing w:after="200"/>
      <w:outlineLvl w:val="1"/>
    </w:pPr>
  </w:style>
  <w:style w:type="paragraph" w:styleId="Titolo3">
    <w:name w:val="heading 3"/>
    <w:basedOn w:val="Normale"/>
    <w:next w:val="Normale"/>
    <w:link w:val="Titolo3Carattere"/>
    <w:uiPriority w:val="2"/>
    <w:qFormat/>
    <w:rsid w:val="0071623F"/>
    <w:pPr>
      <w:keepNext/>
      <w:keepLines/>
      <w:numPr>
        <w:ilvl w:val="2"/>
        <w:numId w:val="1"/>
      </w:numPr>
      <w:spacing w:before="40" w:after="120"/>
      <w:outlineLvl w:val="2"/>
    </w:pPr>
    <w:rPr>
      <w:b/>
      <w:lang w:val="en-US" w:eastAsia="en-US"/>
    </w:rPr>
  </w:style>
  <w:style w:type="paragraph" w:styleId="Titolo4">
    <w:name w:val="heading 4"/>
    <w:basedOn w:val="Titolo3"/>
    <w:next w:val="Normale"/>
    <w:link w:val="Titolo4Carattere"/>
    <w:uiPriority w:val="2"/>
    <w:qFormat/>
    <w:rsid w:val="0071623F"/>
    <w:pPr>
      <w:numPr>
        <w:ilvl w:val="3"/>
      </w:numPr>
      <w:outlineLvl w:val="3"/>
    </w:pPr>
    <w:rPr>
      <w:iCs/>
    </w:rPr>
  </w:style>
  <w:style w:type="paragraph" w:styleId="Titolo5">
    <w:name w:val="heading 5"/>
    <w:basedOn w:val="Titolo4"/>
    <w:next w:val="Normale"/>
    <w:link w:val="Titolo5Carattere"/>
    <w:uiPriority w:val="2"/>
    <w:qFormat/>
    <w:rsid w:val="0071623F"/>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rsid w:val="00934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dornadorn-13seq">
    <w:name w:val="adorn adorn-13 _seq"/>
    <w:basedOn w:val="Carpredefinitoparagrafo"/>
    <w:rsid w:val="009344EC"/>
  </w:style>
  <w:style w:type="character" w:customStyle="1" w:styleId="adornadorn-39seq">
    <w:name w:val="adorn adorn-39 _seq"/>
    <w:basedOn w:val="Carpredefinitoparagrafo"/>
    <w:rsid w:val="009344EC"/>
  </w:style>
  <w:style w:type="character" w:customStyle="1" w:styleId="adornadorn-65seq">
    <w:name w:val="adorn adorn-65 _seq"/>
    <w:basedOn w:val="Carpredefinitoparagrafo"/>
    <w:rsid w:val="009344EC"/>
  </w:style>
  <w:style w:type="character" w:customStyle="1" w:styleId="adornadorn-91seq">
    <w:name w:val="adorn adorn-91 _seq"/>
    <w:basedOn w:val="Carpredefinitoparagrafo"/>
    <w:rsid w:val="009344EC"/>
  </w:style>
  <w:style w:type="character" w:customStyle="1" w:styleId="adornadorn-117seq">
    <w:name w:val="adorn adorn-117 _seq"/>
    <w:basedOn w:val="Carpredefinitoparagrafo"/>
    <w:rsid w:val="009344EC"/>
  </w:style>
  <w:style w:type="character" w:customStyle="1" w:styleId="adornadorn-143seq">
    <w:name w:val="adorn adorn-143 _seq"/>
    <w:basedOn w:val="Carpredefinitoparagrafo"/>
    <w:rsid w:val="009344EC"/>
  </w:style>
  <w:style w:type="character" w:customStyle="1" w:styleId="adornadorn-169seq">
    <w:name w:val="adorn adorn-169 _seq"/>
    <w:basedOn w:val="Carpredefinitoparagrafo"/>
    <w:rsid w:val="009344EC"/>
  </w:style>
  <w:style w:type="character" w:customStyle="1" w:styleId="adornadorn-195seq">
    <w:name w:val="adorn adorn-195 _seq"/>
    <w:basedOn w:val="Carpredefinitoparagrafo"/>
    <w:rsid w:val="009344EC"/>
  </w:style>
  <w:style w:type="character" w:customStyle="1" w:styleId="adornadorn-221seq">
    <w:name w:val="adorn adorn-221 _seq"/>
    <w:basedOn w:val="Carpredefinitoparagrafo"/>
    <w:rsid w:val="009344EC"/>
  </w:style>
  <w:style w:type="character" w:customStyle="1" w:styleId="adornadorn-247seq">
    <w:name w:val="adorn adorn-247 _seq"/>
    <w:basedOn w:val="Carpredefinitoparagrafo"/>
    <w:rsid w:val="009344EC"/>
  </w:style>
  <w:style w:type="character" w:customStyle="1" w:styleId="adornadorn-273seq">
    <w:name w:val="adorn adorn-273 _seq"/>
    <w:basedOn w:val="Carpredefinitoparagrafo"/>
    <w:rsid w:val="009344EC"/>
  </w:style>
  <w:style w:type="character" w:customStyle="1" w:styleId="adornadorn-299seq">
    <w:name w:val="adorn adorn-299 _seq"/>
    <w:basedOn w:val="Carpredefinitoparagrafo"/>
    <w:rsid w:val="009344EC"/>
  </w:style>
  <w:style w:type="character" w:customStyle="1" w:styleId="adornadorn-325seq">
    <w:name w:val="adorn adorn-325 _seq"/>
    <w:basedOn w:val="Carpredefinitoparagrafo"/>
    <w:rsid w:val="009344EC"/>
  </w:style>
  <w:style w:type="character" w:customStyle="1" w:styleId="adornadorn-351seq">
    <w:name w:val="adorn adorn-351 _seq"/>
    <w:basedOn w:val="Carpredefinitoparagrafo"/>
    <w:rsid w:val="009344EC"/>
  </w:style>
  <w:style w:type="character" w:customStyle="1" w:styleId="adornadorn-377seq">
    <w:name w:val="adorn adorn-377 _seq"/>
    <w:basedOn w:val="Carpredefinitoparagrafo"/>
    <w:rsid w:val="009344EC"/>
  </w:style>
  <w:style w:type="character" w:customStyle="1" w:styleId="adornadorn-403seq">
    <w:name w:val="adorn adorn-403 _seq"/>
    <w:basedOn w:val="Carpredefinitoparagrafo"/>
    <w:rsid w:val="009344EC"/>
  </w:style>
  <w:style w:type="character" w:customStyle="1" w:styleId="adornadorn-41seq">
    <w:name w:val="adorn adorn-41 _seq"/>
    <w:basedOn w:val="Carpredefinitoparagrafo"/>
    <w:rsid w:val="00035264"/>
  </w:style>
  <w:style w:type="character" w:customStyle="1" w:styleId="adornadorn-40seq">
    <w:name w:val="adorn adorn-40 _seq"/>
    <w:basedOn w:val="Carpredefinitoparagrafo"/>
    <w:rsid w:val="00035264"/>
  </w:style>
  <w:style w:type="character" w:customStyle="1" w:styleId="ffline">
    <w:name w:val="ff_line"/>
    <w:basedOn w:val="Carpredefinitoparagrafo"/>
    <w:rsid w:val="001F6AEF"/>
  </w:style>
  <w:style w:type="character" w:customStyle="1" w:styleId="adornadorn-7seq">
    <w:name w:val="adorn adorn-7 _seq"/>
    <w:basedOn w:val="Carpredefinitoparagrafo"/>
    <w:rsid w:val="00A36D3A"/>
  </w:style>
  <w:style w:type="character" w:customStyle="1" w:styleId="adornadorn-26seq">
    <w:name w:val="adorn adorn-26 _seq"/>
    <w:basedOn w:val="Carpredefinitoparagrafo"/>
    <w:rsid w:val="00222A10"/>
  </w:style>
  <w:style w:type="character" w:customStyle="1" w:styleId="adornadorn-27seq">
    <w:name w:val="adorn adorn-27 _seq"/>
    <w:basedOn w:val="Carpredefinitoparagrafo"/>
    <w:rsid w:val="0067747F"/>
  </w:style>
  <w:style w:type="character" w:customStyle="1" w:styleId="adornadorn-8seq">
    <w:name w:val="adorn adorn-8 _seq"/>
    <w:basedOn w:val="Carpredefinitoparagrafo"/>
    <w:rsid w:val="00257ADE"/>
  </w:style>
  <w:style w:type="character" w:customStyle="1" w:styleId="adornadorn-28seq">
    <w:name w:val="adorn adorn-28 _seq"/>
    <w:basedOn w:val="Carpredefinitoparagrafo"/>
    <w:rsid w:val="00DB7B47"/>
  </w:style>
  <w:style w:type="character" w:customStyle="1" w:styleId="PreformattatoHTMLCarattere">
    <w:name w:val="Preformattato HTML Carattere"/>
    <w:link w:val="PreformattatoHTML"/>
    <w:uiPriority w:val="99"/>
    <w:rsid w:val="00E30C66"/>
    <w:rPr>
      <w:rFonts w:ascii="Courier New" w:hAnsi="Courier New" w:cs="Courier New"/>
    </w:rPr>
  </w:style>
  <w:style w:type="character" w:customStyle="1" w:styleId="adorn">
    <w:name w:val="adorn"/>
    <w:rsid w:val="00E30C66"/>
  </w:style>
  <w:style w:type="table" w:styleId="Grigliatabella">
    <w:name w:val="Table Grid"/>
    <w:basedOn w:val="Tabellanormale"/>
    <w:rsid w:val="00CE6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8140B5"/>
    <w:rPr>
      <w:rFonts w:ascii="Segoe UI" w:hAnsi="Segoe UI" w:cs="Segoe UI"/>
      <w:sz w:val="18"/>
      <w:szCs w:val="18"/>
    </w:rPr>
  </w:style>
  <w:style w:type="character" w:customStyle="1" w:styleId="TestofumettoCarattere">
    <w:name w:val="Testo fumetto Carattere"/>
    <w:link w:val="Testofumetto"/>
    <w:rsid w:val="008140B5"/>
    <w:rPr>
      <w:rFonts w:ascii="Segoe UI" w:hAnsi="Segoe UI" w:cs="Segoe UI"/>
      <w:sz w:val="18"/>
      <w:szCs w:val="18"/>
    </w:rPr>
  </w:style>
  <w:style w:type="character" w:customStyle="1" w:styleId="hps">
    <w:name w:val="hps"/>
    <w:rsid w:val="003E51E7"/>
  </w:style>
  <w:style w:type="character" w:customStyle="1" w:styleId="shorttext">
    <w:name w:val="short_text"/>
    <w:rsid w:val="003E51E7"/>
  </w:style>
  <w:style w:type="character" w:customStyle="1" w:styleId="Titolo1Carattere">
    <w:name w:val="Titolo 1 Carattere"/>
    <w:link w:val="Titolo1"/>
    <w:uiPriority w:val="2"/>
    <w:rsid w:val="0071623F"/>
    <w:rPr>
      <w:rFonts w:eastAsia="Cambria"/>
      <w:b/>
      <w:sz w:val="24"/>
      <w:szCs w:val="24"/>
      <w:lang w:val="en-US" w:eastAsia="en-US"/>
    </w:rPr>
  </w:style>
  <w:style w:type="character" w:customStyle="1" w:styleId="Titolo2Carattere">
    <w:name w:val="Titolo 2 Carattere"/>
    <w:link w:val="Titolo2"/>
    <w:uiPriority w:val="2"/>
    <w:rsid w:val="0071623F"/>
    <w:rPr>
      <w:rFonts w:eastAsia="Cambria"/>
      <w:b/>
      <w:sz w:val="24"/>
      <w:szCs w:val="24"/>
      <w:lang w:val="en-US" w:eastAsia="en-US"/>
    </w:rPr>
  </w:style>
  <w:style w:type="character" w:customStyle="1" w:styleId="Titolo3Carattere">
    <w:name w:val="Titolo 3 Carattere"/>
    <w:link w:val="Titolo3"/>
    <w:uiPriority w:val="2"/>
    <w:rsid w:val="0071623F"/>
    <w:rPr>
      <w:b/>
      <w:sz w:val="24"/>
      <w:szCs w:val="24"/>
      <w:lang w:val="en-US" w:eastAsia="en-US"/>
    </w:rPr>
  </w:style>
  <w:style w:type="character" w:customStyle="1" w:styleId="Titolo4Carattere">
    <w:name w:val="Titolo 4 Carattere"/>
    <w:link w:val="Titolo4"/>
    <w:uiPriority w:val="2"/>
    <w:rsid w:val="0071623F"/>
    <w:rPr>
      <w:b/>
      <w:iCs/>
      <w:sz w:val="24"/>
      <w:szCs w:val="24"/>
      <w:lang w:val="en-US" w:eastAsia="en-US"/>
    </w:rPr>
  </w:style>
  <w:style w:type="character" w:customStyle="1" w:styleId="Titolo5Carattere">
    <w:name w:val="Titolo 5 Carattere"/>
    <w:link w:val="Titolo5"/>
    <w:uiPriority w:val="2"/>
    <w:rsid w:val="0071623F"/>
    <w:rPr>
      <w:b/>
      <w:iCs/>
      <w:sz w:val="24"/>
      <w:szCs w:val="24"/>
      <w:lang w:val="en-US" w:eastAsia="en-US"/>
    </w:rPr>
  </w:style>
  <w:style w:type="numbering" w:customStyle="1" w:styleId="Headings">
    <w:name w:val="Headings"/>
    <w:uiPriority w:val="99"/>
    <w:rsid w:val="0071623F"/>
    <w:pPr>
      <w:numPr>
        <w:numId w:val="1"/>
      </w:numPr>
    </w:pPr>
  </w:style>
  <w:style w:type="paragraph" w:styleId="Paragrafoelenco">
    <w:name w:val="List Paragraph"/>
    <w:basedOn w:val="Normale"/>
    <w:uiPriority w:val="34"/>
    <w:qFormat/>
    <w:rsid w:val="0071623F"/>
    <w:pPr>
      <w:ind w:left="708"/>
    </w:pPr>
  </w:style>
  <w:style w:type="paragraph" w:customStyle="1" w:styleId="SupplementaryMaterial">
    <w:name w:val="Supplementary Material"/>
    <w:basedOn w:val="Titolo"/>
    <w:next w:val="Titolo"/>
    <w:qFormat/>
    <w:rsid w:val="00647707"/>
    <w:pPr>
      <w:suppressLineNumbers/>
      <w:spacing w:after="120"/>
      <w:outlineLvl w:val="9"/>
    </w:pPr>
    <w:rPr>
      <w:rFonts w:ascii="Times New Roman" w:eastAsia="Calibri" w:hAnsi="Times New Roman"/>
      <w:bCs w:val="0"/>
      <w:i/>
      <w:kern w:val="0"/>
      <w:lang w:val="en-US" w:eastAsia="en-US"/>
    </w:rPr>
  </w:style>
  <w:style w:type="paragraph" w:styleId="Titolo">
    <w:name w:val="Title"/>
    <w:basedOn w:val="Normale"/>
    <w:next w:val="Normale"/>
    <w:link w:val="TitoloCarattere"/>
    <w:qFormat/>
    <w:rsid w:val="00647707"/>
    <w:pPr>
      <w:spacing w:before="240" w:after="60"/>
      <w:jc w:val="center"/>
      <w:outlineLvl w:val="0"/>
    </w:pPr>
    <w:rPr>
      <w:rFonts w:ascii="Calibri Light" w:hAnsi="Calibri Light"/>
      <w:b/>
      <w:bCs/>
      <w:kern w:val="28"/>
      <w:sz w:val="32"/>
      <w:szCs w:val="32"/>
    </w:rPr>
  </w:style>
  <w:style w:type="character" w:customStyle="1" w:styleId="TitoloCarattere">
    <w:name w:val="Titolo Carattere"/>
    <w:link w:val="Titolo"/>
    <w:rsid w:val="00647707"/>
    <w:rPr>
      <w:rFonts w:ascii="Calibri Light" w:eastAsia="Times New Roman" w:hAnsi="Calibri Light" w:cs="Times New Roman"/>
      <w:b/>
      <w:bCs/>
      <w:kern w:val="28"/>
      <w:sz w:val="32"/>
      <w:szCs w:val="32"/>
    </w:rPr>
  </w:style>
  <w:style w:type="paragraph" w:styleId="Intestazione">
    <w:name w:val="header"/>
    <w:basedOn w:val="Normale"/>
    <w:link w:val="IntestazioneCarattere"/>
    <w:rsid w:val="004825CD"/>
    <w:pPr>
      <w:tabs>
        <w:tab w:val="center" w:pos="4819"/>
        <w:tab w:val="right" w:pos="9638"/>
      </w:tabs>
    </w:pPr>
  </w:style>
  <w:style w:type="character" w:customStyle="1" w:styleId="IntestazioneCarattere">
    <w:name w:val="Intestazione Carattere"/>
    <w:basedOn w:val="Carpredefinitoparagrafo"/>
    <w:link w:val="Intestazione"/>
    <w:rsid w:val="004825CD"/>
    <w:rPr>
      <w:sz w:val="24"/>
      <w:szCs w:val="24"/>
    </w:rPr>
  </w:style>
  <w:style w:type="paragraph" w:styleId="Pidipagina">
    <w:name w:val="footer"/>
    <w:basedOn w:val="Normale"/>
    <w:link w:val="PidipaginaCarattere"/>
    <w:rsid w:val="004825CD"/>
    <w:pPr>
      <w:tabs>
        <w:tab w:val="center" w:pos="4819"/>
        <w:tab w:val="right" w:pos="9638"/>
      </w:tabs>
    </w:pPr>
  </w:style>
  <w:style w:type="character" w:customStyle="1" w:styleId="PidipaginaCarattere">
    <w:name w:val="Piè di pagina Carattere"/>
    <w:basedOn w:val="Carpredefinitoparagrafo"/>
    <w:link w:val="Pidipagina"/>
    <w:rsid w:val="004825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556">
      <w:bodyDiv w:val="1"/>
      <w:marLeft w:val="0"/>
      <w:marRight w:val="0"/>
      <w:marTop w:val="0"/>
      <w:marBottom w:val="0"/>
      <w:divBdr>
        <w:top w:val="none" w:sz="0" w:space="0" w:color="auto"/>
        <w:left w:val="none" w:sz="0" w:space="0" w:color="auto"/>
        <w:bottom w:val="none" w:sz="0" w:space="0" w:color="auto"/>
        <w:right w:val="none" w:sz="0" w:space="0" w:color="auto"/>
      </w:divBdr>
    </w:div>
    <w:div w:id="50346861">
      <w:bodyDiv w:val="1"/>
      <w:marLeft w:val="0"/>
      <w:marRight w:val="0"/>
      <w:marTop w:val="0"/>
      <w:marBottom w:val="0"/>
      <w:divBdr>
        <w:top w:val="none" w:sz="0" w:space="0" w:color="auto"/>
        <w:left w:val="none" w:sz="0" w:space="0" w:color="auto"/>
        <w:bottom w:val="none" w:sz="0" w:space="0" w:color="auto"/>
        <w:right w:val="none" w:sz="0" w:space="0" w:color="auto"/>
      </w:divBdr>
    </w:div>
    <w:div w:id="107358632">
      <w:bodyDiv w:val="1"/>
      <w:marLeft w:val="0"/>
      <w:marRight w:val="0"/>
      <w:marTop w:val="0"/>
      <w:marBottom w:val="0"/>
      <w:divBdr>
        <w:top w:val="none" w:sz="0" w:space="0" w:color="auto"/>
        <w:left w:val="none" w:sz="0" w:space="0" w:color="auto"/>
        <w:bottom w:val="none" w:sz="0" w:space="0" w:color="auto"/>
        <w:right w:val="none" w:sz="0" w:space="0" w:color="auto"/>
      </w:divBdr>
    </w:div>
    <w:div w:id="132411237">
      <w:bodyDiv w:val="1"/>
      <w:marLeft w:val="0"/>
      <w:marRight w:val="0"/>
      <w:marTop w:val="0"/>
      <w:marBottom w:val="0"/>
      <w:divBdr>
        <w:top w:val="none" w:sz="0" w:space="0" w:color="auto"/>
        <w:left w:val="none" w:sz="0" w:space="0" w:color="auto"/>
        <w:bottom w:val="none" w:sz="0" w:space="0" w:color="auto"/>
        <w:right w:val="none" w:sz="0" w:space="0" w:color="auto"/>
      </w:divBdr>
    </w:div>
    <w:div w:id="246422997">
      <w:bodyDiv w:val="1"/>
      <w:marLeft w:val="0"/>
      <w:marRight w:val="0"/>
      <w:marTop w:val="0"/>
      <w:marBottom w:val="0"/>
      <w:divBdr>
        <w:top w:val="none" w:sz="0" w:space="0" w:color="auto"/>
        <w:left w:val="none" w:sz="0" w:space="0" w:color="auto"/>
        <w:bottom w:val="none" w:sz="0" w:space="0" w:color="auto"/>
        <w:right w:val="none" w:sz="0" w:space="0" w:color="auto"/>
      </w:divBdr>
    </w:div>
    <w:div w:id="319163189">
      <w:bodyDiv w:val="1"/>
      <w:marLeft w:val="0"/>
      <w:marRight w:val="0"/>
      <w:marTop w:val="0"/>
      <w:marBottom w:val="0"/>
      <w:divBdr>
        <w:top w:val="none" w:sz="0" w:space="0" w:color="auto"/>
        <w:left w:val="none" w:sz="0" w:space="0" w:color="auto"/>
        <w:bottom w:val="none" w:sz="0" w:space="0" w:color="auto"/>
        <w:right w:val="none" w:sz="0" w:space="0" w:color="auto"/>
      </w:divBdr>
    </w:div>
    <w:div w:id="339043517">
      <w:bodyDiv w:val="1"/>
      <w:marLeft w:val="0"/>
      <w:marRight w:val="0"/>
      <w:marTop w:val="0"/>
      <w:marBottom w:val="0"/>
      <w:divBdr>
        <w:top w:val="none" w:sz="0" w:space="0" w:color="auto"/>
        <w:left w:val="none" w:sz="0" w:space="0" w:color="auto"/>
        <w:bottom w:val="none" w:sz="0" w:space="0" w:color="auto"/>
        <w:right w:val="none" w:sz="0" w:space="0" w:color="auto"/>
      </w:divBdr>
    </w:div>
    <w:div w:id="374544428">
      <w:bodyDiv w:val="1"/>
      <w:marLeft w:val="0"/>
      <w:marRight w:val="0"/>
      <w:marTop w:val="0"/>
      <w:marBottom w:val="0"/>
      <w:divBdr>
        <w:top w:val="none" w:sz="0" w:space="0" w:color="auto"/>
        <w:left w:val="none" w:sz="0" w:space="0" w:color="auto"/>
        <w:bottom w:val="none" w:sz="0" w:space="0" w:color="auto"/>
        <w:right w:val="none" w:sz="0" w:space="0" w:color="auto"/>
      </w:divBdr>
    </w:div>
    <w:div w:id="473912953">
      <w:bodyDiv w:val="1"/>
      <w:marLeft w:val="0"/>
      <w:marRight w:val="0"/>
      <w:marTop w:val="0"/>
      <w:marBottom w:val="0"/>
      <w:divBdr>
        <w:top w:val="none" w:sz="0" w:space="0" w:color="auto"/>
        <w:left w:val="none" w:sz="0" w:space="0" w:color="auto"/>
        <w:bottom w:val="none" w:sz="0" w:space="0" w:color="auto"/>
        <w:right w:val="none" w:sz="0" w:space="0" w:color="auto"/>
      </w:divBdr>
    </w:div>
    <w:div w:id="494760762">
      <w:bodyDiv w:val="1"/>
      <w:marLeft w:val="0"/>
      <w:marRight w:val="0"/>
      <w:marTop w:val="0"/>
      <w:marBottom w:val="0"/>
      <w:divBdr>
        <w:top w:val="none" w:sz="0" w:space="0" w:color="auto"/>
        <w:left w:val="none" w:sz="0" w:space="0" w:color="auto"/>
        <w:bottom w:val="none" w:sz="0" w:space="0" w:color="auto"/>
        <w:right w:val="none" w:sz="0" w:space="0" w:color="auto"/>
      </w:divBdr>
    </w:div>
    <w:div w:id="555311539">
      <w:bodyDiv w:val="1"/>
      <w:marLeft w:val="0"/>
      <w:marRight w:val="0"/>
      <w:marTop w:val="0"/>
      <w:marBottom w:val="0"/>
      <w:divBdr>
        <w:top w:val="none" w:sz="0" w:space="0" w:color="auto"/>
        <w:left w:val="none" w:sz="0" w:space="0" w:color="auto"/>
        <w:bottom w:val="none" w:sz="0" w:space="0" w:color="auto"/>
        <w:right w:val="none" w:sz="0" w:space="0" w:color="auto"/>
      </w:divBdr>
    </w:div>
    <w:div w:id="613562202">
      <w:bodyDiv w:val="1"/>
      <w:marLeft w:val="0"/>
      <w:marRight w:val="0"/>
      <w:marTop w:val="0"/>
      <w:marBottom w:val="0"/>
      <w:divBdr>
        <w:top w:val="none" w:sz="0" w:space="0" w:color="auto"/>
        <w:left w:val="none" w:sz="0" w:space="0" w:color="auto"/>
        <w:bottom w:val="none" w:sz="0" w:space="0" w:color="auto"/>
        <w:right w:val="none" w:sz="0" w:space="0" w:color="auto"/>
      </w:divBdr>
    </w:div>
    <w:div w:id="812254000">
      <w:bodyDiv w:val="1"/>
      <w:marLeft w:val="0"/>
      <w:marRight w:val="0"/>
      <w:marTop w:val="0"/>
      <w:marBottom w:val="0"/>
      <w:divBdr>
        <w:top w:val="none" w:sz="0" w:space="0" w:color="auto"/>
        <w:left w:val="none" w:sz="0" w:space="0" w:color="auto"/>
        <w:bottom w:val="none" w:sz="0" w:space="0" w:color="auto"/>
        <w:right w:val="none" w:sz="0" w:space="0" w:color="auto"/>
      </w:divBdr>
    </w:div>
    <w:div w:id="827940151">
      <w:bodyDiv w:val="1"/>
      <w:marLeft w:val="0"/>
      <w:marRight w:val="0"/>
      <w:marTop w:val="0"/>
      <w:marBottom w:val="0"/>
      <w:divBdr>
        <w:top w:val="none" w:sz="0" w:space="0" w:color="auto"/>
        <w:left w:val="none" w:sz="0" w:space="0" w:color="auto"/>
        <w:bottom w:val="none" w:sz="0" w:space="0" w:color="auto"/>
        <w:right w:val="none" w:sz="0" w:space="0" w:color="auto"/>
      </w:divBdr>
    </w:div>
    <w:div w:id="969172055">
      <w:bodyDiv w:val="1"/>
      <w:marLeft w:val="0"/>
      <w:marRight w:val="0"/>
      <w:marTop w:val="0"/>
      <w:marBottom w:val="0"/>
      <w:divBdr>
        <w:top w:val="none" w:sz="0" w:space="0" w:color="auto"/>
        <w:left w:val="none" w:sz="0" w:space="0" w:color="auto"/>
        <w:bottom w:val="none" w:sz="0" w:space="0" w:color="auto"/>
        <w:right w:val="none" w:sz="0" w:space="0" w:color="auto"/>
      </w:divBdr>
    </w:div>
    <w:div w:id="1023165687">
      <w:bodyDiv w:val="1"/>
      <w:marLeft w:val="0"/>
      <w:marRight w:val="0"/>
      <w:marTop w:val="0"/>
      <w:marBottom w:val="0"/>
      <w:divBdr>
        <w:top w:val="none" w:sz="0" w:space="0" w:color="auto"/>
        <w:left w:val="none" w:sz="0" w:space="0" w:color="auto"/>
        <w:bottom w:val="none" w:sz="0" w:space="0" w:color="auto"/>
        <w:right w:val="none" w:sz="0" w:space="0" w:color="auto"/>
      </w:divBdr>
    </w:div>
    <w:div w:id="1121459686">
      <w:bodyDiv w:val="1"/>
      <w:marLeft w:val="0"/>
      <w:marRight w:val="0"/>
      <w:marTop w:val="0"/>
      <w:marBottom w:val="0"/>
      <w:divBdr>
        <w:top w:val="none" w:sz="0" w:space="0" w:color="auto"/>
        <w:left w:val="none" w:sz="0" w:space="0" w:color="auto"/>
        <w:bottom w:val="none" w:sz="0" w:space="0" w:color="auto"/>
        <w:right w:val="none" w:sz="0" w:space="0" w:color="auto"/>
      </w:divBdr>
    </w:div>
    <w:div w:id="1208297826">
      <w:bodyDiv w:val="1"/>
      <w:marLeft w:val="0"/>
      <w:marRight w:val="0"/>
      <w:marTop w:val="0"/>
      <w:marBottom w:val="0"/>
      <w:divBdr>
        <w:top w:val="none" w:sz="0" w:space="0" w:color="auto"/>
        <w:left w:val="none" w:sz="0" w:space="0" w:color="auto"/>
        <w:bottom w:val="none" w:sz="0" w:space="0" w:color="auto"/>
        <w:right w:val="none" w:sz="0" w:space="0" w:color="auto"/>
      </w:divBdr>
    </w:div>
    <w:div w:id="1258100133">
      <w:bodyDiv w:val="1"/>
      <w:marLeft w:val="0"/>
      <w:marRight w:val="0"/>
      <w:marTop w:val="0"/>
      <w:marBottom w:val="0"/>
      <w:divBdr>
        <w:top w:val="none" w:sz="0" w:space="0" w:color="auto"/>
        <w:left w:val="none" w:sz="0" w:space="0" w:color="auto"/>
        <w:bottom w:val="none" w:sz="0" w:space="0" w:color="auto"/>
        <w:right w:val="none" w:sz="0" w:space="0" w:color="auto"/>
      </w:divBdr>
    </w:div>
    <w:div w:id="1288505969">
      <w:bodyDiv w:val="1"/>
      <w:marLeft w:val="0"/>
      <w:marRight w:val="0"/>
      <w:marTop w:val="0"/>
      <w:marBottom w:val="0"/>
      <w:divBdr>
        <w:top w:val="none" w:sz="0" w:space="0" w:color="auto"/>
        <w:left w:val="none" w:sz="0" w:space="0" w:color="auto"/>
        <w:bottom w:val="none" w:sz="0" w:space="0" w:color="auto"/>
        <w:right w:val="none" w:sz="0" w:space="0" w:color="auto"/>
      </w:divBdr>
    </w:div>
    <w:div w:id="1787776478">
      <w:bodyDiv w:val="1"/>
      <w:marLeft w:val="0"/>
      <w:marRight w:val="0"/>
      <w:marTop w:val="0"/>
      <w:marBottom w:val="0"/>
      <w:divBdr>
        <w:top w:val="none" w:sz="0" w:space="0" w:color="auto"/>
        <w:left w:val="none" w:sz="0" w:space="0" w:color="auto"/>
        <w:bottom w:val="none" w:sz="0" w:space="0" w:color="auto"/>
        <w:right w:val="none" w:sz="0" w:space="0" w:color="auto"/>
      </w:divBdr>
    </w:div>
    <w:div w:id="1830096360">
      <w:bodyDiv w:val="1"/>
      <w:marLeft w:val="0"/>
      <w:marRight w:val="0"/>
      <w:marTop w:val="0"/>
      <w:marBottom w:val="0"/>
      <w:divBdr>
        <w:top w:val="none" w:sz="0" w:space="0" w:color="auto"/>
        <w:left w:val="none" w:sz="0" w:space="0" w:color="auto"/>
        <w:bottom w:val="none" w:sz="0" w:space="0" w:color="auto"/>
        <w:right w:val="none" w:sz="0" w:space="0" w:color="auto"/>
      </w:divBdr>
    </w:div>
    <w:div w:id="1862544137">
      <w:bodyDiv w:val="1"/>
      <w:marLeft w:val="0"/>
      <w:marRight w:val="0"/>
      <w:marTop w:val="0"/>
      <w:marBottom w:val="0"/>
      <w:divBdr>
        <w:top w:val="none" w:sz="0" w:space="0" w:color="auto"/>
        <w:left w:val="none" w:sz="0" w:space="0" w:color="auto"/>
        <w:bottom w:val="none" w:sz="0" w:space="0" w:color="auto"/>
        <w:right w:val="none" w:sz="0" w:space="0" w:color="auto"/>
      </w:divBdr>
    </w:div>
    <w:div w:id="1889218121">
      <w:bodyDiv w:val="1"/>
      <w:marLeft w:val="0"/>
      <w:marRight w:val="0"/>
      <w:marTop w:val="0"/>
      <w:marBottom w:val="0"/>
      <w:divBdr>
        <w:top w:val="none" w:sz="0" w:space="0" w:color="auto"/>
        <w:left w:val="none" w:sz="0" w:space="0" w:color="auto"/>
        <w:bottom w:val="none" w:sz="0" w:space="0" w:color="auto"/>
        <w:right w:val="none" w:sz="0" w:space="0" w:color="auto"/>
      </w:divBdr>
    </w:div>
    <w:div w:id="1895308919">
      <w:bodyDiv w:val="1"/>
      <w:marLeft w:val="0"/>
      <w:marRight w:val="0"/>
      <w:marTop w:val="0"/>
      <w:marBottom w:val="0"/>
      <w:divBdr>
        <w:top w:val="none" w:sz="0" w:space="0" w:color="auto"/>
        <w:left w:val="none" w:sz="0" w:space="0" w:color="auto"/>
        <w:bottom w:val="none" w:sz="0" w:space="0" w:color="auto"/>
        <w:right w:val="none" w:sz="0" w:space="0" w:color="auto"/>
      </w:divBdr>
    </w:div>
    <w:div w:id="1923952144">
      <w:bodyDiv w:val="1"/>
      <w:marLeft w:val="0"/>
      <w:marRight w:val="0"/>
      <w:marTop w:val="0"/>
      <w:marBottom w:val="0"/>
      <w:divBdr>
        <w:top w:val="none" w:sz="0" w:space="0" w:color="auto"/>
        <w:left w:val="none" w:sz="0" w:space="0" w:color="auto"/>
        <w:bottom w:val="none" w:sz="0" w:space="0" w:color="auto"/>
        <w:right w:val="none" w:sz="0" w:space="0" w:color="auto"/>
      </w:divBdr>
    </w:div>
    <w:div w:id="1993750051">
      <w:bodyDiv w:val="1"/>
      <w:marLeft w:val="0"/>
      <w:marRight w:val="0"/>
      <w:marTop w:val="0"/>
      <w:marBottom w:val="0"/>
      <w:divBdr>
        <w:top w:val="none" w:sz="0" w:space="0" w:color="auto"/>
        <w:left w:val="none" w:sz="0" w:space="0" w:color="auto"/>
        <w:bottom w:val="none" w:sz="0" w:space="0" w:color="auto"/>
        <w:right w:val="none" w:sz="0" w:space="0" w:color="auto"/>
      </w:divBdr>
    </w:div>
    <w:div w:id="2012247327">
      <w:bodyDiv w:val="1"/>
      <w:marLeft w:val="0"/>
      <w:marRight w:val="0"/>
      <w:marTop w:val="0"/>
      <w:marBottom w:val="0"/>
      <w:divBdr>
        <w:top w:val="none" w:sz="0" w:space="0" w:color="auto"/>
        <w:left w:val="none" w:sz="0" w:space="0" w:color="auto"/>
        <w:bottom w:val="none" w:sz="0" w:space="0" w:color="auto"/>
        <w:right w:val="none" w:sz="0" w:space="0" w:color="auto"/>
      </w:divBdr>
    </w:div>
    <w:div w:id="2023778087">
      <w:bodyDiv w:val="1"/>
      <w:marLeft w:val="0"/>
      <w:marRight w:val="0"/>
      <w:marTop w:val="0"/>
      <w:marBottom w:val="0"/>
      <w:divBdr>
        <w:top w:val="none" w:sz="0" w:space="0" w:color="auto"/>
        <w:left w:val="none" w:sz="0" w:space="0" w:color="auto"/>
        <w:bottom w:val="none" w:sz="0" w:space="0" w:color="auto"/>
        <w:right w:val="none" w:sz="0" w:space="0" w:color="auto"/>
      </w:divBdr>
    </w:div>
    <w:div w:id="2043819095">
      <w:bodyDiv w:val="1"/>
      <w:marLeft w:val="0"/>
      <w:marRight w:val="0"/>
      <w:marTop w:val="0"/>
      <w:marBottom w:val="0"/>
      <w:divBdr>
        <w:top w:val="none" w:sz="0" w:space="0" w:color="auto"/>
        <w:left w:val="none" w:sz="0" w:space="0" w:color="auto"/>
        <w:bottom w:val="none" w:sz="0" w:space="0" w:color="auto"/>
        <w:right w:val="none" w:sz="0" w:space="0" w:color="auto"/>
      </w:divBdr>
    </w:div>
    <w:div w:id="214685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2338</Words>
  <Characters>13329</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2021-03-17T20:04:00Z</dcterms:created>
  <dcterms:modified xsi:type="dcterms:W3CDTF">2021-05-06T16:51:00Z</dcterms:modified>
</cp:coreProperties>
</file>