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951B9" w14:textId="77777777" w:rsidR="0008041B" w:rsidRDefault="00C91A36" w:rsidP="00C91A36">
      <w:pPr>
        <w:spacing w:line="480" w:lineRule="auto"/>
        <w:rPr>
          <w:rFonts w:eastAsiaTheme="minorEastAsia"/>
          <w:b/>
          <w:sz w:val="20"/>
          <w:szCs w:val="20"/>
          <w:lang w:val="en-US"/>
        </w:rPr>
      </w:pPr>
      <w:r w:rsidRPr="00754FF2">
        <w:rPr>
          <w:rFonts w:eastAsiaTheme="minorEastAsia"/>
          <w:b/>
          <w:sz w:val="20"/>
          <w:szCs w:val="20"/>
          <w:lang w:val="en-US"/>
        </w:rPr>
        <w:t>Supplementary Materials</w:t>
      </w:r>
    </w:p>
    <w:p w14:paraId="3DE10451" w14:textId="77777777" w:rsidR="0008041B" w:rsidRDefault="0008041B" w:rsidP="00C91A36">
      <w:pPr>
        <w:spacing w:line="480" w:lineRule="auto"/>
        <w:rPr>
          <w:rFonts w:eastAsiaTheme="minorEastAsia"/>
          <w:b/>
          <w:sz w:val="20"/>
          <w:szCs w:val="20"/>
          <w:lang w:val="en-US"/>
        </w:rPr>
      </w:pPr>
    </w:p>
    <w:p w14:paraId="7C6F76A8" w14:textId="66E9627E" w:rsidR="0008041B" w:rsidRDefault="0008041B" w:rsidP="0008041B">
      <w:pPr>
        <w:spacing w:line="480" w:lineRule="auto"/>
        <w:contextualSpacing/>
        <w:rPr>
          <w:rFonts w:eastAsiaTheme="minorEastAsia"/>
          <w:sz w:val="20"/>
          <w:szCs w:val="20"/>
          <w:lang w:val="en-US"/>
        </w:rPr>
      </w:pPr>
      <w:r w:rsidRPr="00754FF2">
        <w:rPr>
          <w:rFonts w:eastAsiaTheme="minorEastAsia"/>
          <w:b/>
          <w:bCs/>
          <w:sz w:val="20"/>
          <w:szCs w:val="20"/>
          <w:lang w:val="en-US"/>
        </w:rPr>
        <w:t>Supplementary Figure 1.</w:t>
      </w:r>
      <w:r w:rsidRPr="00754FF2">
        <w:rPr>
          <w:rFonts w:eastAsiaTheme="minorEastAsia"/>
          <w:sz w:val="20"/>
          <w:szCs w:val="20"/>
          <w:lang w:val="en-US"/>
        </w:rPr>
        <w:t xml:space="preserve"> </w:t>
      </w:r>
      <w:r w:rsidRPr="00955806">
        <w:rPr>
          <w:rFonts w:eastAsiaTheme="minorEastAsia"/>
          <w:sz w:val="20"/>
          <w:szCs w:val="20"/>
          <w:lang w:val="en-US"/>
        </w:rPr>
        <w:t>Empirical scale developed to describe the atrophy of posterior fossa structures. Vermis atrophy was evaluated in the sagittal T1 FSPGR slice, and hemispheric atrophy in coronal T1 FSPGR. Slight atrophy was scored as 1, moderate atrophy as 2 and severe atrophy as 3 by comparison with preselected reference images.</w:t>
      </w:r>
    </w:p>
    <w:p w14:paraId="5B280610" w14:textId="77777777" w:rsidR="0008041B" w:rsidRDefault="0008041B" w:rsidP="0008041B">
      <w:pPr>
        <w:spacing w:line="480" w:lineRule="auto"/>
        <w:contextualSpacing/>
        <w:rPr>
          <w:rFonts w:eastAsiaTheme="minorEastAsia"/>
          <w:sz w:val="20"/>
          <w:szCs w:val="20"/>
          <w:lang w:val="en-US"/>
        </w:rPr>
      </w:pPr>
    </w:p>
    <w:p w14:paraId="297D778B" w14:textId="77777777" w:rsidR="0008041B" w:rsidRDefault="0008041B" w:rsidP="0008041B">
      <w:pPr>
        <w:spacing w:line="480" w:lineRule="auto"/>
        <w:contextualSpacing/>
        <w:rPr>
          <w:rFonts w:eastAsiaTheme="minorEastAsia"/>
          <w:sz w:val="20"/>
          <w:szCs w:val="20"/>
          <w:lang w:val="en-US"/>
        </w:rPr>
      </w:pPr>
    </w:p>
    <w:p w14:paraId="4D5FE045" w14:textId="77777777" w:rsidR="0008041B" w:rsidRDefault="0008041B" w:rsidP="0008041B">
      <w:pPr>
        <w:spacing w:line="480" w:lineRule="auto"/>
        <w:contextualSpacing/>
        <w:rPr>
          <w:rFonts w:eastAsiaTheme="minorEastAsia"/>
          <w:sz w:val="20"/>
          <w:szCs w:val="20"/>
          <w:lang w:val="en-US"/>
        </w:rPr>
      </w:pPr>
    </w:p>
    <w:p w14:paraId="722B898F" w14:textId="77777777" w:rsidR="0008041B" w:rsidRDefault="0008041B" w:rsidP="0008041B">
      <w:pPr>
        <w:spacing w:line="480" w:lineRule="auto"/>
        <w:contextualSpacing/>
        <w:rPr>
          <w:rFonts w:eastAsiaTheme="minorEastAsia"/>
          <w:sz w:val="20"/>
          <w:szCs w:val="20"/>
          <w:lang w:val="en-US"/>
        </w:rPr>
      </w:pPr>
      <w:r>
        <w:rPr>
          <w:rFonts w:eastAsiaTheme="minorEastAsia"/>
          <w:noProof/>
          <w:sz w:val="20"/>
          <w:szCs w:val="20"/>
          <w:lang w:val="it-IT" w:eastAsia="it-IT"/>
        </w:rPr>
        <w:drawing>
          <wp:inline distT="0" distB="0" distL="0" distR="0" wp14:anchorId="6CEFAF89" wp14:editId="422E1C78">
            <wp:extent cx="5619750" cy="3026934"/>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_Fig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38068" cy="3036801"/>
                    </a:xfrm>
                    <a:prstGeom prst="rect">
                      <a:avLst/>
                    </a:prstGeom>
                  </pic:spPr>
                </pic:pic>
              </a:graphicData>
            </a:graphic>
          </wp:inline>
        </w:drawing>
      </w:r>
    </w:p>
    <w:p w14:paraId="0B4932A1" w14:textId="77777777" w:rsidR="0008041B" w:rsidRDefault="0008041B" w:rsidP="0008041B">
      <w:pPr>
        <w:spacing w:line="480" w:lineRule="auto"/>
        <w:contextualSpacing/>
        <w:rPr>
          <w:rFonts w:eastAsiaTheme="minorEastAsia"/>
          <w:sz w:val="20"/>
          <w:szCs w:val="20"/>
          <w:lang w:val="en-US"/>
        </w:rPr>
      </w:pPr>
    </w:p>
    <w:p w14:paraId="122811C0" w14:textId="77777777" w:rsidR="0008041B" w:rsidRDefault="0008041B">
      <w:pPr>
        <w:spacing w:after="160" w:line="259" w:lineRule="auto"/>
        <w:rPr>
          <w:rFonts w:eastAsiaTheme="minorEastAsia"/>
          <w:sz w:val="20"/>
          <w:szCs w:val="20"/>
          <w:lang w:val="en-US"/>
        </w:rPr>
      </w:pPr>
      <w:r>
        <w:rPr>
          <w:rFonts w:eastAsiaTheme="minorEastAsia"/>
          <w:sz w:val="20"/>
          <w:szCs w:val="20"/>
          <w:lang w:val="en-US"/>
        </w:rPr>
        <w:br w:type="page"/>
      </w:r>
    </w:p>
    <w:p w14:paraId="263D9C43" w14:textId="77777777" w:rsidR="0008041B" w:rsidRDefault="0008041B" w:rsidP="0008041B">
      <w:pPr>
        <w:spacing w:line="480" w:lineRule="auto"/>
        <w:contextualSpacing/>
        <w:rPr>
          <w:rFonts w:eastAsiaTheme="minorEastAsia"/>
          <w:sz w:val="20"/>
          <w:szCs w:val="20"/>
          <w:lang w:val="en-US"/>
        </w:rPr>
      </w:pPr>
    </w:p>
    <w:p w14:paraId="24A081F2" w14:textId="77777777" w:rsidR="0008041B" w:rsidRDefault="0008041B" w:rsidP="0008041B">
      <w:pPr>
        <w:spacing w:line="480" w:lineRule="auto"/>
        <w:contextualSpacing/>
        <w:rPr>
          <w:rFonts w:eastAsiaTheme="minorEastAsia"/>
          <w:sz w:val="20"/>
          <w:szCs w:val="20"/>
          <w:lang w:val="en-US"/>
        </w:rPr>
      </w:pPr>
    </w:p>
    <w:p w14:paraId="3CA5DEF5" w14:textId="77777777" w:rsidR="0008041B" w:rsidRPr="00A2074E" w:rsidRDefault="0008041B" w:rsidP="0008041B">
      <w:pPr>
        <w:spacing w:line="480" w:lineRule="auto"/>
        <w:contextualSpacing/>
        <w:rPr>
          <w:rFonts w:eastAsiaTheme="minorEastAsia"/>
          <w:sz w:val="20"/>
          <w:szCs w:val="20"/>
          <w:lang w:val="en-US"/>
        </w:rPr>
      </w:pPr>
    </w:p>
    <w:p w14:paraId="42671FC4" w14:textId="77777777" w:rsidR="0008041B" w:rsidRDefault="0008041B" w:rsidP="0008041B">
      <w:pPr>
        <w:spacing w:line="480" w:lineRule="auto"/>
        <w:rPr>
          <w:rFonts w:eastAsiaTheme="minorEastAsia"/>
          <w:b/>
          <w:sz w:val="20"/>
          <w:szCs w:val="20"/>
          <w:lang w:val="en-US"/>
        </w:rPr>
      </w:pPr>
      <w:r w:rsidRPr="00ED2A7E">
        <w:rPr>
          <w:rFonts w:eastAsiaTheme="minorEastAsia"/>
          <w:b/>
          <w:bCs/>
          <w:sz w:val="20"/>
          <w:szCs w:val="20"/>
          <w:lang w:val="en-US"/>
        </w:rPr>
        <w:t>Supplementary Figure 2.</w:t>
      </w:r>
      <w:r w:rsidRPr="00ED2A7E">
        <w:rPr>
          <w:rFonts w:eastAsiaTheme="minorEastAsia"/>
          <w:sz w:val="20"/>
          <w:szCs w:val="20"/>
          <w:lang w:val="en-US"/>
        </w:rPr>
        <w:t xml:space="preserve"> R</w:t>
      </w:r>
      <w:r w:rsidRPr="00754FF2">
        <w:rPr>
          <w:rFonts w:eastAsiaTheme="minorEastAsia"/>
          <w:sz w:val="20"/>
          <w:szCs w:val="20"/>
          <w:lang w:val="en-US"/>
        </w:rPr>
        <w:t xml:space="preserve">OC </w:t>
      </w:r>
      <w:r>
        <w:rPr>
          <w:rFonts w:eastAsiaTheme="minorEastAsia"/>
          <w:sz w:val="20"/>
          <w:szCs w:val="20"/>
          <w:lang w:val="en-US"/>
        </w:rPr>
        <w:t>analysis</w:t>
      </w:r>
      <w:r w:rsidRPr="00754FF2">
        <w:rPr>
          <w:rFonts w:eastAsiaTheme="minorEastAsia"/>
          <w:sz w:val="20"/>
          <w:szCs w:val="20"/>
          <w:lang w:val="en-US"/>
        </w:rPr>
        <w:t xml:space="preserve"> for NAA/Cr in </w:t>
      </w:r>
      <w:r>
        <w:rPr>
          <w:rFonts w:eastAsiaTheme="minorEastAsia"/>
          <w:sz w:val="20"/>
          <w:szCs w:val="20"/>
          <w:lang w:val="en-US"/>
        </w:rPr>
        <w:t>c</w:t>
      </w:r>
      <w:r w:rsidRPr="00754FF2">
        <w:rPr>
          <w:rFonts w:eastAsiaTheme="minorEastAsia"/>
          <w:sz w:val="20"/>
          <w:szCs w:val="20"/>
          <w:lang w:val="en-US"/>
        </w:rPr>
        <w:t>erebellar hemisphere, medial parieto-occipital cortex (MPOC) and left parieto-occipital white matter (POWM).  AUC: area under the curve</w:t>
      </w:r>
    </w:p>
    <w:p w14:paraId="093A75FA" w14:textId="77777777" w:rsidR="0008041B" w:rsidRDefault="0008041B" w:rsidP="00C91A36">
      <w:pPr>
        <w:spacing w:line="480" w:lineRule="auto"/>
        <w:rPr>
          <w:rFonts w:eastAsiaTheme="minorEastAsia"/>
          <w:b/>
          <w:sz w:val="20"/>
          <w:szCs w:val="20"/>
          <w:lang w:val="en-US"/>
        </w:rPr>
      </w:pPr>
    </w:p>
    <w:p w14:paraId="22CCAE25" w14:textId="77777777" w:rsidR="0008041B" w:rsidRDefault="0008041B" w:rsidP="00C91A36">
      <w:pPr>
        <w:spacing w:line="480" w:lineRule="auto"/>
        <w:rPr>
          <w:rFonts w:eastAsiaTheme="minorEastAsia"/>
          <w:b/>
          <w:sz w:val="20"/>
          <w:szCs w:val="20"/>
          <w:lang w:val="en-US"/>
        </w:rPr>
      </w:pPr>
    </w:p>
    <w:p w14:paraId="21418F5E" w14:textId="77777777" w:rsidR="0008041B" w:rsidRDefault="0008041B" w:rsidP="00C91A36">
      <w:pPr>
        <w:spacing w:line="480" w:lineRule="auto"/>
        <w:rPr>
          <w:rFonts w:eastAsiaTheme="minorEastAsia"/>
          <w:b/>
          <w:sz w:val="20"/>
          <w:szCs w:val="20"/>
          <w:lang w:val="en-US"/>
        </w:rPr>
      </w:pPr>
    </w:p>
    <w:p w14:paraId="6B25DF63" w14:textId="77777777" w:rsidR="0008041B" w:rsidRDefault="0008041B" w:rsidP="00C91A36">
      <w:pPr>
        <w:spacing w:line="480" w:lineRule="auto"/>
        <w:rPr>
          <w:rFonts w:eastAsiaTheme="minorEastAsia"/>
          <w:b/>
          <w:sz w:val="20"/>
          <w:szCs w:val="20"/>
          <w:lang w:val="en-US"/>
        </w:rPr>
      </w:pPr>
    </w:p>
    <w:p w14:paraId="26F7DBCB" w14:textId="77777777" w:rsidR="0008041B" w:rsidRDefault="0008041B" w:rsidP="00C91A36">
      <w:pPr>
        <w:spacing w:line="480" w:lineRule="auto"/>
        <w:rPr>
          <w:rFonts w:eastAsiaTheme="minorEastAsia"/>
          <w:b/>
          <w:sz w:val="20"/>
          <w:szCs w:val="20"/>
          <w:lang w:val="en-US"/>
        </w:rPr>
      </w:pPr>
      <w:r>
        <w:rPr>
          <w:rFonts w:eastAsiaTheme="minorEastAsia"/>
          <w:b/>
          <w:noProof/>
          <w:sz w:val="20"/>
          <w:szCs w:val="20"/>
          <w:lang w:val="it-IT" w:eastAsia="it-IT"/>
        </w:rPr>
        <w:drawing>
          <wp:inline distT="0" distB="0" distL="0" distR="0" wp14:anchorId="7E07119D" wp14:editId="703BB50F">
            <wp:extent cx="5977171" cy="321945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ry_Figure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87831" cy="3225192"/>
                    </a:xfrm>
                    <a:prstGeom prst="rect">
                      <a:avLst/>
                    </a:prstGeom>
                  </pic:spPr>
                </pic:pic>
              </a:graphicData>
            </a:graphic>
          </wp:inline>
        </w:drawing>
      </w:r>
    </w:p>
    <w:p w14:paraId="0DB7B3EB" w14:textId="77777777" w:rsidR="0008041B" w:rsidRDefault="0008041B">
      <w:pPr>
        <w:spacing w:after="160" w:line="259" w:lineRule="auto"/>
        <w:rPr>
          <w:rFonts w:eastAsiaTheme="minorEastAsia"/>
          <w:b/>
          <w:sz w:val="20"/>
          <w:szCs w:val="20"/>
          <w:lang w:val="en-US"/>
        </w:rPr>
      </w:pPr>
      <w:r>
        <w:rPr>
          <w:rFonts w:eastAsiaTheme="minorEastAsia"/>
          <w:b/>
          <w:sz w:val="20"/>
          <w:szCs w:val="20"/>
          <w:lang w:val="en-US"/>
        </w:rPr>
        <w:br w:type="page"/>
      </w:r>
    </w:p>
    <w:p w14:paraId="5B7E088C" w14:textId="712ACFA4" w:rsidR="00F54CBE" w:rsidRPr="00754FF2" w:rsidRDefault="00C91A36" w:rsidP="00F54CBE">
      <w:pPr>
        <w:spacing w:line="480" w:lineRule="auto"/>
        <w:rPr>
          <w:rFonts w:eastAsiaTheme="minorEastAsia"/>
          <w:sz w:val="20"/>
          <w:szCs w:val="20"/>
          <w:lang w:val="en-US"/>
        </w:rPr>
      </w:pPr>
      <w:r w:rsidRPr="00754FF2">
        <w:rPr>
          <w:rFonts w:eastAsiaTheme="minorEastAsia"/>
          <w:b/>
          <w:bCs/>
          <w:sz w:val="20"/>
          <w:szCs w:val="20"/>
          <w:lang w:val="en-US"/>
        </w:rPr>
        <w:lastRenderedPageBreak/>
        <w:t>Supplementary Table 1.</w:t>
      </w:r>
      <w:r w:rsidRPr="00754FF2">
        <w:rPr>
          <w:rFonts w:eastAsiaTheme="minorEastAsia"/>
          <w:sz w:val="20"/>
          <w:szCs w:val="20"/>
          <w:lang w:val="en-US"/>
        </w:rPr>
        <w:t xml:space="preserve"> </w:t>
      </w:r>
      <w:r w:rsidR="00F54CBE">
        <w:rPr>
          <w:rFonts w:eastAsiaTheme="minorEastAsia"/>
          <w:sz w:val="20"/>
          <w:szCs w:val="20"/>
          <w:lang w:val="en-US"/>
        </w:rPr>
        <w:t xml:space="preserve">Demographic data for MELAS and MSS patient </w:t>
      </w:r>
      <w:r w:rsidR="00E63E2C">
        <w:rPr>
          <w:rFonts w:eastAsiaTheme="minorEastAsia"/>
          <w:sz w:val="20"/>
          <w:szCs w:val="20"/>
          <w:lang w:val="en-US"/>
        </w:rPr>
        <w:t>and healthy c</w:t>
      </w:r>
      <w:r w:rsidR="00F54CBE">
        <w:rPr>
          <w:rFonts w:eastAsiaTheme="minorEastAsia"/>
          <w:sz w:val="20"/>
          <w:szCs w:val="20"/>
          <w:lang w:val="en-US"/>
        </w:rPr>
        <w:t>ontrol subgroups are reported</w:t>
      </w:r>
      <w:r w:rsidR="00F54CBE" w:rsidRPr="00754FF2">
        <w:rPr>
          <w:rFonts w:eastAsiaTheme="minorEastAsia"/>
          <w:sz w:val="20"/>
          <w:szCs w:val="20"/>
          <w:lang w:val="en-US"/>
        </w:rPr>
        <w:t xml:space="preserve"> for each </w:t>
      </w:r>
      <w:r w:rsidR="00F54CBE" w:rsidRPr="00754FF2">
        <w:rPr>
          <w:rFonts w:eastAsiaTheme="minorEastAsia"/>
          <w:sz w:val="20"/>
          <w:szCs w:val="20"/>
          <w:vertAlign w:val="superscript"/>
          <w:lang w:val="en-US"/>
        </w:rPr>
        <w:t>1</w:t>
      </w:r>
      <w:r w:rsidR="00F54CBE" w:rsidRPr="00754FF2">
        <w:rPr>
          <w:rFonts w:eastAsiaTheme="minorEastAsia"/>
          <w:sz w:val="20"/>
          <w:szCs w:val="20"/>
          <w:lang w:val="en-US"/>
        </w:rPr>
        <w:t xml:space="preserve">H-MRS localization. </w:t>
      </w:r>
    </w:p>
    <w:p w14:paraId="0D1ADC52" w14:textId="77777777" w:rsidR="00F54CBE" w:rsidRDefault="00F54CBE" w:rsidP="00C91A36">
      <w:pPr>
        <w:spacing w:line="480" w:lineRule="auto"/>
        <w:rPr>
          <w:rFonts w:eastAsiaTheme="minorEastAsia"/>
          <w:sz w:val="20"/>
          <w:szCs w:val="20"/>
          <w:lang w:val="en-US"/>
        </w:rPr>
      </w:pPr>
    </w:p>
    <w:p w14:paraId="5A82FA1F" w14:textId="73F36A0D" w:rsidR="00C91A36" w:rsidRPr="00754FF2" w:rsidRDefault="00C91A36" w:rsidP="00C91A36">
      <w:pPr>
        <w:spacing w:line="480" w:lineRule="auto"/>
        <w:rPr>
          <w:rFonts w:eastAsiaTheme="minorEastAsia"/>
          <w:sz w:val="20"/>
          <w:szCs w:val="20"/>
          <w:lang w:val="en-US"/>
        </w:rPr>
      </w:pPr>
      <w:bookmarkStart w:id="0" w:name="_GoBack"/>
      <w:bookmarkEnd w:id="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2552"/>
        <w:gridCol w:w="1837"/>
        <w:gridCol w:w="1281"/>
        <w:gridCol w:w="2263"/>
      </w:tblGrid>
      <w:tr w:rsidR="00C91A36" w:rsidRPr="00754FF2" w14:paraId="38B1F66C" w14:textId="77777777" w:rsidTr="0016461A">
        <w:trPr>
          <w:trHeight w:val="735"/>
        </w:trPr>
        <w:tc>
          <w:tcPr>
            <w:tcW w:w="1276" w:type="dxa"/>
            <w:shd w:val="clear" w:color="auto" w:fill="auto"/>
            <w:noWrap/>
            <w:vAlign w:val="center"/>
            <w:hideMark/>
          </w:tcPr>
          <w:p w14:paraId="6DC26A46" w14:textId="77777777" w:rsidR="00C91A36" w:rsidRPr="00754FF2" w:rsidRDefault="00C91A36" w:rsidP="005A4AC0">
            <w:pPr>
              <w:spacing w:line="480" w:lineRule="auto"/>
              <w:rPr>
                <w:b/>
                <w:bCs/>
                <w:i/>
                <w:iCs/>
                <w:color w:val="000000"/>
                <w:sz w:val="20"/>
                <w:szCs w:val="20"/>
                <w:lang w:val="en-US" w:eastAsia="it-IT"/>
              </w:rPr>
            </w:pPr>
          </w:p>
        </w:tc>
        <w:tc>
          <w:tcPr>
            <w:tcW w:w="2552" w:type="dxa"/>
            <w:shd w:val="clear" w:color="auto" w:fill="E7E6E6" w:themeFill="background2"/>
            <w:noWrap/>
            <w:vAlign w:val="center"/>
            <w:hideMark/>
          </w:tcPr>
          <w:p w14:paraId="5673F8AA" w14:textId="77777777" w:rsidR="00C91A36" w:rsidRPr="00754FF2" w:rsidRDefault="00C91A36" w:rsidP="005A4AC0">
            <w:pPr>
              <w:spacing w:line="480" w:lineRule="auto"/>
              <w:rPr>
                <w:b/>
                <w:bCs/>
                <w:i/>
                <w:iCs/>
                <w:color w:val="000000"/>
                <w:sz w:val="20"/>
                <w:szCs w:val="20"/>
                <w:lang w:val="en-US" w:eastAsia="it-IT"/>
              </w:rPr>
            </w:pPr>
            <w:r w:rsidRPr="00754FF2">
              <w:rPr>
                <w:b/>
                <w:bCs/>
                <w:i/>
                <w:iCs/>
                <w:color w:val="000000"/>
                <w:sz w:val="20"/>
                <w:szCs w:val="20"/>
                <w:lang w:val="en-US" w:eastAsia="it-IT"/>
              </w:rPr>
              <w:t>MELAS</w:t>
            </w:r>
            <w:r w:rsidR="00A75CEA">
              <w:rPr>
                <w:b/>
                <w:bCs/>
                <w:i/>
                <w:iCs/>
                <w:color w:val="000000"/>
                <w:sz w:val="20"/>
                <w:szCs w:val="20"/>
                <w:lang w:val="en-US" w:eastAsia="it-IT"/>
              </w:rPr>
              <w:t xml:space="preserve"> and MSS</w:t>
            </w:r>
            <w:r w:rsidR="00F54CBE">
              <w:rPr>
                <w:b/>
                <w:bCs/>
                <w:i/>
                <w:iCs/>
                <w:color w:val="000000"/>
                <w:sz w:val="20"/>
                <w:szCs w:val="20"/>
                <w:lang w:val="en-US" w:eastAsia="it-IT"/>
              </w:rPr>
              <w:t xml:space="preserve"> patients</w:t>
            </w:r>
          </w:p>
        </w:tc>
        <w:tc>
          <w:tcPr>
            <w:tcW w:w="1837" w:type="dxa"/>
            <w:shd w:val="clear" w:color="auto" w:fill="E7E6E6" w:themeFill="background2"/>
            <w:noWrap/>
            <w:vAlign w:val="center"/>
            <w:hideMark/>
          </w:tcPr>
          <w:p w14:paraId="3A1767B4" w14:textId="6F421866" w:rsidR="00C91A36" w:rsidRPr="00754FF2" w:rsidRDefault="0016461A" w:rsidP="005A4AC0">
            <w:pPr>
              <w:spacing w:line="480" w:lineRule="auto"/>
              <w:rPr>
                <w:b/>
                <w:bCs/>
                <w:i/>
                <w:iCs/>
                <w:color w:val="000000"/>
                <w:sz w:val="20"/>
                <w:szCs w:val="20"/>
                <w:lang w:val="en-US" w:eastAsia="it-IT"/>
              </w:rPr>
            </w:pPr>
            <w:r>
              <w:rPr>
                <w:b/>
                <w:bCs/>
                <w:i/>
                <w:iCs/>
                <w:color w:val="000000"/>
                <w:sz w:val="20"/>
                <w:szCs w:val="20"/>
                <w:lang w:val="en-US" w:eastAsia="it-IT"/>
              </w:rPr>
              <w:t xml:space="preserve">Healthy </w:t>
            </w:r>
            <w:r w:rsidR="00C91A36" w:rsidRPr="00754FF2">
              <w:rPr>
                <w:b/>
                <w:bCs/>
                <w:i/>
                <w:iCs/>
                <w:color w:val="000000"/>
                <w:sz w:val="20"/>
                <w:szCs w:val="20"/>
                <w:lang w:val="en-US" w:eastAsia="it-IT"/>
              </w:rPr>
              <w:t>Controls</w:t>
            </w:r>
          </w:p>
        </w:tc>
        <w:tc>
          <w:tcPr>
            <w:tcW w:w="1281" w:type="dxa"/>
            <w:shd w:val="clear" w:color="auto" w:fill="E7E6E6" w:themeFill="background2"/>
            <w:noWrap/>
            <w:vAlign w:val="center"/>
            <w:hideMark/>
          </w:tcPr>
          <w:p w14:paraId="1A817AB1" w14:textId="77777777" w:rsidR="00A75CEA" w:rsidRPr="00754FF2" w:rsidRDefault="00A75CEA" w:rsidP="005A4AC0">
            <w:pPr>
              <w:spacing w:line="480" w:lineRule="auto"/>
              <w:rPr>
                <w:b/>
                <w:bCs/>
                <w:i/>
                <w:iCs/>
                <w:color w:val="000000"/>
                <w:sz w:val="20"/>
                <w:szCs w:val="20"/>
                <w:lang w:val="en-US" w:eastAsia="it-IT"/>
              </w:rPr>
            </w:pPr>
            <w:r>
              <w:rPr>
                <w:b/>
                <w:bCs/>
                <w:i/>
                <w:iCs/>
                <w:color w:val="000000"/>
                <w:sz w:val="20"/>
                <w:szCs w:val="20"/>
                <w:lang w:val="en-US" w:eastAsia="it-IT"/>
              </w:rPr>
              <w:t>MSS</w:t>
            </w:r>
            <w:r w:rsidR="00F54CBE">
              <w:rPr>
                <w:b/>
                <w:bCs/>
                <w:i/>
                <w:iCs/>
                <w:color w:val="000000"/>
                <w:sz w:val="20"/>
                <w:szCs w:val="20"/>
                <w:lang w:val="en-US" w:eastAsia="it-IT"/>
              </w:rPr>
              <w:t xml:space="preserve"> patients</w:t>
            </w:r>
            <w:r>
              <w:rPr>
                <w:b/>
                <w:bCs/>
                <w:i/>
                <w:iCs/>
                <w:color w:val="000000"/>
                <w:sz w:val="20"/>
                <w:szCs w:val="20"/>
                <w:lang w:val="en-US" w:eastAsia="it-IT"/>
              </w:rPr>
              <w:t xml:space="preserve"> </w:t>
            </w:r>
          </w:p>
        </w:tc>
        <w:tc>
          <w:tcPr>
            <w:tcW w:w="2263" w:type="dxa"/>
            <w:shd w:val="clear" w:color="auto" w:fill="E7E6E6" w:themeFill="background2"/>
            <w:noWrap/>
            <w:vAlign w:val="center"/>
            <w:hideMark/>
          </w:tcPr>
          <w:p w14:paraId="744C930B" w14:textId="1E48AE7D" w:rsidR="00C91A36" w:rsidRPr="00754FF2" w:rsidRDefault="0016461A" w:rsidP="005A4AC0">
            <w:pPr>
              <w:spacing w:line="480" w:lineRule="auto"/>
              <w:rPr>
                <w:b/>
                <w:bCs/>
                <w:i/>
                <w:iCs/>
                <w:color w:val="000000"/>
                <w:sz w:val="20"/>
                <w:szCs w:val="20"/>
                <w:lang w:val="en-US" w:eastAsia="it-IT"/>
              </w:rPr>
            </w:pPr>
            <w:r>
              <w:rPr>
                <w:b/>
                <w:bCs/>
                <w:i/>
                <w:iCs/>
                <w:color w:val="000000"/>
                <w:sz w:val="20"/>
                <w:szCs w:val="20"/>
                <w:lang w:val="en-US" w:eastAsia="it-IT"/>
              </w:rPr>
              <w:t xml:space="preserve">Healthy </w:t>
            </w:r>
            <w:r w:rsidR="00C91A36" w:rsidRPr="00754FF2">
              <w:rPr>
                <w:b/>
                <w:bCs/>
                <w:i/>
                <w:iCs/>
                <w:color w:val="000000"/>
                <w:sz w:val="20"/>
                <w:szCs w:val="20"/>
                <w:lang w:val="en-US" w:eastAsia="it-IT"/>
              </w:rPr>
              <w:t>Controls</w:t>
            </w:r>
          </w:p>
        </w:tc>
      </w:tr>
      <w:tr w:rsidR="00C91A36" w:rsidRPr="00754FF2" w14:paraId="54A781D8" w14:textId="77777777" w:rsidTr="0016461A">
        <w:trPr>
          <w:trHeight w:val="405"/>
        </w:trPr>
        <w:tc>
          <w:tcPr>
            <w:tcW w:w="1276" w:type="dxa"/>
            <w:shd w:val="clear" w:color="auto" w:fill="auto"/>
            <w:noWrap/>
            <w:vAlign w:val="center"/>
            <w:hideMark/>
          </w:tcPr>
          <w:p w14:paraId="1E475697" w14:textId="77777777" w:rsidR="00C91A36" w:rsidRPr="00ED2A7E" w:rsidRDefault="00C91A36" w:rsidP="005A4AC0">
            <w:pPr>
              <w:spacing w:line="480" w:lineRule="auto"/>
              <w:rPr>
                <w:color w:val="000000"/>
                <w:sz w:val="20"/>
                <w:szCs w:val="20"/>
                <w:lang w:val="en-US" w:eastAsia="it-IT"/>
              </w:rPr>
            </w:pPr>
            <w:r w:rsidRPr="00ED2A7E">
              <w:rPr>
                <w:color w:val="000000"/>
                <w:sz w:val="20"/>
                <w:szCs w:val="20"/>
                <w:lang w:val="en-US" w:eastAsia="it-IT"/>
              </w:rPr>
              <w:t> </w:t>
            </w:r>
          </w:p>
        </w:tc>
        <w:tc>
          <w:tcPr>
            <w:tcW w:w="7933" w:type="dxa"/>
            <w:gridSpan w:val="4"/>
            <w:shd w:val="clear" w:color="auto" w:fill="auto"/>
            <w:noWrap/>
            <w:vAlign w:val="center"/>
            <w:hideMark/>
          </w:tcPr>
          <w:p w14:paraId="31D1B207" w14:textId="77777777" w:rsidR="00C91A36" w:rsidRPr="00754FF2" w:rsidRDefault="00C91A36" w:rsidP="005A4AC0">
            <w:pPr>
              <w:spacing w:line="480" w:lineRule="auto"/>
              <w:rPr>
                <w:i/>
                <w:iCs/>
                <w:color w:val="000000"/>
                <w:sz w:val="20"/>
                <w:szCs w:val="20"/>
                <w:lang w:val="en-US" w:eastAsia="it-IT"/>
              </w:rPr>
            </w:pPr>
            <w:r w:rsidRPr="00754FF2">
              <w:rPr>
                <w:i/>
                <w:iCs/>
                <w:color w:val="000000"/>
                <w:sz w:val="20"/>
                <w:szCs w:val="20"/>
                <w:lang w:val="en-US" w:eastAsia="it-IT"/>
              </w:rPr>
              <w:t>MPOC</w:t>
            </w:r>
          </w:p>
        </w:tc>
      </w:tr>
      <w:tr w:rsidR="00C91A36" w:rsidRPr="00754FF2" w14:paraId="6AB303B8" w14:textId="77777777" w:rsidTr="0016461A">
        <w:trPr>
          <w:trHeight w:val="405"/>
        </w:trPr>
        <w:tc>
          <w:tcPr>
            <w:tcW w:w="1276" w:type="dxa"/>
            <w:shd w:val="clear" w:color="auto" w:fill="auto"/>
            <w:noWrap/>
            <w:vAlign w:val="center"/>
            <w:hideMark/>
          </w:tcPr>
          <w:p w14:paraId="392D2A5D" w14:textId="77777777" w:rsidR="00C91A36" w:rsidRPr="00ED2A7E" w:rsidRDefault="00C91A36" w:rsidP="005A4AC0">
            <w:pPr>
              <w:spacing w:line="480" w:lineRule="auto"/>
              <w:rPr>
                <w:i/>
                <w:iCs/>
                <w:color w:val="000000"/>
                <w:sz w:val="20"/>
                <w:szCs w:val="20"/>
                <w:lang w:val="en-US" w:eastAsia="it-IT"/>
              </w:rPr>
            </w:pPr>
            <w:r w:rsidRPr="00ED2A7E">
              <w:rPr>
                <w:i/>
                <w:iCs/>
                <w:color w:val="000000"/>
                <w:sz w:val="20"/>
                <w:szCs w:val="20"/>
                <w:lang w:val="en-US" w:eastAsia="it-IT"/>
              </w:rPr>
              <w:t>N (M/F)</w:t>
            </w:r>
          </w:p>
        </w:tc>
        <w:tc>
          <w:tcPr>
            <w:tcW w:w="2552" w:type="dxa"/>
            <w:shd w:val="clear" w:color="auto" w:fill="auto"/>
            <w:noWrap/>
            <w:vAlign w:val="center"/>
            <w:hideMark/>
          </w:tcPr>
          <w:p w14:paraId="14BF0509" w14:textId="77777777" w:rsidR="00C91A36" w:rsidRPr="00754FF2" w:rsidRDefault="00C91A36" w:rsidP="005A4AC0">
            <w:pPr>
              <w:spacing w:line="480" w:lineRule="auto"/>
              <w:rPr>
                <w:i/>
                <w:iCs/>
                <w:color w:val="000000"/>
                <w:sz w:val="20"/>
                <w:szCs w:val="20"/>
                <w:lang w:val="en-US" w:eastAsia="it-IT"/>
              </w:rPr>
            </w:pPr>
            <w:r w:rsidRPr="00754FF2">
              <w:rPr>
                <w:i/>
                <w:iCs/>
                <w:color w:val="000000"/>
                <w:sz w:val="20"/>
                <w:szCs w:val="20"/>
                <w:lang w:val="en-US" w:eastAsia="it-IT"/>
              </w:rPr>
              <w:t>17 (9/8)</w:t>
            </w:r>
          </w:p>
        </w:tc>
        <w:tc>
          <w:tcPr>
            <w:tcW w:w="1837" w:type="dxa"/>
            <w:shd w:val="clear" w:color="auto" w:fill="auto"/>
            <w:noWrap/>
            <w:vAlign w:val="center"/>
            <w:hideMark/>
          </w:tcPr>
          <w:p w14:paraId="7F30D62D" w14:textId="77777777" w:rsidR="00C91A36" w:rsidRPr="00754FF2" w:rsidRDefault="00C91A36" w:rsidP="005A4AC0">
            <w:pPr>
              <w:spacing w:line="480" w:lineRule="auto"/>
              <w:rPr>
                <w:i/>
                <w:iCs/>
                <w:color w:val="000000"/>
                <w:sz w:val="20"/>
                <w:szCs w:val="20"/>
                <w:lang w:val="en-US" w:eastAsia="it-IT"/>
              </w:rPr>
            </w:pPr>
            <w:r w:rsidRPr="00754FF2">
              <w:rPr>
                <w:i/>
                <w:iCs/>
                <w:color w:val="000000"/>
                <w:sz w:val="20"/>
                <w:szCs w:val="20"/>
                <w:lang w:val="en-US" w:eastAsia="it-IT"/>
              </w:rPr>
              <w:t>17 (9/8)</w:t>
            </w:r>
          </w:p>
        </w:tc>
        <w:tc>
          <w:tcPr>
            <w:tcW w:w="1281" w:type="dxa"/>
            <w:shd w:val="clear" w:color="auto" w:fill="auto"/>
            <w:noWrap/>
            <w:vAlign w:val="center"/>
            <w:hideMark/>
          </w:tcPr>
          <w:p w14:paraId="0F956720"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14 (8/6)</w:t>
            </w:r>
          </w:p>
        </w:tc>
        <w:tc>
          <w:tcPr>
            <w:tcW w:w="2263" w:type="dxa"/>
            <w:shd w:val="clear" w:color="auto" w:fill="auto"/>
            <w:noWrap/>
            <w:vAlign w:val="center"/>
            <w:hideMark/>
          </w:tcPr>
          <w:p w14:paraId="71A1E3F4"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14 (8/6)</w:t>
            </w:r>
          </w:p>
        </w:tc>
      </w:tr>
      <w:tr w:rsidR="00C91A36" w:rsidRPr="00754FF2" w14:paraId="5609A453" w14:textId="77777777" w:rsidTr="0016461A">
        <w:trPr>
          <w:trHeight w:val="480"/>
        </w:trPr>
        <w:tc>
          <w:tcPr>
            <w:tcW w:w="1276" w:type="dxa"/>
            <w:shd w:val="clear" w:color="auto" w:fill="auto"/>
            <w:noWrap/>
            <w:vAlign w:val="center"/>
            <w:hideMark/>
          </w:tcPr>
          <w:p w14:paraId="70A2A240" w14:textId="77777777" w:rsidR="00C91A36" w:rsidRPr="00ED2A7E" w:rsidRDefault="00C91A36" w:rsidP="005A4AC0">
            <w:pPr>
              <w:spacing w:line="480" w:lineRule="auto"/>
              <w:rPr>
                <w:color w:val="000000"/>
                <w:sz w:val="20"/>
                <w:szCs w:val="20"/>
                <w:lang w:val="en-US" w:eastAsia="it-IT"/>
              </w:rPr>
            </w:pPr>
            <w:r w:rsidRPr="00ED2A7E">
              <w:rPr>
                <w:color w:val="000000"/>
                <w:sz w:val="20"/>
                <w:szCs w:val="20"/>
                <w:lang w:val="en-US" w:eastAsia="it-IT"/>
              </w:rPr>
              <w:t>Age (years)</w:t>
            </w:r>
          </w:p>
        </w:tc>
        <w:tc>
          <w:tcPr>
            <w:tcW w:w="2552" w:type="dxa"/>
            <w:shd w:val="clear" w:color="auto" w:fill="auto"/>
            <w:noWrap/>
            <w:vAlign w:val="center"/>
            <w:hideMark/>
          </w:tcPr>
          <w:p w14:paraId="2A376D7C"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 xml:space="preserve">43.2 ± 12.4 </w:t>
            </w:r>
          </w:p>
        </w:tc>
        <w:tc>
          <w:tcPr>
            <w:tcW w:w="1837" w:type="dxa"/>
            <w:shd w:val="clear" w:color="auto" w:fill="auto"/>
            <w:noWrap/>
            <w:vAlign w:val="center"/>
            <w:hideMark/>
          </w:tcPr>
          <w:p w14:paraId="2B6FE7D1"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43.8 ± 11.6</w:t>
            </w:r>
          </w:p>
        </w:tc>
        <w:tc>
          <w:tcPr>
            <w:tcW w:w="1281" w:type="dxa"/>
            <w:shd w:val="clear" w:color="auto" w:fill="auto"/>
            <w:noWrap/>
            <w:vAlign w:val="center"/>
            <w:hideMark/>
          </w:tcPr>
          <w:p w14:paraId="7F1D187C"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42.9 ± 12.1</w:t>
            </w:r>
          </w:p>
        </w:tc>
        <w:tc>
          <w:tcPr>
            <w:tcW w:w="2263" w:type="dxa"/>
            <w:shd w:val="clear" w:color="auto" w:fill="auto"/>
            <w:noWrap/>
            <w:vAlign w:val="center"/>
            <w:hideMark/>
          </w:tcPr>
          <w:p w14:paraId="1A414BE7"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43.8 ± 11.4</w:t>
            </w:r>
          </w:p>
        </w:tc>
      </w:tr>
      <w:tr w:rsidR="00C91A36" w:rsidRPr="00754FF2" w14:paraId="29B64B83" w14:textId="77777777" w:rsidTr="0016461A">
        <w:trPr>
          <w:trHeight w:val="435"/>
        </w:trPr>
        <w:tc>
          <w:tcPr>
            <w:tcW w:w="1276" w:type="dxa"/>
            <w:shd w:val="clear" w:color="auto" w:fill="auto"/>
            <w:noWrap/>
            <w:vAlign w:val="center"/>
            <w:hideMark/>
          </w:tcPr>
          <w:p w14:paraId="4AF1E1F6" w14:textId="77777777" w:rsidR="00C91A36" w:rsidRPr="00ED2A7E" w:rsidRDefault="00C91A36" w:rsidP="005A4AC0">
            <w:pPr>
              <w:spacing w:line="480" w:lineRule="auto"/>
              <w:rPr>
                <w:color w:val="000000"/>
                <w:sz w:val="20"/>
                <w:szCs w:val="20"/>
                <w:lang w:val="en-US" w:eastAsia="it-IT"/>
              </w:rPr>
            </w:pPr>
            <w:r w:rsidRPr="00ED2A7E">
              <w:rPr>
                <w:color w:val="000000"/>
                <w:sz w:val="20"/>
                <w:szCs w:val="20"/>
                <w:lang w:val="en-US" w:eastAsia="it-IT"/>
              </w:rPr>
              <w:t> </w:t>
            </w:r>
          </w:p>
        </w:tc>
        <w:tc>
          <w:tcPr>
            <w:tcW w:w="7933" w:type="dxa"/>
            <w:gridSpan w:val="4"/>
            <w:shd w:val="clear" w:color="auto" w:fill="auto"/>
            <w:noWrap/>
            <w:vAlign w:val="center"/>
            <w:hideMark/>
          </w:tcPr>
          <w:p w14:paraId="3C768417" w14:textId="77777777" w:rsidR="00C91A36" w:rsidRPr="00754FF2" w:rsidRDefault="00C91A36" w:rsidP="005A4AC0">
            <w:pPr>
              <w:spacing w:line="480" w:lineRule="auto"/>
              <w:rPr>
                <w:i/>
                <w:iCs/>
                <w:color w:val="000000"/>
                <w:sz w:val="20"/>
                <w:szCs w:val="20"/>
                <w:lang w:val="en-US" w:eastAsia="it-IT"/>
              </w:rPr>
            </w:pPr>
            <w:r w:rsidRPr="00754FF2">
              <w:rPr>
                <w:i/>
                <w:iCs/>
                <w:color w:val="000000"/>
                <w:sz w:val="20"/>
                <w:szCs w:val="20"/>
                <w:lang w:val="en-US" w:eastAsia="it-IT"/>
              </w:rPr>
              <w:t>POWM</w:t>
            </w:r>
          </w:p>
        </w:tc>
      </w:tr>
      <w:tr w:rsidR="00C91A36" w:rsidRPr="00754FF2" w14:paraId="1DFF4474" w14:textId="77777777" w:rsidTr="0016461A">
        <w:trPr>
          <w:trHeight w:val="480"/>
        </w:trPr>
        <w:tc>
          <w:tcPr>
            <w:tcW w:w="1276" w:type="dxa"/>
            <w:shd w:val="clear" w:color="auto" w:fill="auto"/>
            <w:noWrap/>
            <w:vAlign w:val="center"/>
            <w:hideMark/>
          </w:tcPr>
          <w:p w14:paraId="517B9C4F" w14:textId="77777777" w:rsidR="00C91A36" w:rsidRPr="00ED2A7E" w:rsidRDefault="00C91A36" w:rsidP="005A4AC0">
            <w:pPr>
              <w:spacing w:line="480" w:lineRule="auto"/>
              <w:rPr>
                <w:i/>
                <w:iCs/>
                <w:color w:val="000000"/>
                <w:sz w:val="20"/>
                <w:szCs w:val="20"/>
                <w:lang w:val="en-US" w:eastAsia="it-IT"/>
              </w:rPr>
            </w:pPr>
            <w:r w:rsidRPr="00ED2A7E">
              <w:rPr>
                <w:i/>
                <w:iCs/>
                <w:color w:val="000000"/>
                <w:sz w:val="20"/>
                <w:szCs w:val="20"/>
                <w:lang w:val="en-US" w:eastAsia="it-IT"/>
              </w:rPr>
              <w:t>N (M/F)</w:t>
            </w:r>
          </w:p>
        </w:tc>
        <w:tc>
          <w:tcPr>
            <w:tcW w:w="2552" w:type="dxa"/>
            <w:shd w:val="clear" w:color="auto" w:fill="auto"/>
            <w:noWrap/>
            <w:vAlign w:val="center"/>
            <w:hideMark/>
          </w:tcPr>
          <w:p w14:paraId="0E2853A0"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21 (12/9)</w:t>
            </w:r>
          </w:p>
        </w:tc>
        <w:tc>
          <w:tcPr>
            <w:tcW w:w="1837" w:type="dxa"/>
            <w:shd w:val="clear" w:color="auto" w:fill="auto"/>
            <w:noWrap/>
            <w:vAlign w:val="center"/>
            <w:hideMark/>
          </w:tcPr>
          <w:p w14:paraId="3C1CDB32"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21 (12/9)</w:t>
            </w:r>
          </w:p>
        </w:tc>
        <w:tc>
          <w:tcPr>
            <w:tcW w:w="1281" w:type="dxa"/>
            <w:shd w:val="clear" w:color="auto" w:fill="auto"/>
            <w:noWrap/>
            <w:vAlign w:val="center"/>
            <w:hideMark/>
          </w:tcPr>
          <w:p w14:paraId="3A11DE3D"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17 (10/7)</w:t>
            </w:r>
          </w:p>
        </w:tc>
        <w:tc>
          <w:tcPr>
            <w:tcW w:w="2263" w:type="dxa"/>
            <w:shd w:val="clear" w:color="auto" w:fill="auto"/>
            <w:noWrap/>
            <w:vAlign w:val="center"/>
            <w:hideMark/>
          </w:tcPr>
          <w:p w14:paraId="5A87922A"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17 (10/7)</w:t>
            </w:r>
          </w:p>
        </w:tc>
      </w:tr>
      <w:tr w:rsidR="00C91A36" w:rsidRPr="00754FF2" w14:paraId="5A19DDC8" w14:textId="77777777" w:rsidTr="0016461A">
        <w:trPr>
          <w:trHeight w:val="480"/>
        </w:trPr>
        <w:tc>
          <w:tcPr>
            <w:tcW w:w="1276" w:type="dxa"/>
            <w:shd w:val="clear" w:color="auto" w:fill="auto"/>
            <w:noWrap/>
            <w:vAlign w:val="center"/>
            <w:hideMark/>
          </w:tcPr>
          <w:p w14:paraId="64F1DEE5" w14:textId="77777777" w:rsidR="00C91A36" w:rsidRPr="00ED2A7E" w:rsidRDefault="00C91A36" w:rsidP="005A4AC0">
            <w:pPr>
              <w:spacing w:line="480" w:lineRule="auto"/>
              <w:rPr>
                <w:color w:val="000000"/>
                <w:sz w:val="20"/>
                <w:szCs w:val="20"/>
                <w:lang w:val="en-US" w:eastAsia="it-IT"/>
              </w:rPr>
            </w:pPr>
            <w:r w:rsidRPr="00ED2A7E">
              <w:rPr>
                <w:color w:val="000000"/>
                <w:sz w:val="20"/>
                <w:szCs w:val="20"/>
                <w:lang w:val="en-US" w:eastAsia="it-IT"/>
              </w:rPr>
              <w:t>Age (years)</w:t>
            </w:r>
          </w:p>
        </w:tc>
        <w:tc>
          <w:tcPr>
            <w:tcW w:w="2552" w:type="dxa"/>
            <w:shd w:val="clear" w:color="auto" w:fill="auto"/>
            <w:noWrap/>
            <w:vAlign w:val="center"/>
            <w:hideMark/>
          </w:tcPr>
          <w:p w14:paraId="2E00DF58"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42.5 ± 11.4</w:t>
            </w:r>
          </w:p>
        </w:tc>
        <w:tc>
          <w:tcPr>
            <w:tcW w:w="1837" w:type="dxa"/>
            <w:shd w:val="clear" w:color="auto" w:fill="auto"/>
            <w:noWrap/>
            <w:vAlign w:val="center"/>
            <w:hideMark/>
          </w:tcPr>
          <w:p w14:paraId="7284F8E0"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42.1 ± 13.0</w:t>
            </w:r>
          </w:p>
        </w:tc>
        <w:tc>
          <w:tcPr>
            <w:tcW w:w="1281" w:type="dxa"/>
            <w:shd w:val="clear" w:color="auto" w:fill="auto"/>
            <w:noWrap/>
            <w:vAlign w:val="center"/>
            <w:hideMark/>
          </w:tcPr>
          <w:p w14:paraId="724C9545"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43.1 ± 11.1</w:t>
            </w:r>
          </w:p>
        </w:tc>
        <w:tc>
          <w:tcPr>
            <w:tcW w:w="2263" w:type="dxa"/>
            <w:shd w:val="clear" w:color="auto" w:fill="auto"/>
            <w:noWrap/>
            <w:vAlign w:val="center"/>
            <w:hideMark/>
          </w:tcPr>
          <w:p w14:paraId="7F07677B"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42.4 ± 12.9</w:t>
            </w:r>
          </w:p>
        </w:tc>
      </w:tr>
      <w:tr w:rsidR="00C91A36" w:rsidRPr="00754FF2" w14:paraId="1EC78978" w14:textId="77777777" w:rsidTr="0016461A">
        <w:trPr>
          <w:trHeight w:val="405"/>
        </w:trPr>
        <w:tc>
          <w:tcPr>
            <w:tcW w:w="1276" w:type="dxa"/>
            <w:shd w:val="clear" w:color="auto" w:fill="auto"/>
            <w:noWrap/>
            <w:vAlign w:val="center"/>
            <w:hideMark/>
          </w:tcPr>
          <w:p w14:paraId="2D5E247D" w14:textId="77777777" w:rsidR="00C91A36" w:rsidRPr="00ED2A7E" w:rsidRDefault="00C91A36" w:rsidP="005A4AC0">
            <w:pPr>
              <w:spacing w:line="480" w:lineRule="auto"/>
              <w:rPr>
                <w:color w:val="000000"/>
                <w:sz w:val="20"/>
                <w:szCs w:val="20"/>
                <w:lang w:val="en-US" w:eastAsia="it-IT"/>
              </w:rPr>
            </w:pPr>
            <w:r w:rsidRPr="00ED2A7E">
              <w:rPr>
                <w:color w:val="000000"/>
                <w:sz w:val="20"/>
                <w:szCs w:val="20"/>
                <w:lang w:val="en-US" w:eastAsia="it-IT"/>
              </w:rPr>
              <w:t> </w:t>
            </w:r>
          </w:p>
        </w:tc>
        <w:tc>
          <w:tcPr>
            <w:tcW w:w="7933" w:type="dxa"/>
            <w:gridSpan w:val="4"/>
            <w:shd w:val="clear" w:color="auto" w:fill="auto"/>
            <w:noWrap/>
            <w:vAlign w:val="center"/>
            <w:hideMark/>
          </w:tcPr>
          <w:p w14:paraId="0FAA994B" w14:textId="77777777" w:rsidR="00C91A36" w:rsidRPr="00754FF2" w:rsidRDefault="00C91A36" w:rsidP="005A4AC0">
            <w:pPr>
              <w:spacing w:line="480" w:lineRule="auto"/>
              <w:rPr>
                <w:i/>
                <w:iCs/>
                <w:color w:val="000000"/>
                <w:sz w:val="20"/>
                <w:szCs w:val="20"/>
                <w:lang w:val="en-US" w:eastAsia="it-IT"/>
              </w:rPr>
            </w:pPr>
            <w:r w:rsidRPr="00754FF2">
              <w:rPr>
                <w:i/>
                <w:iCs/>
                <w:color w:val="000000"/>
                <w:sz w:val="20"/>
                <w:szCs w:val="20"/>
                <w:lang w:val="en-US" w:eastAsia="it-IT"/>
              </w:rPr>
              <w:t>Cerebellar hemisphere</w:t>
            </w:r>
          </w:p>
        </w:tc>
      </w:tr>
      <w:tr w:rsidR="00C91A36" w:rsidRPr="00754FF2" w14:paraId="391FEF09" w14:textId="77777777" w:rsidTr="0016461A">
        <w:trPr>
          <w:trHeight w:val="480"/>
        </w:trPr>
        <w:tc>
          <w:tcPr>
            <w:tcW w:w="1276" w:type="dxa"/>
            <w:shd w:val="clear" w:color="auto" w:fill="auto"/>
            <w:noWrap/>
            <w:vAlign w:val="center"/>
            <w:hideMark/>
          </w:tcPr>
          <w:p w14:paraId="67F19569" w14:textId="77777777" w:rsidR="00C91A36" w:rsidRPr="00ED2A7E" w:rsidRDefault="00C91A36" w:rsidP="005A4AC0">
            <w:pPr>
              <w:spacing w:line="480" w:lineRule="auto"/>
              <w:rPr>
                <w:i/>
                <w:iCs/>
                <w:color w:val="000000"/>
                <w:sz w:val="20"/>
                <w:szCs w:val="20"/>
                <w:lang w:val="en-US" w:eastAsia="it-IT"/>
              </w:rPr>
            </w:pPr>
            <w:r w:rsidRPr="00ED2A7E">
              <w:rPr>
                <w:i/>
                <w:iCs/>
                <w:color w:val="000000"/>
                <w:sz w:val="20"/>
                <w:szCs w:val="20"/>
                <w:lang w:val="en-US" w:eastAsia="it-IT"/>
              </w:rPr>
              <w:t>N (M/F)</w:t>
            </w:r>
          </w:p>
        </w:tc>
        <w:tc>
          <w:tcPr>
            <w:tcW w:w="2552" w:type="dxa"/>
            <w:shd w:val="clear" w:color="auto" w:fill="auto"/>
            <w:noWrap/>
            <w:vAlign w:val="center"/>
            <w:hideMark/>
          </w:tcPr>
          <w:p w14:paraId="39FDCEA9"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12 (5/7)</w:t>
            </w:r>
          </w:p>
        </w:tc>
        <w:tc>
          <w:tcPr>
            <w:tcW w:w="1837" w:type="dxa"/>
            <w:shd w:val="clear" w:color="auto" w:fill="auto"/>
            <w:noWrap/>
            <w:vAlign w:val="center"/>
            <w:hideMark/>
          </w:tcPr>
          <w:p w14:paraId="58EE0A5A"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12 (5/7)</w:t>
            </w:r>
          </w:p>
        </w:tc>
        <w:tc>
          <w:tcPr>
            <w:tcW w:w="1281" w:type="dxa"/>
            <w:shd w:val="clear" w:color="auto" w:fill="auto"/>
            <w:noWrap/>
            <w:vAlign w:val="center"/>
            <w:hideMark/>
          </w:tcPr>
          <w:p w14:paraId="3F0FFA2F"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10 (4/6)</w:t>
            </w:r>
          </w:p>
        </w:tc>
        <w:tc>
          <w:tcPr>
            <w:tcW w:w="2263" w:type="dxa"/>
            <w:shd w:val="clear" w:color="auto" w:fill="auto"/>
            <w:noWrap/>
            <w:vAlign w:val="center"/>
            <w:hideMark/>
          </w:tcPr>
          <w:p w14:paraId="62FDAE98"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10 (4/6)</w:t>
            </w:r>
          </w:p>
        </w:tc>
      </w:tr>
      <w:tr w:rsidR="00C91A36" w:rsidRPr="00754FF2" w14:paraId="27666A23" w14:textId="77777777" w:rsidTr="0016461A">
        <w:trPr>
          <w:trHeight w:val="480"/>
        </w:trPr>
        <w:tc>
          <w:tcPr>
            <w:tcW w:w="1276" w:type="dxa"/>
            <w:shd w:val="clear" w:color="auto" w:fill="auto"/>
            <w:noWrap/>
            <w:vAlign w:val="center"/>
            <w:hideMark/>
          </w:tcPr>
          <w:p w14:paraId="192202BD" w14:textId="77777777" w:rsidR="00C91A36" w:rsidRPr="00ED2A7E" w:rsidRDefault="00C91A36" w:rsidP="005A4AC0">
            <w:pPr>
              <w:spacing w:line="480" w:lineRule="auto"/>
              <w:rPr>
                <w:color w:val="000000"/>
                <w:sz w:val="20"/>
                <w:szCs w:val="20"/>
                <w:lang w:val="en-US" w:eastAsia="it-IT"/>
              </w:rPr>
            </w:pPr>
            <w:r w:rsidRPr="00ED2A7E">
              <w:rPr>
                <w:color w:val="000000"/>
                <w:sz w:val="20"/>
                <w:szCs w:val="20"/>
                <w:lang w:val="en-US" w:eastAsia="it-IT"/>
              </w:rPr>
              <w:t>Age (years)</w:t>
            </w:r>
          </w:p>
        </w:tc>
        <w:tc>
          <w:tcPr>
            <w:tcW w:w="2552" w:type="dxa"/>
            <w:shd w:val="clear" w:color="auto" w:fill="auto"/>
            <w:noWrap/>
            <w:vAlign w:val="center"/>
            <w:hideMark/>
          </w:tcPr>
          <w:p w14:paraId="48CFD7AA"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44.0 ± 13.3</w:t>
            </w:r>
          </w:p>
        </w:tc>
        <w:tc>
          <w:tcPr>
            <w:tcW w:w="1837" w:type="dxa"/>
            <w:shd w:val="clear" w:color="auto" w:fill="auto"/>
            <w:noWrap/>
            <w:vAlign w:val="center"/>
            <w:hideMark/>
          </w:tcPr>
          <w:p w14:paraId="689167C7"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43.4 ± 14.4</w:t>
            </w:r>
          </w:p>
        </w:tc>
        <w:tc>
          <w:tcPr>
            <w:tcW w:w="1281" w:type="dxa"/>
            <w:shd w:val="clear" w:color="auto" w:fill="auto"/>
            <w:noWrap/>
            <w:vAlign w:val="center"/>
            <w:hideMark/>
          </w:tcPr>
          <w:p w14:paraId="2D472106"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43.4 ± 12.5</w:t>
            </w:r>
          </w:p>
        </w:tc>
        <w:tc>
          <w:tcPr>
            <w:tcW w:w="2263" w:type="dxa"/>
            <w:shd w:val="clear" w:color="auto" w:fill="auto"/>
            <w:noWrap/>
            <w:vAlign w:val="center"/>
            <w:hideMark/>
          </w:tcPr>
          <w:p w14:paraId="1CCAB3F4" w14:textId="77777777" w:rsidR="00C91A36" w:rsidRPr="00754FF2" w:rsidRDefault="00C91A36" w:rsidP="005A4AC0">
            <w:pPr>
              <w:spacing w:line="480" w:lineRule="auto"/>
              <w:rPr>
                <w:color w:val="000000"/>
                <w:sz w:val="20"/>
                <w:szCs w:val="20"/>
                <w:lang w:val="en-US" w:eastAsia="it-IT"/>
              </w:rPr>
            </w:pPr>
            <w:r w:rsidRPr="00754FF2">
              <w:rPr>
                <w:color w:val="000000"/>
                <w:sz w:val="20"/>
                <w:szCs w:val="20"/>
                <w:lang w:val="en-US" w:eastAsia="it-IT"/>
              </w:rPr>
              <w:t>42.8 ± 13.4</w:t>
            </w:r>
          </w:p>
        </w:tc>
      </w:tr>
    </w:tbl>
    <w:p w14:paraId="1F029A08" w14:textId="77777777" w:rsidR="00C91A36" w:rsidRDefault="00C91A36" w:rsidP="00C91A36">
      <w:pPr>
        <w:spacing w:line="480" w:lineRule="auto"/>
        <w:rPr>
          <w:rFonts w:eastAsiaTheme="minorEastAsia"/>
          <w:sz w:val="20"/>
          <w:szCs w:val="20"/>
          <w:lang w:val="en-US"/>
        </w:rPr>
      </w:pPr>
    </w:p>
    <w:p w14:paraId="41DBEC2A" w14:textId="77777777" w:rsidR="00C91A36" w:rsidRDefault="00C91A36" w:rsidP="00C91A36">
      <w:pPr>
        <w:spacing w:line="480" w:lineRule="auto"/>
        <w:rPr>
          <w:rFonts w:eastAsiaTheme="minorEastAsia"/>
          <w:sz w:val="20"/>
          <w:szCs w:val="20"/>
          <w:lang w:val="en-US"/>
        </w:rPr>
      </w:pPr>
    </w:p>
    <w:p w14:paraId="2CFFD722" w14:textId="2E9F5F9D" w:rsidR="00C91A36" w:rsidRPr="00754FF2" w:rsidRDefault="00C91A36" w:rsidP="00C91A36">
      <w:pPr>
        <w:spacing w:line="480" w:lineRule="auto"/>
        <w:rPr>
          <w:sz w:val="20"/>
          <w:szCs w:val="20"/>
          <w:lang w:val="en-US"/>
        </w:rPr>
      </w:pPr>
      <w:r w:rsidRPr="00ED2A7E">
        <w:rPr>
          <w:rFonts w:eastAsiaTheme="minorEastAsia"/>
          <w:sz w:val="20"/>
          <w:szCs w:val="20"/>
          <w:lang w:val="en-US"/>
        </w:rPr>
        <w:t xml:space="preserve">MELAS: Mitochondrial </w:t>
      </w:r>
      <w:proofErr w:type="spellStart"/>
      <w:r w:rsidRPr="00ED2A7E">
        <w:rPr>
          <w:rFonts w:eastAsiaTheme="minorEastAsia"/>
          <w:sz w:val="20"/>
          <w:szCs w:val="20"/>
          <w:lang w:val="en-US"/>
        </w:rPr>
        <w:t>Encephalomyopathy</w:t>
      </w:r>
      <w:proofErr w:type="spellEnd"/>
      <w:r w:rsidRPr="00ED2A7E">
        <w:rPr>
          <w:rFonts w:eastAsiaTheme="minorEastAsia"/>
          <w:sz w:val="20"/>
          <w:szCs w:val="20"/>
          <w:lang w:val="en-US"/>
        </w:rPr>
        <w:t>, Lactic Acidosis, and Stroke-like episodes</w:t>
      </w:r>
      <w:r w:rsidRPr="00754FF2">
        <w:rPr>
          <w:rFonts w:eastAsiaTheme="minorEastAsia"/>
          <w:sz w:val="20"/>
          <w:szCs w:val="20"/>
          <w:lang w:val="en-US"/>
        </w:rPr>
        <w:t>,</w:t>
      </w:r>
      <w:r w:rsidRPr="00754FF2">
        <w:rPr>
          <w:sz w:val="20"/>
          <w:szCs w:val="20"/>
          <w:lang w:val="en-US"/>
        </w:rPr>
        <w:t xml:space="preserve"> SLL: Stroke like lesion, M: Male, F: Female</w:t>
      </w:r>
      <w:r w:rsidR="00A75CEA">
        <w:rPr>
          <w:sz w:val="20"/>
          <w:szCs w:val="20"/>
          <w:lang w:val="en-US"/>
        </w:rPr>
        <w:t>, MSS</w:t>
      </w:r>
      <w:r w:rsidR="00945574">
        <w:rPr>
          <w:sz w:val="20"/>
          <w:szCs w:val="20"/>
          <w:lang w:val="en-US"/>
        </w:rPr>
        <w:t>:</w:t>
      </w:r>
      <w:r w:rsidR="00A75CEA">
        <w:rPr>
          <w:sz w:val="20"/>
          <w:szCs w:val="20"/>
          <w:lang w:val="en-US"/>
        </w:rPr>
        <w:t xml:space="preserve"> </w:t>
      </w:r>
      <w:proofErr w:type="spellStart"/>
      <w:r w:rsidR="00A75CEA">
        <w:rPr>
          <w:sz w:val="20"/>
          <w:szCs w:val="20"/>
          <w:lang w:val="en-US"/>
        </w:rPr>
        <w:t>Melas</w:t>
      </w:r>
      <w:proofErr w:type="spellEnd"/>
      <w:r w:rsidR="00A75CEA">
        <w:rPr>
          <w:sz w:val="20"/>
          <w:szCs w:val="20"/>
          <w:lang w:val="en-US"/>
        </w:rPr>
        <w:t>-Spectrum Syndrome</w:t>
      </w:r>
    </w:p>
    <w:p w14:paraId="6DECFEF4" w14:textId="77777777" w:rsidR="00C91A36" w:rsidRPr="0008041B" w:rsidRDefault="00C91A36" w:rsidP="00C91A36">
      <w:pPr>
        <w:spacing w:line="480" w:lineRule="auto"/>
        <w:rPr>
          <w:b/>
          <w:sz w:val="20"/>
          <w:szCs w:val="20"/>
          <w:highlight w:val="yellow"/>
          <w:lang w:val="en-US"/>
        </w:rPr>
      </w:pPr>
      <w:r w:rsidRPr="00754FF2">
        <w:rPr>
          <w:b/>
          <w:sz w:val="20"/>
          <w:szCs w:val="20"/>
          <w:highlight w:val="yellow"/>
          <w:lang w:val="en-US"/>
        </w:rPr>
        <w:br w:type="page"/>
      </w:r>
    </w:p>
    <w:p w14:paraId="37FDBB0C" w14:textId="3323E8AC" w:rsidR="00C91A36" w:rsidRPr="00754FF2" w:rsidRDefault="00C91A36" w:rsidP="00C91A36">
      <w:pPr>
        <w:spacing w:line="480" w:lineRule="auto"/>
        <w:rPr>
          <w:rFonts w:eastAsiaTheme="minorEastAsia"/>
          <w:sz w:val="20"/>
          <w:szCs w:val="20"/>
          <w:lang w:val="en-US"/>
        </w:rPr>
      </w:pPr>
      <w:r w:rsidRPr="00754FF2">
        <w:rPr>
          <w:rFonts w:eastAsiaTheme="minorEastAsia"/>
          <w:b/>
          <w:bCs/>
          <w:sz w:val="20"/>
          <w:szCs w:val="20"/>
          <w:lang w:val="en-US"/>
        </w:rPr>
        <w:lastRenderedPageBreak/>
        <w:t>Supplementary Table 2.</w:t>
      </w:r>
      <w:r w:rsidR="00E63E2C">
        <w:rPr>
          <w:rFonts w:eastAsiaTheme="minorEastAsia"/>
          <w:b/>
          <w:bCs/>
          <w:sz w:val="20"/>
          <w:szCs w:val="20"/>
          <w:lang w:val="en-US"/>
        </w:rPr>
        <w:t xml:space="preserve"> </w:t>
      </w:r>
      <w:r w:rsidR="00E63E2C" w:rsidRPr="006A26E9">
        <w:rPr>
          <w:rFonts w:eastAsiaTheme="minorEastAsia"/>
          <w:sz w:val="20"/>
          <w:szCs w:val="20"/>
          <w:lang w:val="en-US"/>
        </w:rPr>
        <w:t>Comparison of</w:t>
      </w:r>
      <w:r w:rsidRPr="00754FF2">
        <w:rPr>
          <w:rFonts w:eastAsiaTheme="minorEastAsia"/>
          <w:sz w:val="20"/>
          <w:szCs w:val="20"/>
          <w:lang w:val="en-US"/>
        </w:rPr>
        <w:t xml:space="preserve"> </w:t>
      </w:r>
      <w:r w:rsidRPr="00754FF2">
        <w:rPr>
          <w:rFonts w:eastAsiaTheme="minorEastAsia"/>
          <w:sz w:val="20"/>
          <w:szCs w:val="20"/>
          <w:vertAlign w:val="superscript"/>
          <w:lang w:val="en-US"/>
        </w:rPr>
        <w:t>1</w:t>
      </w:r>
      <w:r w:rsidRPr="00754FF2">
        <w:rPr>
          <w:rFonts w:eastAsiaTheme="minorEastAsia"/>
          <w:sz w:val="20"/>
          <w:szCs w:val="20"/>
          <w:lang w:val="en-US"/>
        </w:rPr>
        <w:t xml:space="preserve">H-MRS </w:t>
      </w:r>
      <w:r w:rsidR="00E63E2C">
        <w:rPr>
          <w:rFonts w:eastAsiaTheme="minorEastAsia"/>
          <w:sz w:val="20"/>
          <w:szCs w:val="20"/>
          <w:lang w:val="en-US"/>
        </w:rPr>
        <w:t xml:space="preserve">metabolite ratios </w:t>
      </w:r>
      <w:r w:rsidR="00F54CBE">
        <w:rPr>
          <w:rFonts w:eastAsiaTheme="minorEastAsia"/>
          <w:sz w:val="20"/>
          <w:szCs w:val="20"/>
          <w:lang w:val="en-US"/>
        </w:rPr>
        <w:t>for MSS patients</w:t>
      </w:r>
      <w:r w:rsidR="00E63E2C">
        <w:rPr>
          <w:rFonts w:eastAsiaTheme="minorEastAsia"/>
          <w:sz w:val="20"/>
          <w:szCs w:val="20"/>
          <w:lang w:val="en-US"/>
        </w:rPr>
        <w:t xml:space="preserve"> compared to healthy controls</w:t>
      </w:r>
      <w:r w:rsidR="00F54CBE">
        <w:rPr>
          <w:rFonts w:eastAsiaTheme="minorEastAsia"/>
          <w:sz w:val="20"/>
          <w:szCs w:val="20"/>
          <w:lang w:val="en-US"/>
        </w:rPr>
        <w:t xml:space="preserve">. </w:t>
      </w:r>
    </w:p>
    <w:p w14:paraId="1BFD7E1F" w14:textId="77777777" w:rsidR="00C91A36" w:rsidRPr="00754FF2" w:rsidRDefault="00C91A36" w:rsidP="00C91A36">
      <w:pPr>
        <w:spacing w:line="480" w:lineRule="auto"/>
        <w:jc w:val="center"/>
        <w:rPr>
          <w:sz w:val="20"/>
          <w:szCs w:val="20"/>
          <w:lang w:val="en-US"/>
        </w:rPr>
      </w:pPr>
    </w:p>
    <w:tbl>
      <w:tblPr>
        <w:tblW w:w="6946" w:type="dxa"/>
        <w:jc w:val="center"/>
        <w:tblCellMar>
          <w:left w:w="70" w:type="dxa"/>
          <w:right w:w="70" w:type="dxa"/>
        </w:tblCellMar>
        <w:tblLook w:val="04A0" w:firstRow="1" w:lastRow="0" w:firstColumn="1" w:lastColumn="0" w:noHBand="0" w:noVBand="1"/>
      </w:tblPr>
      <w:tblGrid>
        <w:gridCol w:w="1843"/>
        <w:gridCol w:w="2308"/>
        <w:gridCol w:w="1661"/>
        <w:gridCol w:w="1134"/>
      </w:tblGrid>
      <w:tr w:rsidR="00C91A36" w:rsidRPr="00754FF2" w14:paraId="41520A09" w14:textId="77777777" w:rsidTr="00EA3803">
        <w:trPr>
          <w:trHeight w:val="735"/>
          <w:jc w:val="center"/>
        </w:trPr>
        <w:tc>
          <w:tcPr>
            <w:tcW w:w="1843" w:type="dxa"/>
            <w:tcBorders>
              <w:top w:val="nil"/>
              <w:left w:val="nil"/>
              <w:bottom w:val="nil"/>
              <w:right w:val="nil"/>
            </w:tcBorders>
            <w:shd w:val="clear" w:color="auto" w:fill="E7E6E6" w:themeFill="background2"/>
            <w:noWrap/>
            <w:vAlign w:val="center"/>
            <w:hideMark/>
          </w:tcPr>
          <w:p w14:paraId="66DC3F08" w14:textId="03A1D1C6" w:rsidR="00C91A36" w:rsidRPr="00754FF2" w:rsidRDefault="00C91A36" w:rsidP="005A4AC0">
            <w:pPr>
              <w:spacing w:line="480" w:lineRule="auto"/>
              <w:jc w:val="center"/>
              <w:rPr>
                <w:b/>
                <w:bCs/>
                <w:i/>
                <w:iCs/>
                <w:color w:val="000000"/>
                <w:sz w:val="20"/>
                <w:szCs w:val="20"/>
                <w:lang w:val="en-US" w:eastAsia="it-IT"/>
              </w:rPr>
            </w:pPr>
            <w:r w:rsidRPr="00754FF2">
              <w:rPr>
                <w:b/>
                <w:bCs/>
                <w:i/>
                <w:iCs/>
                <w:color w:val="000000"/>
                <w:sz w:val="20"/>
                <w:szCs w:val="20"/>
                <w:lang w:val="en-US" w:eastAsia="it-IT"/>
              </w:rPr>
              <w:t>Metabolite ratio</w:t>
            </w:r>
          </w:p>
        </w:tc>
        <w:tc>
          <w:tcPr>
            <w:tcW w:w="2308" w:type="dxa"/>
            <w:tcBorders>
              <w:top w:val="nil"/>
              <w:left w:val="nil"/>
              <w:bottom w:val="nil"/>
              <w:right w:val="nil"/>
            </w:tcBorders>
            <w:shd w:val="clear" w:color="auto" w:fill="E7E6E6" w:themeFill="background2"/>
            <w:noWrap/>
            <w:vAlign w:val="center"/>
            <w:hideMark/>
          </w:tcPr>
          <w:p w14:paraId="2A6AF298" w14:textId="71F950C0" w:rsidR="00C91A36" w:rsidRPr="00754FF2" w:rsidRDefault="00F54CBE" w:rsidP="005A4AC0">
            <w:pPr>
              <w:spacing w:line="480" w:lineRule="auto"/>
              <w:jc w:val="center"/>
              <w:rPr>
                <w:b/>
                <w:bCs/>
                <w:i/>
                <w:iCs/>
                <w:color w:val="000000"/>
                <w:sz w:val="20"/>
                <w:szCs w:val="20"/>
                <w:lang w:val="en-US" w:eastAsia="it-IT"/>
              </w:rPr>
            </w:pPr>
            <w:r w:rsidRPr="00754FF2">
              <w:rPr>
                <w:b/>
                <w:bCs/>
                <w:i/>
                <w:iCs/>
                <w:color w:val="000000"/>
                <w:sz w:val="20"/>
                <w:szCs w:val="20"/>
                <w:lang w:val="en-US" w:eastAsia="it-IT"/>
              </w:rPr>
              <w:t>M</w:t>
            </w:r>
            <w:r>
              <w:rPr>
                <w:b/>
                <w:bCs/>
                <w:i/>
                <w:iCs/>
                <w:color w:val="000000"/>
                <w:sz w:val="20"/>
                <w:szCs w:val="20"/>
                <w:lang w:val="en-US" w:eastAsia="it-IT"/>
              </w:rPr>
              <w:t>SS Patients</w:t>
            </w:r>
          </w:p>
        </w:tc>
        <w:tc>
          <w:tcPr>
            <w:tcW w:w="1661" w:type="dxa"/>
            <w:tcBorders>
              <w:top w:val="nil"/>
              <w:left w:val="nil"/>
              <w:bottom w:val="nil"/>
              <w:right w:val="nil"/>
            </w:tcBorders>
            <w:shd w:val="clear" w:color="auto" w:fill="E7E6E6" w:themeFill="background2"/>
            <w:noWrap/>
            <w:vAlign w:val="center"/>
            <w:hideMark/>
          </w:tcPr>
          <w:p w14:paraId="63E97F24" w14:textId="3D170536" w:rsidR="00C91A36" w:rsidRPr="00754FF2" w:rsidRDefault="0016461A" w:rsidP="005A4AC0">
            <w:pPr>
              <w:spacing w:line="480" w:lineRule="auto"/>
              <w:jc w:val="center"/>
              <w:rPr>
                <w:b/>
                <w:bCs/>
                <w:i/>
                <w:iCs/>
                <w:color w:val="000000"/>
                <w:sz w:val="20"/>
                <w:szCs w:val="20"/>
                <w:lang w:val="en-US" w:eastAsia="it-IT"/>
              </w:rPr>
            </w:pPr>
            <w:r>
              <w:rPr>
                <w:b/>
                <w:bCs/>
                <w:i/>
                <w:iCs/>
                <w:color w:val="000000"/>
                <w:sz w:val="20"/>
                <w:szCs w:val="20"/>
                <w:lang w:val="en-US" w:eastAsia="it-IT"/>
              </w:rPr>
              <w:t xml:space="preserve">Healthy </w:t>
            </w:r>
            <w:r w:rsidR="00C91A36" w:rsidRPr="00754FF2">
              <w:rPr>
                <w:b/>
                <w:bCs/>
                <w:i/>
                <w:iCs/>
                <w:color w:val="000000"/>
                <w:sz w:val="20"/>
                <w:szCs w:val="20"/>
                <w:lang w:val="en-US" w:eastAsia="it-IT"/>
              </w:rPr>
              <w:t>Controls</w:t>
            </w:r>
          </w:p>
        </w:tc>
        <w:tc>
          <w:tcPr>
            <w:tcW w:w="1134" w:type="dxa"/>
            <w:tcBorders>
              <w:top w:val="nil"/>
              <w:left w:val="nil"/>
              <w:bottom w:val="nil"/>
              <w:right w:val="nil"/>
            </w:tcBorders>
            <w:shd w:val="clear" w:color="auto" w:fill="E7E6E6" w:themeFill="background2"/>
            <w:vAlign w:val="center"/>
            <w:hideMark/>
          </w:tcPr>
          <w:p w14:paraId="0FBF84B0" w14:textId="77777777" w:rsidR="00C91A36" w:rsidRPr="00754FF2" w:rsidRDefault="00C91A36" w:rsidP="005A4AC0">
            <w:pPr>
              <w:spacing w:line="480" w:lineRule="auto"/>
              <w:jc w:val="center"/>
              <w:rPr>
                <w:b/>
                <w:bCs/>
                <w:i/>
                <w:iCs/>
                <w:color w:val="000000"/>
                <w:sz w:val="20"/>
                <w:szCs w:val="20"/>
                <w:lang w:val="en-US" w:eastAsia="it-IT"/>
              </w:rPr>
            </w:pPr>
            <w:r w:rsidRPr="00754FF2">
              <w:rPr>
                <w:b/>
                <w:bCs/>
                <w:i/>
                <w:iCs/>
                <w:color w:val="000000"/>
                <w:sz w:val="20"/>
                <w:szCs w:val="20"/>
                <w:lang w:val="en-US" w:eastAsia="it-IT"/>
              </w:rPr>
              <w:t>p-value</w:t>
            </w:r>
          </w:p>
        </w:tc>
      </w:tr>
      <w:tr w:rsidR="00C91A36" w:rsidRPr="00754FF2" w14:paraId="5C6C1B46" w14:textId="77777777" w:rsidTr="00EA3803">
        <w:trPr>
          <w:trHeight w:val="405"/>
          <w:jc w:val="center"/>
        </w:trPr>
        <w:tc>
          <w:tcPr>
            <w:tcW w:w="6946" w:type="dxa"/>
            <w:gridSpan w:val="4"/>
            <w:tcBorders>
              <w:top w:val="single" w:sz="4" w:space="0" w:color="auto"/>
              <w:left w:val="nil"/>
              <w:bottom w:val="single" w:sz="4" w:space="0" w:color="auto"/>
              <w:right w:val="nil"/>
            </w:tcBorders>
            <w:shd w:val="clear" w:color="auto" w:fill="auto"/>
            <w:noWrap/>
            <w:vAlign w:val="center"/>
            <w:hideMark/>
          </w:tcPr>
          <w:p w14:paraId="0357DAA8" w14:textId="77777777" w:rsidR="00C91A36" w:rsidRPr="00ED2A7E" w:rsidRDefault="00C91A36" w:rsidP="005A4AC0">
            <w:pPr>
              <w:spacing w:line="480" w:lineRule="auto"/>
              <w:jc w:val="center"/>
              <w:rPr>
                <w:i/>
                <w:iCs/>
                <w:color w:val="000000"/>
                <w:sz w:val="20"/>
                <w:szCs w:val="20"/>
                <w:lang w:val="en-US" w:eastAsia="it-IT"/>
              </w:rPr>
            </w:pPr>
            <w:r w:rsidRPr="00ED2A7E">
              <w:rPr>
                <w:i/>
                <w:iCs/>
                <w:color w:val="000000"/>
                <w:sz w:val="20"/>
                <w:szCs w:val="20"/>
                <w:lang w:val="en-US" w:eastAsia="it-IT"/>
              </w:rPr>
              <w:t>MPOC</w:t>
            </w:r>
          </w:p>
        </w:tc>
      </w:tr>
      <w:tr w:rsidR="00C91A36" w:rsidRPr="00754FF2" w14:paraId="781C035A" w14:textId="77777777" w:rsidTr="00EA3803">
        <w:trPr>
          <w:trHeight w:val="480"/>
          <w:jc w:val="center"/>
        </w:trPr>
        <w:tc>
          <w:tcPr>
            <w:tcW w:w="1843" w:type="dxa"/>
            <w:tcBorders>
              <w:top w:val="nil"/>
              <w:left w:val="nil"/>
              <w:bottom w:val="nil"/>
              <w:right w:val="nil"/>
            </w:tcBorders>
            <w:shd w:val="clear" w:color="auto" w:fill="auto"/>
            <w:noWrap/>
            <w:vAlign w:val="center"/>
            <w:hideMark/>
          </w:tcPr>
          <w:p w14:paraId="3A5F27C5" w14:textId="77777777" w:rsidR="00C91A36" w:rsidRPr="00ED2A7E" w:rsidRDefault="00C91A36" w:rsidP="005A4AC0">
            <w:pPr>
              <w:spacing w:line="480" w:lineRule="auto"/>
              <w:jc w:val="center"/>
              <w:rPr>
                <w:color w:val="000000"/>
                <w:sz w:val="20"/>
                <w:szCs w:val="20"/>
                <w:lang w:val="en-US" w:eastAsia="it-IT"/>
              </w:rPr>
            </w:pPr>
            <w:r w:rsidRPr="00ED2A7E">
              <w:rPr>
                <w:color w:val="000000"/>
                <w:sz w:val="20"/>
                <w:szCs w:val="20"/>
                <w:lang w:val="en-US" w:eastAsia="it-IT"/>
              </w:rPr>
              <w:t>NAA/Cr</w:t>
            </w:r>
          </w:p>
        </w:tc>
        <w:tc>
          <w:tcPr>
            <w:tcW w:w="2308" w:type="dxa"/>
            <w:tcBorders>
              <w:top w:val="nil"/>
              <w:left w:val="nil"/>
              <w:bottom w:val="nil"/>
              <w:right w:val="nil"/>
            </w:tcBorders>
            <w:shd w:val="clear" w:color="auto" w:fill="auto"/>
            <w:noWrap/>
            <w:vAlign w:val="center"/>
            <w:hideMark/>
          </w:tcPr>
          <w:p w14:paraId="6F857426"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1.26(±0.14)</w:t>
            </w:r>
          </w:p>
        </w:tc>
        <w:tc>
          <w:tcPr>
            <w:tcW w:w="1661" w:type="dxa"/>
            <w:tcBorders>
              <w:top w:val="nil"/>
              <w:left w:val="nil"/>
              <w:bottom w:val="nil"/>
              <w:right w:val="nil"/>
            </w:tcBorders>
            <w:shd w:val="clear" w:color="auto" w:fill="auto"/>
            <w:noWrap/>
            <w:vAlign w:val="center"/>
            <w:hideMark/>
          </w:tcPr>
          <w:p w14:paraId="6DC5CFDC"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1.41(±0.11)</w:t>
            </w:r>
          </w:p>
        </w:tc>
        <w:tc>
          <w:tcPr>
            <w:tcW w:w="1134" w:type="dxa"/>
            <w:tcBorders>
              <w:top w:val="nil"/>
              <w:left w:val="nil"/>
              <w:bottom w:val="nil"/>
              <w:right w:val="nil"/>
            </w:tcBorders>
            <w:shd w:val="clear" w:color="auto" w:fill="auto"/>
            <w:noWrap/>
            <w:vAlign w:val="center"/>
            <w:hideMark/>
          </w:tcPr>
          <w:p w14:paraId="58C42714" w14:textId="77777777" w:rsidR="00C91A36" w:rsidRPr="00754FF2" w:rsidRDefault="00C91A36" w:rsidP="005A4AC0">
            <w:pPr>
              <w:spacing w:line="480" w:lineRule="auto"/>
              <w:jc w:val="center"/>
              <w:rPr>
                <w:b/>
                <w:bCs/>
                <w:color w:val="000000"/>
                <w:sz w:val="20"/>
                <w:szCs w:val="20"/>
                <w:u w:val="single"/>
                <w:lang w:val="en-US" w:eastAsia="it-IT"/>
              </w:rPr>
            </w:pPr>
            <w:r w:rsidRPr="00754FF2">
              <w:rPr>
                <w:b/>
                <w:bCs/>
                <w:color w:val="000000"/>
                <w:sz w:val="20"/>
                <w:szCs w:val="20"/>
                <w:u w:val="single"/>
                <w:lang w:val="en-US" w:eastAsia="it-IT"/>
              </w:rPr>
              <w:t>0.008</w:t>
            </w:r>
          </w:p>
        </w:tc>
      </w:tr>
      <w:tr w:rsidR="00C91A36" w:rsidRPr="00754FF2" w14:paraId="73AAF8EF" w14:textId="77777777" w:rsidTr="00EA3803">
        <w:trPr>
          <w:trHeight w:val="480"/>
          <w:jc w:val="center"/>
        </w:trPr>
        <w:tc>
          <w:tcPr>
            <w:tcW w:w="1843" w:type="dxa"/>
            <w:tcBorders>
              <w:top w:val="nil"/>
              <w:left w:val="nil"/>
              <w:bottom w:val="nil"/>
              <w:right w:val="nil"/>
            </w:tcBorders>
            <w:shd w:val="clear" w:color="auto" w:fill="auto"/>
            <w:noWrap/>
            <w:vAlign w:val="center"/>
            <w:hideMark/>
          </w:tcPr>
          <w:p w14:paraId="65B992C6" w14:textId="77777777" w:rsidR="00C91A36" w:rsidRPr="00ED2A7E" w:rsidRDefault="00C91A36" w:rsidP="005A4AC0">
            <w:pPr>
              <w:spacing w:line="480" w:lineRule="auto"/>
              <w:jc w:val="center"/>
              <w:rPr>
                <w:color w:val="000000"/>
                <w:sz w:val="20"/>
                <w:szCs w:val="20"/>
                <w:lang w:val="en-US" w:eastAsia="it-IT"/>
              </w:rPr>
            </w:pPr>
            <w:r w:rsidRPr="00ED2A7E">
              <w:rPr>
                <w:color w:val="000000"/>
                <w:sz w:val="20"/>
                <w:szCs w:val="20"/>
                <w:lang w:val="en-US" w:eastAsia="it-IT"/>
              </w:rPr>
              <w:t>Cho/Cr</w:t>
            </w:r>
          </w:p>
        </w:tc>
        <w:tc>
          <w:tcPr>
            <w:tcW w:w="2308" w:type="dxa"/>
            <w:tcBorders>
              <w:top w:val="nil"/>
              <w:left w:val="nil"/>
              <w:bottom w:val="nil"/>
              <w:right w:val="nil"/>
            </w:tcBorders>
            <w:shd w:val="clear" w:color="auto" w:fill="auto"/>
            <w:noWrap/>
            <w:vAlign w:val="center"/>
            <w:hideMark/>
          </w:tcPr>
          <w:p w14:paraId="1B40922B"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0.16(±0.01)</w:t>
            </w:r>
          </w:p>
        </w:tc>
        <w:tc>
          <w:tcPr>
            <w:tcW w:w="1661" w:type="dxa"/>
            <w:tcBorders>
              <w:top w:val="nil"/>
              <w:left w:val="nil"/>
              <w:bottom w:val="nil"/>
              <w:right w:val="nil"/>
            </w:tcBorders>
            <w:shd w:val="clear" w:color="auto" w:fill="auto"/>
            <w:noWrap/>
            <w:vAlign w:val="center"/>
            <w:hideMark/>
          </w:tcPr>
          <w:p w14:paraId="1734461A"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0.17(±0.02)</w:t>
            </w:r>
          </w:p>
        </w:tc>
        <w:tc>
          <w:tcPr>
            <w:tcW w:w="1134" w:type="dxa"/>
            <w:tcBorders>
              <w:top w:val="nil"/>
              <w:left w:val="nil"/>
              <w:bottom w:val="nil"/>
              <w:right w:val="nil"/>
            </w:tcBorders>
            <w:shd w:val="clear" w:color="auto" w:fill="auto"/>
            <w:noWrap/>
            <w:vAlign w:val="center"/>
            <w:hideMark/>
          </w:tcPr>
          <w:p w14:paraId="4B721C0D" w14:textId="77777777" w:rsidR="00C91A36" w:rsidRPr="00754FF2" w:rsidRDefault="00C91A36" w:rsidP="005A4AC0">
            <w:pPr>
              <w:spacing w:line="480" w:lineRule="auto"/>
              <w:jc w:val="center"/>
              <w:rPr>
                <w:color w:val="000000"/>
                <w:sz w:val="20"/>
                <w:szCs w:val="20"/>
                <w:lang w:val="en-US" w:eastAsia="it-IT"/>
              </w:rPr>
            </w:pPr>
            <w:r w:rsidRPr="00754FF2">
              <w:rPr>
                <w:color w:val="000000"/>
                <w:sz w:val="20"/>
                <w:szCs w:val="20"/>
                <w:lang w:val="en-US" w:eastAsia="it-IT"/>
              </w:rPr>
              <w:t>0.089</w:t>
            </w:r>
          </w:p>
        </w:tc>
      </w:tr>
      <w:tr w:rsidR="00C91A36" w:rsidRPr="00754FF2" w14:paraId="72113D43" w14:textId="77777777" w:rsidTr="00EA3803">
        <w:trPr>
          <w:trHeight w:val="480"/>
          <w:jc w:val="center"/>
        </w:trPr>
        <w:tc>
          <w:tcPr>
            <w:tcW w:w="1843" w:type="dxa"/>
            <w:tcBorders>
              <w:top w:val="nil"/>
              <w:left w:val="nil"/>
              <w:bottom w:val="nil"/>
              <w:right w:val="nil"/>
            </w:tcBorders>
            <w:shd w:val="clear" w:color="auto" w:fill="auto"/>
            <w:noWrap/>
            <w:vAlign w:val="center"/>
            <w:hideMark/>
          </w:tcPr>
          <w:p w14:paraId="011CDD58" w14:textId="77777777" w:rsidR="00C91A36" w:rsidRPr="00ED2A7E" w:rsidRDefault="00C91A36" w:rsidP="005A4AC0">
            <w:pPr>
              <w:spacing w:line="480" w:lineRule="auto"/>
              <w:jc w:val="center"/>
              <w:rPr>
                <w:color w:val="000000"/>
                <w:sz w:val="20"/>
                <w:szCs w:val="20"/>
                <w:lang w:val="en-US" w:eastAsia="it-IT"/>
              </w:rPr>
            </w:pPr>
            <w:proofErr w:type="spellStart"/>
            <w:r w:rsidRPr="00ED2A7E">
              <w:rPr>
                <w:color w:val="000000"/>
                <w:sz w:val="20"/>
                <w:szCs w:val="20"/>
                <w:lang w:val="en-US" w:eastAsia="it-IT"/>
              </w:rPr>
              <w:t>mI</w:t>
            </w:r>
            <w:proofErr w:type="spellEnd"/>
            <w:r w:rsidRPr="00ED2A7E">
              <w:rPr>
                <w:color w:val="000000"/>
                <w:sz w:val="20"/>
                <w:szCs w:val="20"/>
                <w:lang w:val="en-US" w:eastAsia="it-IT"/>
              </w:rPr>
              <w:t>/Cr</w:t>
            </w:r>
          </w:p>
        </w:tc>
        <w:tc>
          <w:tcPr>
            <w:tcW w:w="2308" w:type="dxa"/>
            <w:tcBorders>
              <w:top w:val="nil"/>
              <w:left w:val="nil"/>
              <w:bottom w:val="nil"/>
              <w:right w:val="nil"/>
            </w:tcBorders>
            <w:shd w:val="clear" w:color="auto" w:fill="auto"/>
            <w:noWrap/>
            <w:vAlign w:val="center"/>
            <w:hideMark/>
          </w:tcPr>
          <w:p w14:paraId="4B641777"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0.72(±0.08)</w:t>
            </w:r>
          </w:p>
        </w:tc>
        <w:tc>
          <w:tcPr>
            <w:tcW w:w="1661" w:type="dxa"/>
            <w:tcBorders>
              <w:top w:val="nil"/>
              <w:left w:val="nil"/>
              <w:bottom w:val="nil"/>
              <w:right w:val="nil"/>
            </w:tcBorders>
            <w:shd w:val="clear" w:color="auto" w:fill="auto"/>
            <w:noWrap/>
            <w:vAlign w:val="center"/>
            <w:hideMark/>
          </w:tcPr>
          <w:p w14:paraId="59E5074C"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0.74(±0.07)</w:t>
            </w:r>
          </w:p>
        </w:tc>
        <w:tc>
          <w:tcPr>
            <w:tcW w:w="1134" w:type="dxa"/>
            <w:tcBorders>
              <w:top w:val="nil"/>
              <w:left w:val="nil"/>
              <w:bottom w:val="nil"/>
              <w:right w:val="nil"/>
            </w:tcBorders>
            <w:shd w:val="clear" w:color="auto" w:fill="auto"/>
            <w:noWrap/>
            <w:vAlign w:val="center"/>
            <w:hideMark/>
          </w:tcPr>
          <w:p w14:paraId="4255D676" w14:textId="77777777" w:rsidR="00C91A36" w:rsidRPr="00754FF2" w:rsidRDefault="00C91A36" w:rsidP="005A4AC0">
            <w:pPr>
              <w:spacing w:line="480" w:lineRule="auto"/>
              <w:jc w:val="center"/>
              <w:rPr>
                <w:color w:val="000000"/>
                <w:sz w:val="20"/>
                <w:szCs w:val="20"/>
                <w:lang w:val="en-US" w:eastAsia="it-IT"/>
              </w:rPr>
            </w:pPr>
            <w:r w:rsidRPr="00754FF2">
              <w:rPr>
                <w:color w:val="000000"/>
                <w:sz w:val="20"/>
                <w:szCs w:val="20"/>
                <w:lang w:val="en-US" w:eastAsia="it-IT"/>
              </w:rPr>
              <w:t>0.646</w:t>
            </w:r>
          </w:p>
        </w:tc>
      </w:tr>
      <w:tr w:rsidR="00C91A36" w:rsidRPr="00754FF2" w14:paraId="08F8685D" w14:textId="77777777" w:rsidTr="00EA3803">
        <w:trPr>
          <w:trHeight w:val="480"/>
          <w:jc w:val="center"/>
        </w:trPr>
        <w:tc>
          <w:tcPr>
            <w:tcW w:w="1843" w:type="dxa"/>
            <w:tcBorders>
              <w:top w:val="nil"/>
              <w:left w:val="nil"/>
              <w:bottom w:val="nil"/>
              <w:right w:val="nil"/>
            </w:tcBorders>
            <w:shd w:val="clear" w:color="auto" w:fill="auto"/>
            <w:noWrap/>
            <w:vAlign w:val="center"/>
            <w:hideMark/>
          </w:tcPr>
          <w:p w14:paraId="1A682FB9" w14:textId="77777777" w:rsidR="00C91A36" w:rsidRPr="00ED2A7E" w:rsidRDefault="00C91A36" w:rsidP="005A4AC0">
            <w:pPr>
              <w:spacing w:line="480" w:lineRule="auto"/>
              <w:jc w:val="center"/>
              <w:rPr>
                <w:color w:val="000000"/>
                <w:sz w:val="20"/>
                <w:szCs w:val="20"/>
                <w:lang w:val="en-US" w:eastAsia="it-IT"/>
              </w:rPr>
            </w:pPr>
            <w:r w:rsidRPr="00ED2A7E">
              <w:rPr>
                <w:color w:val="000000"/>
                <w:sz w:val="20"/>
                <w:szCs w:val="20"/>
                <w:lang w:val="en-US" w:eastAsia="it-IT"/>
              </w:rPr>
              <w:t>NAA/</w:t>
            </w:r>
            <w:proofErr w:type="spellStart"/>
            <w:r w:rsidRPr="00ED2A7E">
              <w:rPr>
                <w:color w:val="000000"/>
                <w:sz w:val="20"/>
                <w:szCs w:val="20"/>
                <w:lang w:val="en-US" w:eastAsia="it-IT"/>
              </w:rPr>
              <w:t>mI</w:t>
            </w:r>
            <w:proofErr w:type="spellEnd"/>
          </w:p>
        </w:tc>
        <w:tc>
          <w:tcPr>
            <w:tcW w:w="2308" w:type="dxa"/>
            <w:tcBorders>
              <w:top w:val="nil"/>
              <w:left w:val="nil"/>
              <w:bottom w:val="nil"/>
              <w:right w:val="nil"/>
            </w:tcBorders>
            <w:shd w:val="clear" w:color="auto" w:fill="auto"/>
            <w:noWrap/>
            <w:vAlign w:val="center"/>
            <w:hideMark/>
          </w:tcPr>
          <w:p w14:paraId="29FB93C4"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1.76(±0.28)</w:t>
            </w:r>
          </w:p>
        </w:tc>
        <w:tc>
          <w:tcPr>
            <w:tcW w:w="1661" w:type="dxa"/>
            <w:tcBorders>
              <w:top w:val="nil"/>
              <w:left w:val="nil"/>
              <w:bottom w:val="nil"/>
              <w:right w:val="nil"/>
            </w:tcBorders>
            <w:shd w:val="clear" w:color="auto" w:fill="auto"/>
            <w:noWrap/>
            <w:vAlign w:val="center"/>
            <w:hideMark/>
          </w:tcPr>
          <w:p w14:paraId="33608B96"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1.93(±0.25)</w:t>
            </w:r>
          </w:p>
        </w:tc>
        <w:tc>
          <w:tcPr>
            <w:tcW w:w="1134" w:type="dxa"/>
            <w:tcBorders>
              <w:top w:val="nil"/>
              <w:left w:val="nil"/>
              <w:bottom w:val="nil"/>
              <w:right w:val="nil"/>
            </w:tcBorders>
            <w:shd w:val="clear" w:color="auto" w:fill="auto"/>
            <w:noWrap/>
            <w:vAlign w:val="center"/>
            <w:hideMark/>
          </w:tcPr>
          <w:p w14:paraId="19D7DAFA" w14:textId="77777777" w:rsidR="00C91A36" w:rsidRPr="00754FF2" w:rsidRDefault="00C91A36" w:rsidP="005A4AC0">
            <w:pPr>
              <w:spacing w:line="480" w:lineRule="auto"/>
              <w:jc w:val="center"/>
              <w:rPr>
                <w:color w:val="000000"/>
                <w:sz w:val="20"/>
                <w:szCs w:val="20"/>
                <w:lang w:val="en-US" w:eastAsia="it-IT"/>
              </w:rPr>
            </w:pPr>
            <w:r w:rsidRPr="00754FF2">
              <w:rPr>
                <w:color w:val="000000"/>
                <w:sz w:val="20"/>
                <w:szCs w:val="20"/>
                <w:lang w:val="en-US" w:eastAsia="it-IT"/>
              </w:rPr>
              <w:t>0.054</w:t>
            </w:r>
          </w:p>
        </w:tc>
      </w:tr>
      <w:tr w:rsidR="00C91A36" w:rsidRPr="00754FF2" w14:paraId="6FF5B8F1" w14:textId="77777777" w:rsidTr="00EA3803">
        <w:trPr>
          <w:trHeight w:val="435"/>
          <w:jc w:val="center"/>
        </w:trPr>
        <w:tc>
          <w:tcPr>
            <w:tcW w:w="6946" w:type="dxa"/>
            <w:gridSpan w:val="4"/>
            <w:tcBorders>
              <w:top w:val="single" w:sz="4" w:space="0" w:color="auto"/>
              <w:left w:val="nil"/>
              <w:bottom w:val="single" w:sz="4" w:space="0" w:color="auto"/>
              <w:right w:val="nil"/>
            </w:tcBorders>
            <w:shd w:val="clear" w:color="auto" w:fill="auto"/>
            <w:noWrap/>
            <w:vAlign w:val="center"/>
            <w:hideMark/>
          </w:tcPr>
          <w:p w14:paraId="3CC86C76" w14:textId="77777777" w:rsidR="00C91A36" w:rsidRPr="00ED2A7E" w:rsidRDefault="00C91A36" w:rsidP="005A4AC0">
            <w:pPr>
              <w:spacing w:line="480" w:lineRule="auto"/>
              <w:jc w:val="center"/>
              <w:rPr>
                <w:i/>
                <w:iCs/>
                <w:color w:val="000000"/>
                <w:sz w:val="20"/>
                <w:szCs w:val="20"/>
                <w:lang w:val="en-US" w:eastAsia="it-IT"/>
              </w:rPr>
            </w:pPr>
            <w:r w:rsidRPr="00ED2A7E">
              <w:rPr>
                <w:i/>
                <w:iCs/>
                <w:color w:val="000000"/>
                <w:sz w:val="20"/>
                <w:szCs w:val="20"/>
                <w:lang w:val="en-US" w:eastAsia="it-IT"/>
              </w:rPr>
              <w:t>POWM</w:t>
            </w:r>
          </w:p>
        </w:tc>
      </w:tr>
      <w:tr w:rsidR="00C91A36" w:rsidRPr="00754FF2" w14:paraId="44F34476" w14:textId="77777777" w:rsidTr="00EA3803">
        <w:trPr>
          <w:trHeight w:val="480"/>
          <w:jc w:val="center"/>
        </w:trPr>
        <w:tc>
          <w:tcPr>
            <w:tcW w:w="1843" w:type="dxa"/>
            <w:tcBorders>
              <w:top w:val="nil"/>
              <w:left w:val="nil"/>
              <w:bottom w:val="nil"/>
              <w:right w:val="nil"/>
            </w:tcBorders>
            <w:shd w:val="clear" w:color="auto" w:fill="auto"/>
            <w:noWrap/>
            <w:vAlign w:val="center"/>
            <w:hideMark/>
          </w:tcPr>
          <w:p w14:paraId="40C4D9BB" w14:textId="77777777" w:rsidR="00C91A36" w:rsidRPr="00ED2A7E" w:rsidRDefault="00C91A36" w:rsidP="005A4AC0">
            <w:pPr>
              <w:spacing w:line="480" w:lineRule="auto"/>
              <w:jc w:val="center"/>
              <w:rPr>
                <w:color w:val="000000"/>
                <w:sz w:val="20"/>
                <w:szCs w:val="20"/>
                <w:lang w:val="en-US" w:eastAsia="it-IT"/>
              </w:rPr>
            </w:pPr>
            <w:r w:rsidRPr="00ED2A7E">
              <w:rPr>
                <w:color w:val="000000"/>
                <w:sz w:val="20"/>
                <w:szCs w:val="20"/>
                <w:lang w:val="en-US" w:eastAsia="it-IT"/>
              </w:rPr>
              <w:t>NAA/Cr</w:t>
            </w:r>
          </w:p>
        </w:tc>
        <w:tc>
          <w:tcPr>
            <w:tcW w:w="2308" w:type="dxa"/>
            <w:tcBorders>
              <w:top w:val="nil"/>
              <w:left w:val="nil"/>
              <w:bottom w:val="nil"/>
              <w:right w:val="nil"/>
            </w:tcBorders>
            <w:shd w:val="clear" w:color="auto" w:fill="auto"/>
            <w:noWrap/>
            <w:vAlign w:val="center"/>
            <w:hideMark/>
          </w:tcPr>
          <w:p w14:paraId="5AE1AF3A"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1.65(±0.20)</w:t>
            </w:r>
          </w:p>
        </w:tc>
        <w:tc>
          <w:tcPr>
            <w:tcW w:w="1661" w:type="dxa"/>
            <w:tcBorders>
              <w:top w:val="nil"/>
              <w:left w:val="nil"/>
              <w:bottom w:val="nil"/>
              <w:right w:val="nil"/>
            </w:tcBorders>
            <w:shd w:val="clear" w:color="auto" w:fill="auto"/>
            <w:noWrap/>
            <w:vAlign w:val="center"/>
            <w:hideMark/>
          </w:tcPr>
          <w:p w14:paraId="1F0C2B2D"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1.81(±0.12)</w:t>
            </w:r>
          </w:p>
        </w:tc>
        <w:tc>
          <w:tcPr>
            <w:tcW w:w="1134" w:type="dxa"/>
            <w:tcBorders>
              <w:top w:val="nil"/>
              <w:left w:val="nil"/>
              <w:bottom w:val="nil"/>
              <w:right w:val="nil"/>
            </w:tcBorders>
            <w:shd w:val="clear" w:color="auto" w:fill="auto"/>
            <w:noWrap/>
            <w:vAlign w:val="center"/>
            <w:hideMark/>
          </w:tcPr>
          <w:p w14:paraId="30E10E6D" w14:textId="77777777" w:rsidR="00C91A36" w:rsidRPr="00754FF2" w:rsidRDefault="00C91A36" w:rsidP="005A4AC0">
            <w:pPr>
              <w:spacing w:line="480" w:lineRule="auto"/>
              <w:jc w:val="center"/>
              <w:rPr>
                <w:b/>
                <w:bCs/>
                <w:color w:val="000000"/>
                <w:sz w:val="20"/>
                <w:szCs w:val="20"/>
                <w:lang w:val="en-US" w:eastAsia="it-IT"/>
              </w:rPr>
            </w:pPr>
            <w:r w:rsidRPr="00754FF2">
              <w:rPr>
                <w:b/>
                <w:bCs/>
                <w:color w:val="000000"/>
                <w:sz w:val="20"/>
                <w:szCs w:val="20"/>
                <w:lang w:val="en-US" w:eastAsia="it-IT"/>
              </w:rPr>
              <w:t>0.013</w:t>
            </w:r>
          </w:p>
        </w:tc>
      </w:tr>
      <w:tr w:rsidR="00C91A36" w:rsidRPr="00754FF2" w14:paraId="4E82F7C7" w14:textId="77777777" w:rsidTr="00EA3803">
        <w:trPr>
          <w:trHeight w:val="480"/>
          <w:jc w:val="center"/>
        </w:trPr>
        <w:tc>
          <w:tcPr>
            <w:tcW w:w="1843" w:type="dxa"/>
            <w:tcBorders>
              <w:top w:val="nil"/>
              <w:left w:val="nil"/>
              <w:bottom w:val="nil"/>
              <w:right w:val="nil"/>
            </w:tcBorders>
            <w:shd w:val="clear" w:color="auto" w:fill="auto"/>
            <w:noWrap/>
            <w:vAlign w:val="center"/>
            <w:hideMark/>
          </w:tcPr>
          <w:p w14:paraId="43964D0A" w14:textId="77777777" w:rsidR="00C91A36" w:rsidRPr="00ED2A7E" w:rsidRDefault="00C91A36" w:rsidP="005A4AC0">
            <w:pPr>
              <w:spacing w:line="480" w:lineRule="auto"/>
              <w:jc w:val="center"/>
              <w:rPr>
                <w:color w:val="000000"/>
                <w:sz w:val="20"/>
                <w:szCs w:val="20"/>
                <w:lang w:val="en-US" w:eastAsia="it-IT"/>
              </w:rPr>
            </w:pPr>
            <w:r w:rsidRPr="00ED2A7E">
              <w:rPr>
                <w:color w:val="000000"/>
                <w:sz w:val="20"/>
                <w:szCs w:val="20"/>
                <w:lang w:val="en-US" w:eastAsia="it-IT"/>
              </w:rPr>
              <w:t>Cho/Cr</w:t>
            </w:r>
          </w:p>
        </w:tc>
        <w:tc>
          <w:tcPr>
            <w:tcW w:w="2308" w:type="dxa"/>
            <w:tcBorders>
              <w:top w:val="nil"/>
              <w:left w:val="nil"/>
              <w:bottom w:val="nil"/>
              <w:right w:val="nil"/>
            </w:tcBorders>
            <w:shd w:val="clear" w:color="auto" w:fill="auto"/>
            <w:noWrap/>
            <w:vAlign w:val="center"/>
            <w:hideMark/>
          </w:tcPr>
          <w:p w14:paraId="7816613B"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0.32(±0.05)</w:t>
            </w:r>
          </w:p>
        </w:tc>
        <w:tc>
          <w:tcPr>
            <w:tcW w:w="1661" w:type="dxa"/>
            <w:tcBorders>
              <w:top w:val="nil"/>
              <w:left w:val="nil"/>
              <w:bottom w:val="nil"/>
              <w:right w:val="nil"/>
            </w:tcBorders>
            <w:shd w:val="clear" w:color="auto" w:fill="auto"/>
            <w:noWrap/>
            <w:vAlign w:val="center"/>
            <w:hideMark/>
          </w:tcPr>
          <w:p w14:paraId="0D9D0428"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0.38(±0.04)</w:t>
            </w:r>
          </w:p>
        </w:tc>
        <w:tc>
          <w:tcPr>
            <w:tcW w:w="1134" w:type="dxa"/>
            <w:tcBorders>
              <w:top w:val="nil"/>
              <w:left w:val="nil"/>
              <w:bottom w:val="nil"/>
              <w:right w:val="nil"/>
            </w:tcBorders>
            <w:shd w:val="clear" w:color="auto" w:fill="auto"/>
            <w:noWrap/>
            <w:vAlign w:val="center"/>
            <w:hideMark/>
          </w:tcPr>
          <w:p w14:paraId="5BB51F69" w14:textId="77777777" w:rsidR="00C91A36" w:rsidRPr="00754FF2" w:rsidRDefault="00C91A36" w:rsidP="005A4AC0">
            <w:pPr>
              <w:spacing w:line="480" w:lineRule="auto"/>
              <w:jc w:val="center"/>
              <w:rPr>
                <w:b/>
                <w:bCs/>
                <w:color w:val="000000"/>
                <w:sz w:val="20"/>
                <w:szCs w:val="20"/>
                <w:u w:val="single"/>
                <w:lang w:val="en-US" w:eastAsia="it-IT"/>
              </w:rPr>
            </w:pPr>
            <w:r w:rsidRPr="00754FF2">
              <w:rPr>
                <w:b/>
                <w:bCs/>
                <w:color w:val="000000"/>
                <w:sz w:val="20"/>
                <w:szCs w:val="20"/>
                <w:u w:val="single"/>
                <w:lang w:val="en-US" w:eastAsia="it-IT"/>
              </w:rPr>
              <w:t>0.006</w:t>
            </w:r>
          </w:p>
        </w:tc>
      </w:tr>
      <w:tr w:rsidR="00C91A36" w:rsidRPr="00754FF2" w14:paraId="575030B8" w14:textId="77777777" w:rsidTr="00EA3803">
        <w:trPr>
          <w:trHeight w:val="480"/>
          <w:jc w:val="center"/>
        </w:trPr>
        <w:tc>
          <w:tcPr>
            <w:tcW w:w="1843" w:type="dxa"/>
            <w:tcBorders>
              <w:top w:val="nil"/>
              <w:left w:val="nil"/>
              <w:bottom w:val="nil"/>
              <w:right w:val="nil"/>
            </w:tcBorders>
            <w:shd w:val="clear" w:color="auto" w:fill="auto"/>
            <w:noWrap/>
            <w:vAlign w:val="center"/>
            <w:hideMark/>
          </w:tcPr>
          <w:p w14:paraId="11687812" w14:textId="77777777" w:rsidR="00C91A36" w:rsidRPr="00ED2A7E" w:rsidRDefault="00C91A36" w:rsidP="005A4AC0">
            <w:pPr>
              <w:spacing w:line="480" w:lineRule="auto"/>
              <w:jc w:val="center"/>
              <w:rPr>
                <w:color w:val="000000"/>
                <w:sz w:val="20"/>
                <w:szCs w:val="20"/>
                <w:lang w:val="en-US" w:eastAsia="it-IT"/>
              </w:rPr>
            </w:pPr>
            <w:proofErr w:type="spellStart"/>
            <w:r w:rsidRPr="00ED2A7E">
              <w:rPr>
                <w:color w:val="000000"/>
                <w:sz w:val="20"/>
                <w:szCs w:val="20"/>
                <w:lang w:val="en-US" w:eastAsia="it-IT"/>
              </w:rPr>
              <w:t>mI</w:t>
            </w:r>
            <w:proofErr w:type="spellEnd"/>
            <w:r w:rsidRPr="00ED2A7E">
              <w:rPr>
                <w:color w:val="000000"/>
                <w:sz w:val="20"/>
                <w:szCs w:val="20"/>
                <w:lang w:val="en-US" w:eastAsia="it-IT"/>
              </w:rPr>
              <w:t>/Cr</w:t>
            </w:r>
          </w:p>
        </w:tc>
        <w:tc>
          <w:tcPr>
            <w:tcW w:w="2308" w:type="dxa"/>
            <w:tcBorders>
              <w:top w:val="nil"/>
              <w:left w:val="nil"/>
              <w:bottom w:val="nil"/>
              <w:right w:val="nil"/>
            </w:tcBorders>
            <w:shd w:val="clear" w:color="auto" w:fill="auto"/>
            <w:noWrap/>
            <w:vAlign w:val="center"/>
            <w:hideMark/>
          </w:tcPr>
          <w:p w14:paraId="6FD2F7CB"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1.05(±0.27)</w:t>
            </w:r>
          </w:p>
        </w:tc>
        <w:tc>
          <w:tcPr>
            <w:tcW w:w="1661" w:type="dxa"/>
            <w:tcBorders>
              <w:top w:val="nil"/>
              <w:left w:val="nil"/>
              <w:bottom w:val="nil"/>
              <w:right w:val="nil"/>
            </w:tcBorders>
            <w:shd w:val="clear" w:color="auto" w:fill="auto"/>
            <w:noWrap/>
            <w:vAlign w:val="center"/>
            <w:hideMark/>
          </w:tcPr>
          <w:p w14:paraId="0B791BDD"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0.91(±0.20)</w:t>
            </w:r>
          </w:p>
        </w:tc>
        <w:tc>
          <w:tcPr>
            <w:tcW w:w="1134" w:type="dxa"/>
            <w:tcBorders>
              <w:top w:val="nil"/>
              <w:left w:val="nil"/>
              <w:bottom w:val="nil"/>
              <w:right w:val="nil"/>
            </w:tcBorders>
            <w:shd w:val="clear" w:color="auto" w:fill="auto"/>
            <w:noWrap/>
            <w:vAlign w:val="center"/>
            <w:hideMark/>
          </w:tcPr>
          <w:p w14:paraId="402E9D2A" w14:textId="77777777" w:rsidR="00C91A36" w:rsidRPr="00754FF2" w:rsidRDefault="00C91A36" w:rsidP="005A4AC0">
            <w:pPr>
              <w:spacing w:line="480" w:lineRule="auto"/>
              <w:jc w:val="center"/>
              <w:rPr>
                <w:color w:val="000000"/>
                <w:sz w:val="20"/>
                <w:szCs w:val="20"/>
                <w:lang w:val="en-US" w:eastAsia="it-IT"/>
              </w:rPr>
            </w:pPr>
            <w:r w:rsidRPr="00754FF2">
              <w:rPr>
                <w:color w:val="000000"/>
                <w:sz w:val="20"/>
                <w:szCs w:val="20"/>
                <w:lang w:val="en-US" w:eastAsia="it-IT"/>
              </w:rPr>
              <w:t>0.221</w:t>
            </w:r>
          </w:p>
        </w:tc>
      </w:tr>
      <w:tr w:rsidR="00C91A36" w:rsidRPr="00754FF2" w14:paraId="286A23E0" w14:textId="77777777" w:rsidTr="00EA3803">
        <w:trPr>
          <w:trHeight w:val="480"/>
          <w:jc w:val="center"/>
        </w:trPr>
        <w:tc>
          <w:tcPr>
            <w:tcW w:w="1843" w:type="dxa"/>
            <w:tcBorders>
              <w:top w:val="nil"/>
              <w:left w:val="nil"/>
              <w:bottom w:val="nil"/>
              <w:right w:val="nil"/>
            </w:tcBorders>
            <w:shd w:val="clear" w:color="auto" w:fill="auto"/>
            <w:noWrap/>
            <w:vAlign w:val="center"/>
            <w:hideMark/>
          </w:tcPr>
          <w:p w14:paraId="3A69E23A" w14:textId="77777777" w:rsidR="00C91A36" w:rsidRPr="00ED2A7E" w:rsidRDefault="00C91A36" w:rsidP="005A4AC0">
            <w:pPr>
              <w:spacing w:line="480" w:lineRule="auto"/>
              <w:jc w:val="center"/>
              <w:rPr>
                <w:color w:val="000000"/>
                <w:sz w:val="20"/>
                <w:szCs w:val="20"/>
                <w:lang w:val="en-US" w:eastAsia="it-IT"/>
              </w:rPr>
            </w:pPr>
            <w:r w:rsidRPr="00ED2A7E">
              <w:rPr>
                <w:color w:val="000000"/>
                <w:sz w:val="20"/>
                <w:szCs w:val="20"/>
                <w:lang w:val="en-US" w:eastAsia="it-IT"/>
              </w:rPr>
              <w:t>NAA/</w:t>
            </w:r>
            <w:proofErr w:type="spellStart"/>
            <w:r w:rsidRPr="00ED2A7E">
              <w:rPr>
                <w:color w:val="000000"/>
                <w:sz w:val="20"/>
                <w:szCs w:val="20"/>
                <w:lang w:val="en-US" w:eastAsia="it-IT"/>
              </w:rPr>
              <w:t>mI</w:t>
            </w:r>
            <w:proofErr w:type="spellEnd"/>
          </w:p>
        </w:tc>
        <w:tc>
          <w:tcPr>
            <w:tcW w:w="2308" w:type="dxa"/>
            <w:tcBorders>
              <w:top w:val="nil"/>
              <w:left w:val="nil"/>
              <w:bottom w:val="nil"/>
              <w:right w:val="nil"/>
            </w:tcBorders>
            <w:shd w:val="clear" w:color="auto" w:fill="auto"/>
            <w:noWrap/>
            <w:vAlign w:val="center"/>
            <w:hideMark/>
          </w:tcPr>
          <w:p w14:paraId="0B18ADAE"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1.68(±0.50)</w:t>
            </w:r>
          </w:p>
        </w:tc>
        <w:tc>
          <w:tcPr>
            <w:tcW w:w="1661" w:type="dxa"/>
            <w:tcBorders>
              <w:top w:val="nil"/>
              <w:left w:val="nil"/>
              <w:bottom w:val="nil"/>
              <w:right w:val="nil"/>
            </w:tcBorders>
            <w:shd w:val="clear" w:color="auto" w:fill="auto"/>
            <w:noWrap/>
            <w:vAlign w:val="center"/>
            <w:hideMark/>
          </w:tcPr>
          <w:p w14:paraId="4CCBA12F"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2.10(±0.54)</w:t>
            </w:r>
          </w:p>
        </w:tc>
        <w:tc>
          <w:tcPr>
            <w:tcW w:w="1134" w:type="dxa"/>
            <w:tcBorders>
              <w:top w:val="nil"/>
              <w:left w:val="nil"/>
              <w:bottom w:val="nil"/>
              <w:right w:val="nil"/>
            </w:tcBorders>
            <w:shd w:val="clear" w:color="auto" w:fill="auto"/>
            <w:noWrap/>
            <w:vAlign w:val="center"/>
            <w:hideMark/>
          </w:tcPr>
          <w:p w14:paraId="3AF37206" w14:textId="77777777" w:rsidR="00C91A36" w:rsidRPr="00754FF2" w:rsidRDefault="00C91A36" w:rsidP="005A4AC0">
            <w:pPr>
              <w:spacing w:line="480" w:lineRule="auto"/>
              <w:jc w:val="center"/>
              <w:rPr>
                <w:b/>
                <w:bCs/>
                <w:color w:val="000000"/>
                <w:sz w:val="20"/>
                <w:szCs w:val="20"/>
                <w:u w:val="single"/>
                <w:lang w:val="en-US" w:eastAsia="it-IT"/>
              </w:rPr>
            </w:pPr>
            <w:r w:rsidRPr="00754FF2">
              <w:rPr>
                <w:b/>
                <w:bCs/>
                <w:color w:val="000000"/>
                <w:sz w:val="20"/>
                <w:szCs w:val="20"/>
                <w:u w:val="single"/>
                <w:lang w:val="en-US" w:eastAsia="it-IT"/>
              </w:rPr>
              <w:t>0.004</w:t>
            </w:r>
          </w:p>
        </w:tc>
      </w:tr>
      <w:tr w:rsidR="00C91A36" w:rsidRPr="00754FF2" w14:paraId="126250C5" w14:textId="77777777" w:rsidTr="00EA3803">
        <w:trPr>
          <w:trHeight w:val="405"/>
          <w:jc w:val="center"/>
        </w:trPr>
        <w:tc>
          <w:tcPr>
            <w:tcW w:w="6946" w:type="dxa"/>
            <w:gridSpan w:val="4"/>
            <w:tcBorders>
              <w:top w:val="single" w:sz="4" w:space="0" w:color="auto"/>
              <w:left w:val="nil"/>
              <w:bottom w:val="single" w:sz="4" w:space="0" w:color="auto"/>
              <w:right w:val="nil"/>
            </w:tcBorders>
            <w:shd w:val="clear" w:color="auto" w:fill="auto"/>
            <w:noWrap/>
            <w:vAlign w:val="center"/>
            <w:hideMark/>
          </w:tcPr>
          <w:p w14:paraId="0AEF1E19" w14:textId="77777777" w:rsidR="00C91A36" w:rsidRPr="00ED2A7E" w:rsidRDefault="00C91A36" w:rsidP="005A4AC0">
            <w:pPr>
              <w:spacing w:line="480" w:lineRule="auto"/>
              <w:jc w:val="center"/>
              <w:rPr>
                <w:i/>
                <w:iCs/>
                <w:color w:val="000000"/>
                <w:sz w:val="20"/>
                <w:szCs w:val="20"/>
                <w:lang w:val="en-US" w:eastAsia="it-IT"/>
              </w:rPr>
            </w:pPr>
            <w:r w:rsidRPr="00ED2A7E">
              <w:rPr>
                <w:i/>
                <w:iCs/>
                <w:color w:val="000000"/>
                <w:sz w:val="20"/>
                <w:szCs w:val="20"/>
                <w:lang w:val="en-US" w:eastAsia="it-IT"/>
              </w:rPr>
              <w:t>Cerebellar hemisphere</w:t>
            </w:r>
          </w:p>
        </w:tc>
      </w:tr>
      <w:tr w:rsidR="00C91A36" w:rsidRPr="00754FF2" w14:paraId="3217C71F" w14:textId="77777777" w:rsidTr="00EA3803">
        <w:trPr>
          <w:trHeight w:val="480"/>
          <w:jc w:val="center"/>
        </w:trPr>
        <w:tc>
          <w:tcPr>
            <w:tcW w:w="1843" w:type="dxa"/>
            <w:tcBorders>
              <w:top w:val="nil"/>
              <w:left w:val="nil"/>
              <w:bottom w:val="nil"/>
              <w:right w:val="nil"/>
            </w:tcBorders>
            <w:shd w:val="clear" w:color="auto" w:fill="auto"/>
            <w:noWrap/>
            <w:vAlign w:val="center"/>
            <w:hideMark/>
          </w:tcPr>
          <w:p w14:paraId="60C14512" w14:textId="77777777" w:rsidR="00C91A36" w:rsidRPr="00ED2A7E" w:rsidRDefault="00C91A36" w:rsidP="005A4AC0">
            <w:pPr>
              <w:spacing w:line="480" w:lineRule="auto"/>
              <w:jc w:val="center"/>
              <w:rPr>
                <w:color w:val="000000"/>
                <w:sz w:val="20"/>
                <w:szCs w:val="20"/>
                <w:lang w:val="en-US" w:eastAsia="it-IT"/>
              </w:rPr>
            </w:pPr>
            <w:r w:rsidRPr="00ED2A7E">
              <w:rPr>
                <w:color w:val="000000"/>
                <w:sz w:val="20"/>
                <w:szCs w:val="20"/>
                <w:lang w:val="en-US" w:eastAsia="it-IT"/>
              </w:rPr>
              <w:t>NAA/Cr</w:t>
            </w:r>
          </w:p>
        </w:tc>
        <w:tc>
          <w:tcPr>
            <w:tcW w:w="2308" w:type="dxa"/>
            <w:tcBorders>
              <w:top w:val="nil"/>
              <w:left w:val="nil"/>
              <w:bottom w:val="nil"/>
              <w:right w:val="nil"/>
            </w:tcBorders>
            <w:shd w:val="clear" w:color="auto" w:fill="auto"/>
            <w:noWrap/>
            <w:vAlign w:val="center"/>
            <w:hideMark/>
          </w:tcPr>
          <w:p w14:paraId="7183A385"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0.96(±0.16)</w:t>
            </w:r>
          </w:p>
        </w:tc>
        <w:tc>
          <w:tcPr>
            <w:tcW w:w="1661" w:type="dxa"/>
            <w:tcBorders>
              <w:top w:val="nil"/>
              <w:left w:val="nil"/>
              <w:bottom w:val="nil"/>
              <w:right w:val="nil"/>
            </w:tcBorders>
            <w:shd w:val="clear" w:color="auto" w:fill="auto"/>
            <w:noWrap/>
            <w:vAlign w:val="center"/>
            <w:hideMark/>
          </w:tcPr>
          <w:p w14:paraId="6225194E"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1.24(±0.15)</w:t>
            </w:r>
          </w:p>
        </w:tc>
        <w:tc>
          <w:tcPr>
            <w:tcW w:w="1134" w:type="dxa"/>
            <w:tcBorders>
              <w:top w:val="nil"/>
              <w:left w:val="nil"/>
              <w:bottom w:val="nil"/>
              <w:right w:val="nil"/>
            </w:tcBorders>
            <w:shd w:val="clear" w:color="auto" w:fill="auto"/>
            <w:noWrap/>
            <w:vAlign w:val="center"/>
            <w:hideMark/>
          </w:tcPr>
          <w:p w14:paraId="4448A612" w14:textId="77777777" w:rsidR="00C91A36" w:rsidRPr="00754FF2" w:rsidRDefault="00C91A36" w:rsidP="005A4AC0">
            <w:pPr>
              <w:spacing w:line="480" w:lineRule="auto"/>
              <w:jc w:val="center"/>
              <w:rPr>
                <w:b/>
                <w:bCs/>
                <w:color w:val="000000"/>
                <w:sz w:val="20"/>
                <w:szCs w:val="20"/>
                <w:u w:val="single"/>
                <w:lang w:val="en-US" w:eastAsia="it-IT"/>
              </w:rPr>
            </w:pPr>
            <w:r w:rsidRPr="00754FF2">
              <w:rPr>
                <w:b/>
                <w:bCs/>
                <w:color w:val="000000"/>
                <w:sz w:val="20"/>
                <w:szCs w:val="20"/>
                <w:u w:val="single"/>
                <w:lang w:val="en-US" w:eastAsia="it-IT"/>
              </w:rPr>
              <w:t>0.001</w:t>
            </w:r>
          </w:p>
        </w:tc>
      </w:tr>
      <w:tr w:rsidR="00C91A36" w:rsidRPr="00754FF2" w14:paraId="221531DA" w14:textId="77777777" w:rsidTr="00EA3803">
        <w:trPr>
          <w:trHeight w:val="480"/>
          <w:jc w:val="center"/>
        </w:trPr>
        <w:tc>
          <w:tcPr>
            <w:tcW w:w="1843" w:type="dxa"/>
            <w:tcBorders>
              <w:top w:val="nil"/>
              <w:left w:val="nil"/>
              <w:bottom w:val="nil"/>
              <w:right w:val="nil"/>
            </w:tcBorders>
            <w:shd w:val="clear" w:color="auto" w:fill="auto"/>
            <w:noWrap/>
            <w:vAlign w:val="center"/>
            <w:hideMark/>
          </w:tcPr>
          <w:p w14:paraId="553ECE25" w14:textId="77777777" w:rsidR="00C91A36" w:rsidRPr="00ED2A7E" w:rsidRDefault="00C91A36" w:rsidP="005A4AC0">
            <w:pPr>
              <w:spacing w:line="480" w:lineRule="auto"/>
              <w:jc w:val="center"/>
              <w:rPr>
                <w:color w:val="000000"/>
                <w:sz w:val="20"/>
                <w:szCs w:val="20"/>
                <w:lang w:val="en-US" w:eastAsia="it-IT"/>
              </w:rPr>
            </w:pPr>
            <w:r w:rsidRPr="00ED2A7E">
              <w:rPr>
                <w:color w:val="000000"/>
                <w:sz w:val="20"/>
                <w:szCs w:val="20"/>
                <w:lang w:val="en-US" w:eastAsia="it-IT"/>
              </w:rPr>
              <w:t>Cho/Cr</w:t>
            </w:r>
          </w:p>
        </w:tc>
        <w:tc>
          <w:tcPr>
            <w:tcW w:w="2308" w:type="dxa"/>
            <w:tcBorders>
              <w:top w:val="nil"/>
              <w:left w:val="nil"/>
              <w:bottom w:val="nil"/>
              <w:right w:val="nil"/>
            </w:tcBorders>
            <w:shd w:val="clear" w:color="auto" w:fill="auto"/>
            <w:noWrap/>
            <w:vAlign w:val="center"/>
            <w:hideMark/>
          </w:tcPr>
          <w:p w14:paraId="65775222"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0.24(±0.03)</w:t>
            </w:r>
          </w:p>
        </w:tc>
        <w:tc>
          <w:tcPr>
            <w:tcW w:w="1661" w:type="dxa"/>
            <w:tcBorders>
              <w:top w:val="nil"/>
              <w:left w:val="nil"/>
              <w:bottom w:val="nil"/>
              <w:right w:val="nil"/>
            </w:tcBorders>
            <w:shd w:val="clear" w:color="auto" w:fill="auto"/>
            <w:noWrap/>
            <w:vAlign w:val="center"/>
            <w:hideMark/>
          </w:tcPr>
          <w:p w14:paraId="2D96C363"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0.29(±0.03)</w:t>
            </w:r>
          </w:p>
        </w:tc>
        <w:tc>
          <w:tcPr>
            <w:tcW w:w="1134" w:type="dxa"/>
            <w:tcBorders>
              <w:top w:val="nil"/>
              <w:left w:val="nil"/>
              <w:bottom w:val="nil"/>
              <w:right w:val="nil"/>
            </w:tcBorders>
            <w:shd w:val="clear" w:color="auto" w:fill="auto"/>
            <w:noWrap/>
            <w:vAlign w:val="center"/>
            <w:hideMark/>
          </w:tcPr>
          <w:p w14:paraId="0BD26910" w14:textId="77777777" w:rsidR="00C91A36" w:rsidRPr="00754FF2" w:rsidRDefault="00C91A36" w:rsidP="005A4AC0">
            <w:pPr>
              <w:spacing w:line="480" w:lineRule="auto"/>
              <w:jc w:val="center"/>
              <w:rPr>
                <w:b/>
                <w:bCs/>
                <w:color w:val="000000"/>
                <w:sz w:val="20"/>
                <w:szCs w:val="20"/>
                <w:u w:val="single"/>
                <w:lang w:val="en-US" w:eastAsia="it-IT"/>
              </w:rPr>
            </w:pPr>
            <w:r w:rsidRPr="00754FF2">
              <w:rPr>
                <w:b/>
                <w:bCs/>
                <w:color w:val="000000"/>
                <w:sz w:val="20"/>
                <w:szCs w:val="20"/>
                <w:u w:val="single"/>
                <w:lang w:val="en-US" w:eastAsia="it-IT"/>
              </w:rPr>
              <w:t>0.009</w:t>
            </w:r>
          </w:p>
        </w:tc>
      </w:tr>
      <w:tr w:rsidR="00C91A36" w:rsidRPr="00754FF2" w14:paraId="32C1950B" w14:textId="77777777" w:rsidTr="00EA3803">
        <w:trPr>
          <w:trHeight w:val="480"/>
          <w:jc w:val="center"/>
        </w:trPr>
        <w:tc>
          <w:tcPr>
            <w:tcW w:w="1843" w:type="dxa"/>
            <w:tcBorders>
              <w:top w:val="nil"/>
              <w:left w:val="nil"/>
              <w:bottom w:val="nil"/>
              <w:right w:val="nil"/>
            </w:tcBorders>
            <w:shd w:val="clear" w:color="auto" w:fill="auto"/>
            <w:noWrap/>
            <w:vAlign w:val="center"/>
            <w:hideMark/>
          </w:tcPr>
          <w:p w14:paraId="22264406" w14:textId="77777777" w:rsidR="00C91A36" w:rsidRPr="00ED2A7E" w:rsidRDefault="00C91A36" w:rsidP="005A4AC0">
            <w:pPr>
              <w:spacing w:line="480" w:lineRule="auto"/>
              <w:jc w:val="center"/>
              <w:rPr>
                <w:color w:val="000000"/>
                <w:sz w:val="20"/>
                <w:szCs w:val="20"/>
                <w:lang w:val="en-US" w:eastAsia="it-IT"/>
              </w:rPr>
            </w:pPr>
            <w:proofErr w:type="spellStart"/>
            <w:r w:rsidRPr="00ED2A7E">
              <w:rPr>
                <w:color w:val="000000"/>
                <w:sz w:val="20"/>
                <w:szCs w:val="20"/>
                <w:lang w:val="en-US" w:eastAsia="it-IT"/>
              </w:rPr>
              <w:t>mI</w:t>
            </w:r>
            <w:proofErr w:type="spellEnd"/>
            <w:r w:rsidRPr="00ED2A7E">
              <w:rPr>
                <w:color w:val="000000"/>
                <w:sz w:val="20"/>
                <w:szCs w:val="20"/>
                <w:lang w:val="en-US" w:eastAsia="it-IT"/>
              </w:rPr>
              <w:t>/Cr</w:t>
            </w:r>
          </w:p>
        </w:tc>
        <w:tc>
          <w:tcPr>
            <w:tcW w:w="2308" w:type="dxa"/>
            <w:tcBorders>
              <w:top w:val="nil"/>
              <w:left w:val="nil"/>
              <w:bottom w:val="nil"/>
              <w:right w:val="nil"/>
            </w:tcBorders>
            <w:shd w:val="clear" w:color="auto" w:fill="auto"/>
            <w:noWrap/>
            <w:vAlign w:val="center"/>
            <w:hideMark/>
          </w:tcPr>
          <w:p w14:paraId="310C6D20"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0.75(±0.11)</w:t>
            </w:r>
          </w:p>
        </w:tc>
        <w:tc>
          <w:tcPr>
            <w:tcW w:w="1661" w:type="dxa"/>
            <w:tcBorders>
              <w:top w:val="nil"/>
              <w:left w:val="nil"/>
              <w:bottom w:val="nil"/>
              <w:right w:val="nil"/>
            </w:tcBorders>
            <w:shd w:val="clear" w:color="auto" w:fill="auto"/>
            <w:noWrap/>
            <w:vAlign w:val="center"/>
            <w:hideMark/>
          </w:tcPr>
          <w:p w14:paraId="44C34163"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0.68(±0.17)</w:t>
            </w:r>
          </w:p>
        </w:tc>
        <w:tc>
          <w:tcPr>
            <w:tcW w:w="1134" w:type="dxa"/>
            <w:tcBorders>
              <w:top w:val="nil"/>
              <w:left w:val="nil"/>
              <w:bottom w:val="nil"/>
              <w:right w:val="nil"/>
            </w:tcBorders>
            <w:shd w:val="clear" w:color="auto" w:fill="auto"/>
            <w:noWrap/>
            <w:vAlign w:val="center"/>
            <w:hideMark/>
          </w:tcPr>
          <w:p w14:paraId="11B047DD" w14:textId="77777777" w:rsidR="00C91A36" w:rsidRPr="00754FF2" w:rsidRDefault="00C91A36" w:rsidP="005A4AC0">
            <w:pPr>
              <w:spacing w:line="480" w:lineRule="auto"/>
              <w:jc w:val="center"/>
              <w:rPr>
                <w:color w:val="000000"/>
                <w:sz w:val="20"/>
                <w:szCs w:val="20"/>
                <w:lang w:val="en-US" w:eastAsia="it-IT"/>
              </w:rPr>
            </w:pPr>
            <w:r w:rsidRPr="00754FF2">
              <w:rPr>
                <w:color w:val="000000"/>
                <w:sz w:val="20"/>
                <w:szCs w:val="20"/>
                <w:lang w:val="en-US" w:eastAsia="it-IT"/>
              </w:rPr>
              <w:t>0.406</w:t>
            </w:r>
          </w:p>
        </w:tc>
      </w:tr>
      <w:tr w:rsidR="00C91A36" w:rsidRPr="00754FF2" w14:paraId="781E5E2A" w14:textId="77777777" w:rsidTr="00EA3803">
        <w:trPr>
          <w:trHeight w:val="480"/>
          <w:jc w:val="center"/>
        </w:trPr>
        <w:tc>
          <w:tcPr>
            <w:tcW w:w="1843" w:type="dxa"/>
            <w:tcBorders>
              <w:top w:val="nil"/>
              <w:left w:val="nil"/>
              <w:bottom w:val="single" w:sz="4" w:space="0" w:color="auto"/>
              <w:right w:val="nil"/>
            </w:tcBorders>
            <w:shd w:val="clear" w:color="auto" w:fill="auto"/>
            <w:noWrap/>
            <w:vAlign w:val="center"/>
            <w:hideMark/>
          </w:tcPr>
          <w:p w14:paraId="477FA3D5" w14:textId="77777777" w:rsidR="00C91A36" w:rsidRPr="00ED2A7E" w:rsidRDefault="00C91A36" w:rsidP="005A4AC0">
            <w:pPr>
              <w:spacing w:line="480" w:lineRule="auto"/>
              <w:jc w:val="center"/>
              <w:rPr>
                <w:color w:val="000000"/>
                <w:sz w:val="20"/>
                <w:szCs w:val="20"/>
                <w:lang w:val="en-US" w:eastAsia="it-IT"/>
              </w:rPr>
            </w:pPr>
            <w:r w:rsidRPr="00ED2A7E">
              <w:rPr>
                <w:color w:val="000000"/>
                <w:sz w:val="20"/>
                <w:szCs w:val="20"/>
                <w:lang w:val="en-US" w:eastAsia="it-IT"/>
              </w:rPr>
              <w:t>NAA/</w:t>
            </w:r>
            <w:proofErr w:type="spellStart"/>
            <w:r w:rsidRPr="00ED2A7E">
              <w:rPr>
                <w:color w:val="000000"/>
                <w:sz w:val="20"/>
                <w:szCs w:val="20"/>
                <w:lang w:val="en-US" w:eastAsia="it-IT"/>
              </w:rPr>
              <w:t>mI</w:t>
            </w:r>
            <w:proofErr w:type="spellEnd"/>
          </w:p>
        </w:tc>
        <w:tc>
          <w:tcPr>
            <w:tcW w:w="2308" w:type="dxa"/>
            <w:tcBorders>
              <w:top w:val="nil"/>
              <w:left w:val="nil"/>
              <w:bottom w:val="single" w:sz="4" w:space="0" w:color="auto"/>
              <w:right w:val="nil"/>
            </w:tcBorders>
            <w:shd w:val="clear" w:color="auto" w:fill="auto"/>
            <w:noWrap/>
            <w:vAlign w:val="center"/>
            <w:hideMark/>
          </w:tcPr>
          <w:p w14:paraId="06BCFE3F"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1.30(±0.23)</w:t>
            </w:r>
          </w:p>
        </w:tc>
        <w:tc>
          <w:tcPr>
            <w:tcW w:w="1661" w:type="dxa"/>
            <w:tcBorders>
              <w:top w:val="nil"/>
              <w:left w:val="nil"/>
              <w:bottom w:val="single" w:sz="4" w:space="0" w:color="auto"/>
              <w:right w:val="nil"/>
            </w:tcBorders>
            <w:shd w:val="clear" w:color="auto" w:fill="auto"/>
            <w:noWrap/>
            <w:vAlign w:val="center"/>
            <w:hideMark/>
          </w:tcPr>
          <w:p w14:paraId="1B725E87" w14:textId="77777777" w:rsidR="00C91A36" w:rsidRPr="00754FF2" w:rsidRDefault="00C91A36" w:rsidP="005A4AC0">
            <w:pPr>
              <w:spacing w:line="480" w:lineRule="auto"/>
              <w:jc w:val="center"/>
              <w:rPr>
                <w:sz w:val="20"/>
                <w:szCs w:val="20"/>
                <w:lang w:val="en-US" w:eastAsia="it-IT"/>
              </w:rPr>
            </w:pPr>
            <w:r w:rsidRPr="00754FF2">
              <w:rPr>
                <w:sz w:val="20"/>
                <w:szCs w:val="20"/>
                <w:lang w:val="en-US" w:eastAsia="it-IT"/>
              </w:rPr>
              <w:t>1.87(±0.37)</w:t>
            </w:r>
          </w:p>
        </w:tc>
        <w:tc>
          <w:tcPr>
            <w:tcW w:w="1134" w:type="dxa"/>
            <w:tcBorders>
              <w:top w:val="nil"/>
              <w:left w:val="nil"/>
              <w:bottom w:val="single" w:sz="4" w:space="0" w:color="auto"/>
              <w:right w:val="nil"/>
            </w:tcBorders>
            <w:shd w:val="clear" w:color="auto" w:fill="auto"/>
            <w:noWrap/>
            <w:vAlign w:val="center"/>
            <w:hideMark/>
          </w:tcPr>
          <w:p w14:paraId="0DA117E5" w14:textId="77777777" w:rsidR="00C91A36" w:rsidRPr="00754FF2" w:rsidRDefault="00C91A36" w:rsidP="005A4AC0">
            <w:pPr>
              <w:spacing w:line="480" w:lineRule="auto"/>
              <w:jc w:val="center"/>
              <w:rPr>
                <w:b/>
                <w:bCs/>
                <w:color w:val="000000"/>
                <w:sz w:val="20"/>
                <w:szCs w:val="20"/>
                <w:u w:val="single"/>
                <w:lang w:val="en-US" w:eastAsia="it-IT"/>
              </w:rPr>
            </w:pPr>
            <w:r w:rsidRPr="00754FF2">
              <w:rPr>
                <w:b/>
                <w:bCs/>
                <w:color w:val="000000"/>
                <w:sz w:val="20"/>
                <w:szCs w:val="20"/>
                <w:u w:val="single"/>
                <w:lang w:val="en-US" w:eastAsia="it-IT"/>
              </w:rPr>
              <w:t>0.001</w:t>
            </w:r>
          </w:p>
        </w:tc>
      </w:tr>
    </w:tbl>
    <w:p w14:paraId="400F7761" w14:textId="77777777" w:rsidR="00C91A36" w:rsidRDefault="00C91A36" w:rsidP="00C91A36">
      <w:pPr>
        <w:spacing w:line="480" w:lineRule="auto"/>
        <w:rPr>
          <w:rFonts w:eastAsiaTheme="minorEastAsia"/>
          <w:sz w:val="20"/>
          <w:szCs w:val="20"/>
          <w:lang w:val="en-US"/>
        </w:rPr>
      </w:pPr>
    </w:p>
    <w:p w14:paraId="2C63A379" w14:textId="77777777" w:rsidR="00C91A36" w:rsidRDefault="00C91A36" w:rsidP="00C91A36">
      <w:pPr>
        <w:spacing w:line="480" w:lineRule="auto"/>
        <w:rPr>
          <w:rFonts w:eastAsiaTheme="minorEastAsia"/>
          <w:sz w:val="20"/>
          <w:szCs w:val="20"/>
          <w:lang w:val="en-US"/>
        </w:rPr>
      </w:pPr>
    </w:p>
    <w:p w14:paraId="05832DA1" w14:textId="7C0A5301" w:rsidR="00C91A36" w:rsidRPr="00754FF2" w:rsidRDefault="00F54CBE" w:rsidP="00C91A36">
      <w:pPr>
        <w:spacing w:line="480" w:lineRule="auto"/>
        <w:rPr>
          <w:rFonts w:eastAsiaTheme="minorEastAsia"/>
          <w:b/>
          <w:bCs/>
          <w:sz w:val="20"/>
          <w:szCs w:val="20"/>
          <w:lang w:val="en-US"/>
        </w:rPr>
      </w:pPr>
      <w:r>
        <w:rPr>
          <w:rFonts w:eastAsiaTheme="minorEastAsia"/>
          <w:sz w:val="20"/>
          <w:szCs w:val="20"/>
          <w:lang w:val="en-US"/>
        </w:rPr>
        <w:t xml:space="preserve">MSS patients and healthy control metabolite ratio </w:t>
      </w:r>
      <w:r w:rsidRPr="00ED2A7E">
        <w:rPr>
          <w:rFonts w:eastAsiaTheme="minorEastAsia"/>
          <w:sz w:val="20"/>
          <w:szCs w:val="20"/>
          <w:lang w:val="en-US"/>
        </w:rPr>
        <w:t>reported as mean (±standard deviation)</w:t>
      </w:r>
      <w:r w:rsidR="00E63E2C">
        <w:rPr>
          <w:rFonts w:eastAsiaTheme="minorEastAsia"/>
          <w:sz w:val="20"/>
          <w:szCs w:val="20"/>
          <w:lang w:val="en-US"/>
        </w:rPr>
        <w:t>.</w:t>
      </w:r>
      <w:r>
        <w:rPr>
          <w:rFonts w:eastAsiaTheme="minorEastAsia"/>
          <w:sz w:val="20"/>
          <w:szCs w:val="20"/>
          <w:lang w:val="en-US"/>
        </w:rPr>
        <w:t xml:space="preserve"> </w:t>
      </w:r>
      <w:r w:rsidR="00C91A36" w:rsidRPr="00ED2A7E">
        <w:rPr>
          <w:rFonts w:eastAsiaTheme="minorEastAsia"/>
          <w:sz w:val="20"/>
          <w:szCs w:val="20"/>
          <w:lang w:val="en-US"/>
        </w:rPr>
        <w:t>P-values of Mann-Whit</w:t>
      </w:r>
      <w:r w:rsidR="00E63E2C">
        <w:rPr>
          <w:rFonts w:eastAsiaTheme="minorEastAsia"/>
          <w:sz w:val="20"/>
          <w:szCs w:val="20"/>
          <w:lang w:val="en-US"/>
        </w:rPr>
        <w:t>n</w:t>
      </w:r>
      <w:r w:rsidR="00C91A36" w:rsidRPr="00ED2A7E">
        <w:rPr>
          <w:rFonts w:eastAsiaTheme="minorEastAsia"/>
          <w:sz w:val="20"/>
          <w:szCs w:val="20"/>
          <w:lang w:val="en-US"/>
        </w:rPr>
        <w:t>ey tests are shown in bold if significant (p&lt;0.05), in bold if si</w:t>
      </w:r>
      <w:r w:rsidR="00C91A36" w:rsidRPr="00754FF2">
        <w:rPr>
          <w:rFonts w:eastAsiaTheme="minorEastAsia"/>
          <w:sz w:val="20"/>
          <w:szCs w:val="20"/>
          <w:lang w:val="en-US"/>
        </w:rPr>
        <w:t xml:space="preserve">gnificant after Bonferroni correction (p&lt;0.0125). </w:t>
      </w:r>
      <w:r>
        <w:rPr>
          <w:rFonts w:eastAsiaTheme="minorEastAsia"/>
          <w:sz w:val="20"/>
          <w:szCs w:val="20"/>
          <w:lang w:val="en-US"/>
        </w:rPr>
        <w:t xml:space="preserve">MSS: Melas-Spectrum Syndrome, </w:t>
      </w:r>
      <w:r w:rsidR="00C91A36" w:rsidRPr="00754FF2">
        <w:rPr>
          <w:rFonts w:eastAsiaTheme="minorEastAsia"/>
          <w:sz w:val="20"/>
          <w:szCs w:val="20"/>
          <w:lang w:val="en-US"/>
        </w:rPr>
        <w:t xml:space="preserve">MELAS: Mitochondrial </w:t>
      </w:r>
      <w:proofErr w:type="spellStart"/>
      <w:r w:rsidR="00C91A36" w:rsidRPr="00754FF2">
        <w:rPr>
          <w:rFonts w:eastAsiaTheme="minorEastAsia"/>
          <w:sz w:val="20"/>
          <w:szCs w:val="20"/>
          <w:lang w:val="en-US"/>
        </w:rPr>
        <w:t>Encephalomyopathy</w:t>
      </w:r>
      <w:proofErr w:type="spellEnd"/>
      <w:r w:rsidR="00C91A36" w:rsidRPr="00754FF2">
        <w:rPr>
          <w:rFonts w:eastAsiaTheme="minorEastAsia"/>
          <w:sz w:val="20"/>
          <w:szCs w:val="20"/>
          <w:lang w:val="en-US"/>
        </w:rPr>
        <w:t xml:space="preserve">, Lactic Acidosis, and Stroke-like episodes, MPOC: medial parieto-occipital cortex, POWM: parieto-occipital white matter, Cr: creatine, </w:t>
      </w:r>
      <w:proofErr w:type="spellStart"/>
      <w:r w:rsidR="00C91A36" w:rsidRPr="00754FF2">
        <w:rPr>
          <w:rFonts w:eastAsiaTheme="minorEastAsia"/>
          <w:sz w:val="20"/>
          <w:szCs w:val="20"/>
          <w:lang w:val="en-US"/>
        </w:rPr>
        <w:t>mI</w:t>
      </w:r>
      <w:proofErr w:type="spellEnd"/>
      <w:r w:rsidR="00C91A36" w:rsidRPr="00754FF2">
        <w:rPr>
          <w:rFonts w:eastAsiaTheme="minorEastAsia"/>
          <w:sz w:val="20"/>
          <w:szCs w:val="20"/>
          <w:lang w:val="en-US"/>
        </w:rPr>
        <w:t>: myo-inositol (</w:t>
      </w:r>
      <w:proofErr w:type="spellStart"/>
      <w:r w:rsidR="00C91A36" w:rsidRPr="00754FF2">
        <w:rPr>
          <w:rFonts w:eastAsiaTheme="minorEastAsia"/>
          <w:sz w:val="20"/>
          <w:szCs w:val="20"/>
          <w:lang w:val="en-US"/>
        </w:rPr>
        <w:t>mI</w:t>
      </w:r>
      <w:proofErr w:type="spellEnd"/>
      <w:r w:rsidR="00C91A36" w:rsidRPr="00754FF2">
        <w:rPr>
          <w:rFonts w:eastAsiaTheme="minorEastAsia"/>
          <w:sz w:val="20"/>
          <w:szCs w:val="20"/>
          <w:lang w:val="en-US"/>
        </w:rPr>
        <w:t>), NAA: N-acetyl-aspartate, Cho: choline-containing compounds.</w:t>
      </w:r>
    </w:p>
    <w:p w14:paraId="147A36B5" w14:textId="77777777" w:rsidR="00C91A36" w:rsidRDefault="00C91A36"/>
    <w:p w14:paraId="2F918097" w14:textId="77777777" w:rsidR="0008041B" w:rsidRDefault="0008041B"/>
    <w:p w14:paraId="7DB391DC" w14:textId="77777777" w:rsidR="0008041B" w:rsidRDefault="0008041B"/>
    <w:sectPr w:rsidR="000804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36"/>
    <w:rsid w:val="0008041B"/>
    <w:rsid w:val="0016461A"/>
    <w:rsid w:val="00257957"/>
    <w:rsid w:val="00576E5B"/>
    <w:rsid w:val="006A26E9"/>
    <w:rsid w:val="008A4742"/>
    <w:rsid w:val="00933573"/>
    <w:rsid w:val="00945574"/>
    <w:rsid w:val="00A75CEA"/>
    <w:rsid w:val="00B65941"/>
    <w:rsid w:val="00C57843"/>
    <w:rsid w:val="00C91A36"/>
    <w:rsid w:val="00D13395"/>
    <w:rsid w:val="00E63E2C"/>
    <w:rsid w:val="00EA3803"/>
    <w:rsid w:val="00F54C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A4DE"/>
  <w15:chartTrackingRefBased/>
  <w15:docId w15:val="{8489B43E-9056-45ED-9FFB-22EED76C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A36"/>
    <w:pPr>
      <w:spacing w:after="0" w:line="240" w:lineRule="auto"/>
    </w:pPr>
    <w:rPr>
      <w:rFonts w:ascii="Times New Roman" w:eastAsia="Times New Roman" w:hAnsi="Times New Roman" w:cs="Times New Roman"/>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A75CEA"/>
    <w:pPr>
      <w:spacing w:after="0" w:line="240" w:lineRule="auto"/>
    </w:pPr>
    <w:rPr>
      <w:rFonts w:ascii="Times New Roman" w:eastAsia="Times New Roman" w:hAnsi="Times New Roman" w:cs="Times New Roman"/>
      <w:sz w:val="24"/>
      <w:szCs w:val="24"/>
      <w:lang w:val="en-GB" w:eastAsia="en-GB"/>
    </w:rPr>
  </w:style>
  <w:style w:type="paragraph" w:styleId="Textodeglobo">
    <w:name w:val="Balloon Text"/>
    <w:basedOn w:val="Normal"/>
    <w:link w:val="TextodegloboCar"/>
    <w:uiPriority w:val="99"/>
    <w:semiHidden/>
    <w:unhideWhenUsed/>
    <w:rsid w:val="00A75CEA"/>
    <w:rPr>
      <w:sz w:val="18"/>
      <w:szCs w:val="18"/>
    </w:rPr>
  </w:style>
  <w:style w:type="character" w:customStyle="1" w:styleId="TextodegloboCar">
    <w:name w:val="Texto de globo Car"/>
    <w:basedOn w:val="Fuentedeprrafopredeter"/>
    <w:link w:val="Textodeglobo"/>
    <w:uiPriority w:val="99"/>
    <w:semiHidden/>
    <w:rsid w:val="00A75CEA"/>
    <w:rPr>
      <w:rFonts w:ascii="Times New Roman" w:eastAsia="Times New Roman" w:hAnsi="Times New Roman" w:cs="Times New Roman"/>
      <w:sz w:val="18"/>
      <w:szCs w:val="18"/>
      <w:lang w:val="en-GB" w:eastAsia="en-GB"/>
    </w:rPr>
  </w:style>
  <w:style w:type="character" w:styleId="Refdecomentario">
    <w:name w:val="annotation reference"/>
    <w:basedOn w:val="Fuentedeprrafopredeter"/>
    <w:uiPriority w:val="99"/>
    <w:semiHidden/>
    <w:unhideWhenUsed/>
    <w:rsid w:val="00B65941"/>
    <w:rPr>
      <w:sz w:val="16"/>
      <w:szCs w:val="16"/>
    </w:rPr>
  </w:style>
  <w:style w:type="paragraph" w:styleId="Textocomentario">
    <w:name w:val="annotation text"/>
    <w:basedOn w:val="Normal"/>
    <w:link w:val="TextocomentarioCar"/>
    <w:uiPriority w:val="99"/>
    <w:semiHidden/>
    <w:unhideWhenUsed/>
    <w:rsid w:val="00B65941"/>
    <w:rPr>
      <w:sz w:val="20"/>
      <w:szCs w:val="20"/>
    </w:rPr>
  </w:style>
  <w:style w:type="character" w:customStyle="1" w:styleId="TextocomentarioCar">
    <w:name w:val="Texto comentario Car"/>
    <w:basedOn w:val="Fuentedeprrafopredeter"/>
    <w:link w:val="Textocomentario"/>
    <w:uiPriority w:val="99"/>
    <w:semiHidden/>
    <w:rsid w:val="00B65941"/>
    <w:rPr>
      <w:rFonts w:ascii="Times New Roman" w:eastAsia="Times New Roman" w:hAnsi="Times New Roman" w:cs="Times New Roman"/>
      <w:sz w:val="20"/>
      <w:szCs w:val="20"/>
      <w:lang w:val="en-GB" w:eastAsia="en-GB"/>
    </w:rPr>
  </w:style>
  <w:style w:type="paragraph" w:styleId="Asuntodelcomentario">
    <w:name w:val="annotation subject"/>
    <w:basedOn w:val="Textocomentario"/>
    <w:next w:val="Textocomentario"/>
    <w:link w:val="AsuntodelcomentarioCar"/>
    <w:uiPriority w:val="99"/>
    <w:semiHidden/>
    <w:unhideWhenUsed/>
    <w:rsid w:val="00B65941"/>
    <w:rPr>
      <w:b/>
      <w:bCs/>
    </w:rPr>
  </w:style>
  <w:style w:type="character" w:customStyle="1" w:styleId="AsuntodelcomentarioCar">
    <w:name w:val="Asunto del comentario Car"/>
    <w:basedOn w:val="TextocomentarioCar"/>
    <w:link w:val="Asuntodelcomentario"/>
    <w:uiPriority w:val="99"/>
    <w:semiHidden/>
    <w:rsid w:val="00B65941"/>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B68AF-BBAF-9A41-BE64-EF8FCD4C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370</Words>
  <Characters>2114</Characters>
  <Application>Microsoft Office Word</Application>
  <DocSecurity>0</DocSecurity>
  <Lines>117</Lines>
  <Paragraphs>60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Olidata S.p.A.</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laura ludovica gramegna</cp:lastModifiedBy>
  <cp:revision>4</cp:revision>
  <dcterms:created xsi:type="dcterms:W3CDTF">2020-12-02T14:21:00Z</dcterms:created>
  <dcterms:modified xsi:type="dcterms:W3CDTF">2020-12-03T16:30:00Z</dcterms:modified>
</cp:coreProperties>
</file>