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7BE472" w14:textId="01AF1D51" w:rsidR="000125A4" w:rsidRPr="00762A2E" w:rsidRDefault="00D15AEA" w:rsidP="00E5496D">
      <w:pPr>
        <w:rPr>
          <w:b/>
        </w:rPr>
      </w:pPr>
      <w:r w:rsidRPr="00762A2E">
        <w:rPr>
          <w:b/>
        </w:rPr>
        <w:t>SUPPLEMENTAL INFORMATION</w:t>
      </w:r>
    </w:p>
    <w:p w14:paraId="7EF7C98B" w14:textId="77777777" w:rsidR="008F474D" w:rsidRPr="00762A2E" w:rsidRDefault="008F474D" w:rsidP="00E5496D">
      <w:pPr>
        <w:jc w:val="both"/>
      </w:pPr>
      <w:r w:rsidRPr="00762A2E">
        <w:rPr>
          <w:b/>
        </w:rPr>
        <w:tab/>
      </w:r>
      <w:r w:rsidR="00B309AD" w:rsidRPr="00762A2E">
        <w:tab/>
      </w:r>
      <w:r w:rsidR="00B309AD" w:rsidRPr="00762A2E">
        <w:tab/>
      </w:r>
      <w:r w:rsidR="00B309AD" w:rsidRPr="00762A2E">
        <w:tab/>
      </w:r>
      <w:r w:rsidR="00B309AD" w:rsidRPr="00762A2E">
        <w:tab/>
      </w:r>
      <w:r w:rsidR="00B309AD" w:rsidRPr="00762A2E">
        <w:tab/>
      </w:r>
      <w:r w:rsidR="00B309AD" w:rsidRPr="00762A2E">
        <w:tab/>
      </w:r>
      <w:r w:rsidR="00B309AD" w:rsidRPr="00762A2E">
        <w:tab/>
      </w:r>
      <w:r w:rsidR="00B309AD" w:rsidRPr="00762A2E">
        <w:tab/>
        <w:t xml:space="preserve">           </w:t>
      </w:r>
      <w:r w:rsidR="009A4BD3" w:rsidRPr="00762A2E">
        <w:t>Page</w:t>
      </w:r>
      <w:r w:rsidR="00B309AD" w:rsidRPr="00762A2E">
        <w:t>:</w:t>
      </w:r>
    </w:p>
    <w:p w14:paraId="02FBDB80" w14:textId="77777777" w:rsidR="008F474D" w:rsidRPr="00762A2E" w:rsidRDefault="008F474D" w:rsidP="00E5496D">
      <w:pPr>
        <w:contextualSpacing/>
        <w:jc w:val="both"/>
      </w:pPr>
      <w:r w:rsidRPr="00762A2E">
        <w:t xml:space="preserve">Phenotype of patients with synonymous </w:t>
      </w:r>
      <w:r w:rsidRPr="00762A2E">
        <w:rPr>
          <w:i/>
        </w:rPr>
        <w:t>GATA2</w:t>
      </w:r>
      <w:r w:rsidRPr="00762A2E">
        <w:t xml:space="preserve"> mutations</w:t>
      </w:r>
      <w:r w:rsidRPr="00762A2E">
        <w:tab/>
      </w:r>
      <w:r w:rsidRPr="00762A2E">
        <w:tab/>
      </w:r>
      <w:r w:rsidRPr="00762A2E">
        <w:tab/>
      </w:r>
      <w:r w:rsidR="0054444A" w:rsidRPr="00762A2E">
        <w:t>1</w:t>
      </w:r>
      <w:r w:rsidR="00A5539F" w:rsidRPr="00762A2E">
        <w:t xml:space="preserve">  </w:t>
      </w:r>
    </w:p>
    <w:p w14:paraId="132076AC" w14:textId="77777777" w:rsidR="007B761C" w:rsidRPr="00762A2E" w:rsidRDefault="007B761C" w:rsidP="00E5496D">
      <w:pPr>
        <w:contextualSpacing/>
        <w:jc w:val="both"/>
        <w:rPr>
          <w:rFonts w:ascii="Calibri" w:hAnsi="Calibri"/>
        </w:rPr>
      </w:pPr>
      <w:r w:rsidRPr="00762A2E">
        <w:rPr>
          <w:rFonts w:ascii="Calibri" w:hAnsi="Calibri"/>
        </w:rPr>
        <w:t>Supplemental Methods</w:t>
      </w:r>
      <w:r w:rsidR="00A5539F" w:rsidRPr="00762A2E">
        <w:rPr>
          <w:rFonts w:ascii="Calibri" w:hAnsi="Calibri"/>
        </w:rPr>
        <w:tab/>
      </w:r>
      <w:r w:rsidR="00A5539F" w:rsidRPr="00762A2E">
        <w:rPr>
          <w:rFonts w:ascii="Calibri" w:hAnsi="Calibri"/>
        </w:rPr>
        <w:tab/>
      </w:r>
      <w:r w:rsidR="00A5539F" w:rsidRPr="00762A2E">
        <w:rPr>
          <w:rFonts w:ascii="Calibri" w:hAnsi="Calibri"/>
        </w:rPr>
        <w:tab/>
      </w:r>
      <w:r w:rsidR="00A5539F" w:rsidRPr="00762A2E">
        <w:rPr>
          <w:rFonts w:ascii="Calibri" w:hAnsi="Calibri"/>
        </w:rPr>
        <w:tab/>
      </w:r>
      <w:r w:rsidR="00A5539F" w:rsidRPr="00762A2E">
        <w:rPr>
          <w:rFonts w:ascii="Calibri" w:hAnsi="Calibri"/>
        </w:rPr>
        <w:tab/>
      </w:r>
      <w:r w:rsidR="00A5539F" w:rsidRPr="00762A2E">
        <w:rPr>
          <w:rFonts w:ascii="Calibri" w:hAnsi="Calibri"/>
        </w:rPr>
        <w:tab/>
      </w:r>
      <w:r w:rsidR="00A5539F" w:rsidRPr="00762A2E">
        <w:rPr>
          <w:rFonts w:ascii="Calibri" w:hAnsi="Calibri"/>
        </w:rPr>
        <w:tab/>
      </w:r>
      <w:r w:rsidR="00A5539F" w:rsidRPr="00762A2E">
        <w:rPr>
          <w:rFonts w:ascii="Calibri" w:hAnsi="Calibri"/>
        </w:rPr>
        <w:tab/>
        <w:t xml:space="preserve">4  </w:t>
      </w:r>
    </w:p>
    <w:p w14:paraId="5F756EAA" w14:textId="58D6F4FE" w:rsidR="007B761C" w:rsidRPr="00762A2E" w:rsidRDefault="00120CB5" w:rsidP="00E5496D">
      <w:pPr>
        <w:contextualSpacing/>
        <w:jc w:val="both"/>
        <w:rPr>
          <w:rFonts w:ascii="Calibri" w:hAnsi="Calibri"/>
        </w:rPr>
      </w:pPr>
      <w:r w:rsidRPr="00762A2E">
        <w:rPr>
          <w:rFonts w:ascii="Calibri" w:hAnsi="Calibri"/>
        </w:rPr>
        <w:t>Supplemental Figure 1</w:t>
      </w:r>
      <w:r w:rsidR="004E725A" w:rsidRPr="00762A2E">
        <w:rPr>
          <w:rFonts w:ascii="Calibri" w:hAnsi="Calibri"/>
        </w:rPr>
        <w:tab/>
      </w:r>
      <w:r w:rsidR="004E725A" w:rsidRPr="00762A2E">
        <w:rPr>
          <w:rFonts w:ascii="Calibri" w:hAnsi="Calibri"/>
        </w:rPr>
        <w:tab/>
      </w:r>
      <w:r w:rsidR="004E725A" w:rsidRPr="00762A2E">
        <w:rPr>
          <w:rFonts w:ascii="Calibri" w:hAnsi="Calibri"/>
        </w:rPr>
        <w:tab/>
      </w:r>
      <w:r w:rsidR="004E725A" w:rsidRPr="00762A2E">
        <w:rPr>
          <w:rFonts w:ascii="Calibri" w:hAnsi="Calibri"/>
        </w:rPr>
        <w:tab/>
      </w:r>
      <w:r w:rsidR="004E725A" w:rsidRPr="00762A2E">
        <w:rPr>
          <w:rFonts w:ascii="Calibri" w:hAnsi="Calibri"/>
        </w:rPr>
        <w:tab/>
      </w:r>
      <w:r w:rsidR="004E725A" w:rsidRPr="00762A2E">
        <w:rPr>
          <w:rFonts w:ascii="Calibri" w:hAnsi="Calibri"/>
        </w:rPr>
        <w:tab/>
      </w:r>
      <w:r w:rsidR="004E725A" w:rsidRPr="00762A2E">
        <w:rPr>
          <w:rFonts w:ascii="Calibri" w:hAnsi="Calibri"/>
        </w:rPr>
        <w:tab/>
      </w:r>
      <w:r w:rsidR="004E725A" w:rsidRPr="00762A2E">
        <w:rPr>
          <w:rFonts w:ascii="Calibri" w:hAnsi="Calibri"/>
        </w:rPr>
        <w:tab/>
      </w:r>
      <w:r w:rsidR="00891EE4" w:rsidRPr="00762A2E">
        <w:rPr>
          <w:rFonts w:ascii="Calibri" w:hAnsi="Calibri"/>
        </w:rPr>
        <w:t>8</w:t>
      </w:r>
    </w:p>
    <w:p w14:paraId="372359DB" w14:textId="443D4FFA" w:rsidR="00120CB5" w:rsidRPr="00762A2E" w:rsidRDefault="00120CB5" w:rsidP="00E5496D">
      <w:pPr>
        <w:contextualSpacing/>
        <w:jc w:val="both"/>
        <w:rPr>
          <w:rFonts w:ascii="Calibri" w:hAnsi="Calibri"/>
        </w:rPr>
      </w:pPr>
      <w:r w:rsidRPr="00762A2E">
        <w:rPr>
          <w:rFonts w:ascii="Calibri" w:hAnsi="Calibri"/>
        </w:rPr>
        <w:t>Supplemental Figure 2</w:t>
      </w:r>
      <w:r w:rsidR="008A0ED2" w:rsidRPr="00762A2E">
        <w:rPr>
          <w:rFonts w:ascii="Calibri" w:hAnsi="Calibri"/>
        </w:rPr>
        <w:tab/>
      </w:r>
      <w:r w:rsidR="008A0ED2" w:rsidRPr="00762A2E">
        <w:rPr>
          <w:rFonts w:ascii="Calibri" w:hAnsi="Calibri"/>
        </w:rPr>
        <w:tab/>
      </w:r>
      <w:r w:rsidR="008A0ED2" w:rsidRPr="00762A2E">
        <w:rPr>
          <w:rFonts w:ascii="Calibri" w:hAnsi="Calibri"/>
        </w:rPr>
        <w:tab/>
      </w:r>
      <w:r w:rsidR="008A0ED2" w:rsidRPr="00762A2E">
        <w:rPr>
          <w:rFonts w:ascii="Calibri" w:hAnsi="Calibri"/>
        </w:rPr>
        <w:tab/>
      </w:r>
      <w:r w:rsidR="008A0ED2" w:rsidRPr="00762A2E">
        <w:rPr>
          <w:rFonts w:ascii="Calibri" w:hAnsi="Calibri"/>
        </w:rPr>
        <w:tab/>
      </w:r>
      <w:r w:rsidR="008A0ED2" w:rsidRPr="00762A2E">
        <w:rPr>
          <w:rFonts w:ascii="Calibri" w:hAnsi="Calibri"/>
        </w:rPr>
        <w:tab/>
      </w:r>
      <w:r w:rsidR="008A0ED2" w:rsidRPr="00762A2E">
        <w:rPr>
          <w:rFonts w:ascii="Calibri" w:hAnsi="Calibri"/>
        </w:rPr>
        <w:tab/>
      </w:r>
      <w:r w:rsidR="008A0ED2" w:rsidRPr="00762A2E">
        <w:rPr>
          <w:rFonts w:ascii="Calibri" w:hAnsi="Calibri"/>
        </w:rPr>
        <w:tab/>
      </w:r>
      <w:r w:rsidR="00891EE4" w:rsidRPr="00762A2E">
        <w:rPr>
          <w:rFonts w:ascii="Calibri" w:hAnsi="Calibri"/>
        </w:rPr>
        <w:t>9</w:t>
      </w:r>
    </w:p>
    <w:p w14:paraId="623B0830" w14:textId="3793FEA2" w:rsidR="001358F2" w:rsidRPr="00762A2E" w:rsidRDefault="001358F2" w:rsidP="00E5496D">
      <w:pPr>
        <w:contextualSpacing/>
        <w:jc w:val="both"/>
      </w:pPr>
      <w:r w:rsidRPr="00762A2E">
        <w:t>Supplemental Figure 3</w:t>
      </w:r>
      <w:r w:rsidRPr="00762A2E">
        <w:tab/>
      </w:r>
      <w:r w:rsidRPr="00762A2E">
        <w:tab/>
      </w:r>
      <w:r w:rsidRPr="00762A2E">
        <w:tab/>
      </w:r>
      <w:r w:rsidRPr="00762A2E">
        <w:tab/>
      </w:r>
      <w:r w:rsidRPr="00762A2E">
        <w:tab/>
      </w:r>
      <w:r w:rsidRPr="00762A2E">
        <w:tab/>
      </w:r>
      <w:r w:rsidRPr="00762A2E">
        <w:tab/>
      </w:r>
      <w:r w:rsidRPr="00762A2E">
        <w:tab/>
      </w:r>
      <w:r w:rsidR="009A6449" w:rsidRPr="00762A2E">
        <w:t>1</w:t>
      </w:r>
      <w:r w:rsidR="00891EE4" w:rsidRPr="00762A2E">
        <w:t>0</w:t>
      </w:r>
    </w:p>
    <w:p w14:paraId="386E718F" w14:textId="37C1BCDE" w:rsidR="00977E65" w:rsidRPr="00762A2E" w:rsidRDefault="00891EE4" w:rsidP="00977E65">
      <w:pPr>
        <w:contextualSpacing/>
        <w:jc w:val="both"/>
      </w:pPr>
      <w:r w:rsidRPr="00762A2E">
        <w:t>Supplemental Figure 4</w:t>
      </w:r>
      <w:r w:rsidRPr="00762A2E">
        <w:tab/>
      </w:r>
      <w:r w:rsidRPr="00762A2E">
        <w:tab/>
      </w:r>
      <w:r w:rsidRPr="00762A2E">
        <w:tab/>
      </w:r>
      <w:r w:rsidRPr="00762A2E">
        <w:tab/>
      </w:r>
      <w:r w:rsidRPr="00762A2E">
        <w:tab/>
      </w:r>
      <w:r w:rsidRPr="00762A2E">
        <w:tab/>
      </w:r>
      <w:r w:rsidRPr="00762A2E">
        <w:tab/>
      </w:r>
      <w:r w:rsidRPr="00762A2E">
        <w:tab/>
        <w:t>11</w:t>
      </w:r>
    </w:p>
    <w:p w14:paraId="434B5C6C" w14:textId="5270378E" w:rsidR="00407EE5" w:rsidRPr="00762A2E" w:rsidRDefault="00891EE4" w:rsidP="00E5496D">
      <w:pPr>
        <w:contextualSpacing/>
        <w:jc w:val="both"/>
      </w:pPr>
      <w:r w:rsidRPr="00762A2E">
        <w:t>Supplemental Figure 5</w:t>
      </w:r>
      <w:r w:rsidRPr="00762A2E">
        <w:tab/>
      </w:r>
      <w:r w:rsidRPr="00762A2E">
        <w:tab/>
      </w:r>
      <w:r w:rsidRPr="00762A2E">
        <w:tab/>
      </w:r>
      <w:r w:rsidRPr="00762A2E">
        <w:tab/>
      </w:r>
      <w:r w:rsidRPr="00762A2E">
        <w:tab/>
      </w:r>
      <w:r w:rsidRPr="00762A2E">
        <w:tab/>
      </w:r>
      <w:r w:rsidRPr="00762A2E">
        <w:tab/>
      </w:r>
      <w:r w:rsidRPr="00762A2E">
        <w:tab/>
        <w:t>12</w:t>
      </w:r>
    </w:p>
    <w:p w14:paraId="31EA54EC" w14:textId="25BDEC9B" w:rsidR="00DD7E08" w:rsidRPr="00762A2E" w:rsidRDefault="00891EE4" w:rsidP="00E5496D">
      <w:pPr>
        <w:contextualSpacing/>
        <w:jc w:val="both"/>
      </w:pPr>
      <w:r w:rsidRPr="00762A2E">
        <w:t>Supplemental Figure 6</w:t>
      </w:r>
      <w:r w:rsidRPr="00762A2E">
        <w:tab/>
      </w:r>
      <w:r w:rsidRPr="00762A2E">
        <w:tab/>
      </w:r>
      <w:r w:rsidRPr="00762A2E">
        <w:tab/>
      </w:r>
      <w:r w:rsidRPr="00762A2E">
        <w:tab/>
      </w:r>
      <w:r w:rsidRPr="00762A2E">
        <w:tab/>
      </w:r>
      <w:r w:rsidRPr="00762A2E">
        <w:tab/>
      </w:r>
      <w:r w:rsidRPr="00762A2E">
        <w:tab/>
      </w:r>
      <w:r w:rsidRPr="00762A2E">
        <w:tab/>
        <w:t>13</w:t>
      </w:r>
    </w:p>
    <w:p w14:paraId="1C282F97" w14:textId="04787980" w:rsidR="008F474D" w:rsidRPr="00762A2E" w:rsidRDefault="00120CB5" w:rsidP="00E5496D">
      <w:pPr>
        <w:contextualSpacing/>
        <w:jc w:val="both"/>
      </w:pPr>
      <w:r w:rsidRPr="00762A2E">
        <w:t>Supplemental Table 1</w:t>
      </w:r>
      <w:r w:rsidR="00EC6B73" w:rsidRPr="00762A2E">
        <w:tab/>
      </w:r>
      <w:r w:rsidR="00EC6B73" w:rsidRPr="00762A2E">
        <w:tab/>
      </w:r>
      <w:r w:rsidR="00EC6B73" w:rsidRPr="00762A2E">
        <w:tab/>
      </w:r>
      <w:r w:rsidR="00EC6B73" w:rsidRPr="00762A2E">
        <w:tab/>
      </w:r>
      <w:r w:rsidR="00EC6B73" w:rsidRPr="00762A2E">
        <w:tab/>
      </w:r>
      <w:r w:rsidR="00EC6B73" w:rsidRPr="00762A2E">
        <w:tab/>
      </w:r>
      <w:r w:rsidR="00EC6B73" w:rsidRPr="00762A2E">
        <w:tab/>
      </w:r>
      <w:r w:rsidR="00EC6B73" w:rsidRPr="00762A2E">
        <w:tab/>
      </w:r>
      <w:r w:rsidR="00891EE4" w:rsidRPr="00762A2E">
        <w:t>14</w:t>
      </w:r>
    </w:p>
    <w:p w14:paraId="4CB682AE" w14:textId="08F82C15" w:rsidR="00974046" w:rsidRPr="00762A2E" w:rsidRDefault="008F474D" w:rsidP="00E5496D">
      <w:pPr>
        <w:contextualSpacing/>
        <w:jc w:val="both"/>
        <w:rPr>
          <w:rFonts w:ascii="Calibri" w:hAnsi="Calibri"/>
        </w:rPr>
      </w:pPr>
      <w:r w:rsidRPr="00762A2E">
        <w:rPr>
          <w:rFonts w:ascii="Calibri" w:hAnsi="Calibri"/>
        </w:rPr>
        <w:t>Supplemental Table 2</w:t>
      </w:r>
      <w:r w:rsidR="001358F2" w:rsidRPr="00762A2E">
        <w:rPr>
          <w:rFonts w:ascii="Calibri" w:hAnsi="Calibri"/>
        </w:rPr>
        <w:tab/>
      </w:r>
      <w:r w:rsidR="001358F2" w:rsidRPr="00762A2E">
        <w:rPr>
          <w:rFonts w:ascii="Calibri" w:hAnsi="Calibri"/>
        </w:rPr>
        <w:tab/>
      </w:r>
      <w:r w:rsidR="001358F2" w:rsidRPr="00762A2E">
        <w:rPr>
          <w:rFonts w:ascii="Calibri" w:hAnsi="Calibri"/>
        </w:rPr>
        <w:tab/>
      </w:r>
      <w:r w:rsidR="001358F2" w:rsidRPr="00762A2E">
        <w:rPr>
          <w:rFonts w:ascii="Calibri" w:hAnsi="Calibri"/>
        </w:rPr>
        <w:tab/>
      </w:r>
      <w:r w:rsidR="001358F2" w:rsidRPr="00762A2E">
        <w:rPr>
          <w:rFonts w:ascii="Calibri" w:hAnsi="Calibri"/>
        </w:rPr>
        <w:tab/>
      </w:r>
      <w:r w:rsidR="001358F2" w:rsidRPr="00762A2E">
        <w:rPr>
          <w:rFonts w:ascii="Calibri" w:hAnsi="Calibri"/>
        </w:rPr>
        <w:tab/>
      </w:r>
      <w:r w:rsidR="001358F2" w:rsidRPr="00762A2E">
        <w:rPr>
          <w:rFonts w:ascii="Calibri" w:hAnsi="Calibri"/>
        </w:rPr>
        <w:tab/>
      </w:r>
      <w:r w:rsidR="001358F2" w:rsidRPr="00762A2E">
        <w:rPr>
          <w:rFonts w:ascii="Calibri" w:hAnsi="Calibri"/>
        </w:rPr>
        <w:tab/>
      </w:r>
      <w:r w:rsidR="00891EE4" w:rsidRPr="00762A2E">
        <w:rPr>
          <w:rFonts w:ascii="Calibri" w:hAnsi="Calibri"/>
        </w:rPr>
        <w:t>15</w:t>
      </w:r>
    </w:p>
    <w:p w14:paraId="10C02A5A" w14:textId="5E042A31" w:rsidR="008F474D" w:rsidRPr="00762A2E" w:rsidRDefault="008F474D" w:rsidP="00E5496D">
      <w:pPr>
        <w:contextualSpacing/>
        <w:jc w:val="both"/>
        <w:rPr>
          <w:rFonts w:ascii="Calibri" w:hAnsi="Calibri"/>
        </w:rPr>
      </w:pPr>
      <w:r w:rsidRPr="00762A2E">
        <w:rPr>
          <w:rFonts w:ascii="Calibri" w:hAnsi="Calibri"/>
        </w:rPr>
        <w:t>References</w:t>
      </w:r>
      <w:r w:rsidR="001358F2" w:rsidRPr="00762A2E">
        <w:rPr>
          <w:rFonts w:ascii="Calibri" w:hAnsi="Calibri"/>
        </w:rPr>
        <w:tab/>
      </w:r>
      <w:r w:rsidR="001358F2" w:rsidRPr="00762A2E">
        <w:rPr>
          <w:rFonts w:ascii="Calibri" w:hAnsi="Calibri"/>
        </w:rPr>
        <w:tab/>
      </w:r>
      <w:r w:rsidR="001358F2" w:rsidRPr="00762A2E">
        <w:rPr>
          <w:rFonts w:ascii="Calibri" w:hAnsi="Calibri"/>
        </w:rPr>
        <w:tab/>
      </w:r>
      <w:r w:rsidR="001358F2" w:rsidRPr="00762A2E">
        <w:rPr>
          <w:rFonts w:ascii="Calibri" w:hAnsi="Calibri"/>
        </w:rPr>
        <w:tab/>
      </w:r>
      <w:r w:rsidR="001358F2" w:rsidRPr="00762A2E">
        <w:rPr>
          <w:rFonts w:ascii="Calibri" w:hAnsi="Calibri"/>
        </w:rPr>
        <w:tab/>
      </w:r>
      <w:r w:rsidR="001358F2" w:rsidRPr="00762A2E">
        <w:rPr>
          <w:rFonts w:ascii="Calibri" w:hAnsi="Calibri"/>
        </w:rPr>
        <w:tab/>
      </w:r>
      <w:r w:rsidR="001358F2" w:rsidRPr="00762A2E">
        <w:rPr>
          <w:rFonts w:ascii="Calibri" w:hAnsi="Calibri"/>
        </w:rPr>
        <w:tab/>
      </w:r>
      <w:r w:rsidR="001358F2" w:rsidRPr="00762A2E">
        <w:rPr>
          <w:rFonts w:ascii="Calibri" w:hAnsi="Calibri"/>
        </w:rPr>
        <w:tab/>
      </w:r>
      <w:r w:rsidR="001358F2" w:rsidRPr="00762A2E">
        <w:rPr>
          <w:rFonts w:ascii="Calibri" w:hAnsi="Calibri"/>
        </w:rPr>
        <w:tab/>
      </w:r>
      <w:r w:rsidR="004213D6" w:rsidRPr="00762A2E">
        <w:rPr>
          <w:rFonts w:ascii="Calibri" w:hAnsi="Calibri"/>
        </w:rPr>
        <w:t>1</w:t>
      </w:r>
      <w:r w:rsidR="00891EE4" w:rsidRPr="00762A2E">
        <w:rPr>
          <w:rFonts w:ascii="Calibri" w:hAnsi="Calibri"/>
        </w:rPr>
        <w:t>6</w:t>
      </w:r>
    </w:p>
    <w:p w14:paraId="57E2698D" w14:textId="77777777" w:rsidR="00142FF4" w:rsidRPr="00762A2E" w:rsidRDefault="00142FF4" w:rsidP="00E5496D">
      <w:pPr>
        <w:jc w:val="both"/>
        <w:rPr>
          <w:b/>
        </w:rPr>
      </w:pPr>
    </w:p>
    <w:p w14:paraId="2544EFC7" w14:textId="77777777" w:rsidR="00B13BF5" w:rsidRPr="00762A2E" w:rsidRDefault="005A7B50" w:rsidP="00E5496D">
      <w:pPr>
        <w:jc w:val="both"/>
        <w:rPr>
          <w:b/>
        </w:rPr>
      </w:pPr>
      <w:r w:rsidRPr="00762A2E">
        <w:rPr>
          <w:b/>
        </w:rPr>
        <w:t xml:space="preserve">PHENOTYPE OF PATIENTS WITH SYNONYMOUS </w:t>
      </w:r>
      <w:r w:rsidRPr="00762A2E">
        <w:rPr>
          <w:b/>
          <w:i/>
        </w:rPr>
        <w:t>GATA2</w:t>
      </w:r>
      <w:r w:rsidRPr="00762A2E">
        <w:rPr>
          <w:b/>
        </w:rPr>
        <w:t xml:space="preserve"> MUTATIONS</w:t>
      </w:r>
    </w:p>
    <w:p w14:paraId="60AF6F8C" w14:textId="04D51A91" w:rsidR="00474BBA" w:rsidRPr="00762A2E" w:rsidRDefault="00C57001" w:rsidP="00F56105">
      <w:pPr>
        <w:spacing w:after="0"/>
        <w:ind w:firstLine="720"/>
        <w:jc w:val="both"/>
        <w:rPr>
          <w:rFonts w:cs="Arial"/>
        </w:rPr>
      </w:pPr>
      <w:r w:rsidRPr="00762A2E">
        <w:rPr>
          <w:rFonts w:cs="Arial"/>
          <w:b/>
        </w:rPr>
        <w:t>Patient P1</w:t>
      </w:r>
      <w:r w:rsidRPr="00762A2E">
        <w:rPr>
          <w:rFonts w:cs="Arial"/>
        </w:rPr>
        <w:t xml:space="preserve"> </w:t>
      </w:r>
      <w:r w:rsidR="00C445AF" w:rsidRPr="00762A2E">
        <w:rPr>
          <w:rFonts w:cs="Arial"/>
        </w:rPr>
        <w:t>(D</w:t>
      </w:r>
      <w:r w:rsidR="00D13EB6" w:rsidRPr="00762A2E">
        <w:rPr>
          <w:rFonts w:cs="Arial"/>
        </w:rPr>
        <w:t xml:space="preserve"> </w:t>
      </w:r>
      <w:r w:rsidR="00C445AF" w:rsidRPr="00762A2E">
        <w:rPr>
          <w:rFonts w:cs="Arial"/>
        </w:rPr>
        <w:t xml:space="preserve">1239) </w:t>
      </w:r>
      <w:r w:rsidRPr="00762A2E">
        <w:rPr>
          <w:rFonts w:cs="Arial"/>
        </w:rPr>
        <w:t xml:space="preserve">presented </w:t>
      </w:r>
      <w:r w:rsidR="00142FF4" w:rsidRPr="00762A2E">
        <w:rPr>
          <w:rFonts w:cs="Arial"/>
        </w:rPr>
        <w:t xml:space="preserve">at the age of 12 years with </w:t>
      </w:r>
      <w:r w:rsidRPr="00762A2E">
        <w:rPr>
          <w:rFonts w:cs="Arial"/>
        </w:rPr>
        <w:t xml:space="preserve">inflammatory </w:t>
      </w:r>
      <w:r w:rsidR="00142FF4" w:rsidRPr="00762A2E">
        <w:rPr>
          <w:rFonts w:cs="Arial"/>
        </w:rPr>
        <w:t xml:space="preserve">disease </w:t>
      </w:r>
      <w:r w:rsidR="009B37F1" w:rsidRPr="00762A2E">
        <w:rPr>
          <w:rFonts w:cs="Arial"/>
        </w:rPr>
        <w:t xml:space="preserve">characterized by </w:t>
      </w:r>
      <w:r w:rsidRPr="00762A2E">
        <w:rPr>
          <w:rFonts w:cs="Arial"/>
        </w:rPr>
        <w:t>fever, chronic cough, edema, bursitis,</w:t>
      </w:r>
      <w:r w:rsidR="00E12F3E" w:rsidRPr="00762A2E">
        <w:rPr>
          <w:rFonts w:cs="Arial"/>
        </w:rPr>
        <w:t xml:space="preserve"> tenosynovitis</w:t>
      </w:r>
      <w:r w:rsidRPr="00762A2E">
        <w:rPr>
          <w:rFonts w:cs="Arial"/>
        </w:rPr>
        <w:t>, arthritis, lymphadenopathy and pericardial effusion</w:t>
      </w:r>
      <w:r w:rsidR="00142FF4" w:rsidRPr="00762A2E">
        <w:rPr>
          <w:rFonts w:cs="Arial"/>
        </w:rPr>
        <w:t xml:space="preserve">; labs showed </w:t>
      </w:r>
      <w:r w:rsidRPr="00762A2E">
        <w:rPr>
          <w:rFonts w:cs="Arial"/>
        </w:rPr>
        <w:t xml:space="preserve">hypergammaglobulinemia, increased blood sedimentation rate and CRP; antinuclear antibodies were </w:t>
      </w:r>
      <w:r w:rsidR="001A0044" w:rsidRPr="00762A2E">
        <w:rPr>
          <w:rFonts w:cs="Arial"/>
        </w:rPr>
        <w:t>negative</w:t>
      </w:r>
      <w:r w:rsidRPr="00762A2E">
        <w:rPr>
          <w:rFonts w:cs="Arial"/>
        </w:rPr>
        <w:t xml:space="preserve">. The patient showed severe normocytic hypochromic anemia </w:t>
      </w:r>
      <w:r w:rsidR="00142FF4" w:rsidRPr="00762A2E">
        <w:rPr>
          <w:rFonts w:cs="Arial"/>
        </w:rPr>
        <w:t xml:space="preserve">necessitating </w:t>
      </w:r>
      <w:r w:rsidRPr="00762A2E">
        <w:rPr>
          <w:rFonts w:cs="Arial"/>
        </w:rPr>
        <w:t xml:space="preserve">blood transfusion. The direct antiglobulin test was positive and warm antibodies were identified. Due to </w:t>
      </w:r>
      <w:r w:rsidR="00352CD6" w:rsidRPr="00762A2E">
        <w:rPr>
          <w:rFonts w:cs="Arial"/>
        </w:rPr>
        <w:t xml:space="preserve">positive </w:t>
      </w:r>
      <w:r w:rsidRPr="00762A2E">
        <w:rPr>
          <w:rFonts w:cs="Arial"/>
        </w:rPr>
        <w:t xml:space="preserve">family history </w:t>
      </w:r>
      <w:r w:rsidR="001A0044" w:rsidRPr="00762A2E">
        <w:rPr>
          <w:rFonts w:cs="Arial"/>
        </w:rPr>
        <w:t xml:space="preserve">in the </w:t>
      </w:r>
      <w:r w:rsidRPr="00762A2E">
        <w:rPr>
          <w:rFonts w:cs="Arial"/>
        </w:rPr>
        <w:t xml:space="preserve">mother </w:t>
      </w:r>
      <w:r w:rsidR="001A0044" w:rsidRPr="00762A2E">
        <w:rPr>
          <w:rFonts w:cs="Arial"/>
        </w:rPr>
        <w:t xml:space="preserve">who </w:t>
      </w:r>
      <w:r w:rsidR="00F46A61" w:rsidRPr="00762A2E">
        <w:rPr>
          <w:rFonts w:cs="Arial"/>
        </w:rPr>
        <w:t>presented with GATA2-deficient phenotype</w:t>
      </w:r>
      <w:r w:rsidR="00352CD6" w:rsidRPr="00762A2E">
        <w:rPr>
          <w:rFonts w:cs="Arial"/>
        </w:rPr>
        <w:t xml:space="preserve"> </w:t>
      </w:r>
      <w:r w:rsidR="00E12F3E" w:rsidRPr="00762A2E">
        <w:rPr>
          <w:rFonts w:cs="Arial"/>
        </w:rPr>
        <w:t>(</w:t>
      </w:r>
      <w:r w:rsidR="00352CD6" w:rsidRPr="00762A2E">
        <w:rPr>
          <w:rFonts w:cs="Arial"/>
        </w:rPr>
        <w:t>immunodeficiency, severe infections and lung disease</w:t>
      </w:r>
      <w:r w:rsidR="00693C0C" w:rsidRPr="00762A2E">
        <w:rPr>
          <w:rFonts w:cs="Arial"/>
        </w:rPr>
        <w:t xml:space="preserve"> (1)</w:t>
      </w:r>
      <w:r w:rsidR="00E12F3E" w:rsidRPr="00762A2E">
        <w:rPr>
          <w:rFonts w:cs="Arial"/>
        </w:rPr>
        <w:t>)</w:t>
      </w:r>
      <w:r w:rsidRPr="00762A2E">
        <w:rPr>
          <w:rFonts w:cs="Arial"/>
        </w:rPr>
        <w:t xml:space="preserve">, bone marrow </w:t>
      </w:r>
      <w:r w:rsidR="000D43B1" w:rsidRPr="00762A2E">
        <w:rPr>
          <w:rFonts w:cs="Arial"/>
        </w:rPr>
        <w:t>analysis</w:t>
      </w:r>
      <w:r w:rsidRPr="00762A2E">
        <w:rPr>
          <w:rFonts w:cs="Arial"/>
        </w:rPr>
        <w:t xml:space="preserve"> was performed and </w:t>
      </w:r>
      <w:r w:rsidR="001A0044" w:rsidRPr="00762A2E">
        <w:rPr>
          <w:rFonts w:cs="Arial"/>
        </w:rPr>
        <w:t xml:space="preserve">revealed </w:t>
      </w:r>
      <w:r w:rsidRPr="00762A2E">
        <w:rPr>
          <w:rFonts w:cs="Arial"/>
        </w:rPr>
        <w:t>normocellular refractory cytopenia of childhood (RCC)</w:t>
      </w:r>
      <w:r w:rsidR="00352CD6" w:rsidRPr="00762A2E">
        <w:rPr>
          <w:rFonts w:cs="Arial"/>
        </w:rPr>
        <w:t xml:space="preserve"> with </w:t>
      </w:r>
      <w:r w:rsidRPr="00762A2E">
        <w:rPr>
          <w:rFonts w:cs="Arial"/>
        </w:rPr>
        <w:t xml:space="preserve">monosomy 7. In line with this diagnosis, </w:t>
      </w:r>
      <w:r w:rsidR="009B37F1" w:rsidRPr="00762A2E">
        <w:rPr>
          <w:rFonts w:cs="Arial"/>
        </w:rPr>
        <w:t>B-</w:t>
      </w:r>
      <w:r w:rsidRPr="00762A2E">
        <w:rPr>
          <w:rFonts w:cs="Arial"/>
        </w:rPr>
        <w:t xml:space="preserve">cell lymphopenia, monocytopenia and lack of plasmacytoid dendritic cells </w:t>
      </w:r>
      <w:r w:rsidR="001A0044" w:rsidRPr="00762A2E">
        <w:rPr>
          <w:rFonts w:cs="Arial"/>
        </w:rPr>
        <w:t xml:space="preserve">were </w:t>
      </w:r>
      <w:r w:rsidR="004871BC" w:rsidRPr="00762A2E">
        <w:rPr>
          <w:rFonts w:cs="Arial"/>
        </w:rPr>
        <w:t>present</w:t>
      </w:r>
      <w:r w:rsidRPr="00762A2E">
        <w:rPr>
          <w:rFonts w:cs="Arial"/>
        </w:rPr>
        <w:t xml:space="preserve">. The further disease course was complicated by chronic arthritis treated with steroids, pneumocystis pneumonia and mild thrombocytopenia. </w:t>
      </w:r>
      <w:r w:rsidR="00142FF4" w:rsidRPr="00762A2E">
        <w:rPr>
          <w:rFonts w:cs="Arial"/>
        </w:rPr>
        <w:t>The patient underwent a</w:t>
      </w:r>
      <w:r w:rsidRPr="00762A2E">
        <w:rPr>
          <w:rFonts w:cs="Arial"/>
        </w:rPr>
        <w:t xml:space="preserve">llogeneic </w:t>
      </w:r>
      <w:r w:rsidR="001F5246" w:rsidRPr="00762A2E">
        <w:rPr>
          <w:rFonts w:cs="Arial"/>
        </w:rPr>
        <w:t>hematopoietic stem cell transplantation (</w:t>
      </w:r>
      <w:r w:rsidRPr="00762A2E">
        <w:rPr>
          <w:rFonts w:cs="Arial"/>
        </w:rPr>
        <w:t>HSCT</w:t>
      </w:r>
      <w:r w:rsidR="001F5246" w:rsidRPr="00762A2E">
        <w:rPr>
          <w:rFonts w:cs="Arial"/>
        </w:rPr>
        <w:t>)</w:t>
      </w:r>
      <w:r w:rsidRPr="00762A2E">
        <w:rPr>
          <w:rFonts w:cs="Arial"/>
        </w:rPr>
        <w:t xml:space="preserve"> from an HLA-matched unrelated donor</w:t>
      </w:r>
      <w:r w:rsidR="00142FF4" w:rsidRPr="00762A2E">
        <w:rPr>
          <w:rFonts w:cs="Arial"/>
        </w:rPr>
        <w:t xml:space="preserve"> (</w:t>
      </w:r>
      <w:r w:rsidR="001A0044" w:rsidRPr="00762A2E">
        <w:rPr>
          <w:rFonts w:cs="Arial"/>
        </w:rPr>
        <w:t xml:space="preserve">conditioning with </w:t>
      </w:r>
      <w:proofErr w:type="spellStart"/>
      <w:r w:rsidR="00142FF4" w:rsidRPr="00762A2E">
        <w:rPr>
          <w:rFonts w:cs="Arial"/>
        </w:rPr>
        <w:t>treosulfan</w:t>
      </w:r>
      <w:proofErr w:type="spellEnd"/>
      <w:r w:rsidR="00142FF4" w:rsidRPr="00762A2E">
        <w:rPr>
          <w:rFonts w:cs="Arial"/>
        </w:rPr>
        <w:t xml:space="preserve">, </w:t>
      </w:r>
      <w:proofErr w:type="spellStart"/>
      <w:r w:rsidRPr="00762A2E">
        <w:rPr>
          <w:rFonts w:cs="Arial"/>
        </w:rPr>
        <w:t>thiotepa</w:t>
      </w:r>
      <w:proofErr w:type="spellEnd"/>
      <w:r w:rsidRPr="00762A2E">
        <w:rPr>
          <w:rFonts w:cs="Arial"/>
        </w:rPr>
        <w:t xml:space="preserve">, </w:t>
      </w:r>
      <w:proofErr w:type="spellStart"/>
      <w:r w:rsidRPr="00762A2E">
        <w:rPr>
          <w:rFonts w:cs="Arial"/>
        </w:rPr>
        <w:t>fludarabine</w:t>
      </w:r>
      <w:proofErr w:type="spellEnd"/>
      <w:r w:rsidR="00142FF4" w:rsidRPr="00762A2E">
        <w:rPr>
          <w:rFonts w:cs="Arial"/>
        </w:rPr>
        <w:t>). At the last follow up, t</w:t>
      </w:r>
      <w:r w:rsidR="00474BBA" w:rsidRPr="00762A2E">
        <w:rPr>
          <w:rFonts w:cs="Arial"/>
        </w:rPr>
        <w:t xml:space="preserve">he patient </w:t>
      </w:r>
      <w:r w:rsidR="00142FF4" w:rsidRPr="00762A2E">
        <w:rPr>
          <w:rFonts w:cs="Arial"/>
        </w:rPr>
        <w:t xml:space="preserve">was </w:t>
      </w:r>
      <w:r w:rsidR="0055071B" w:rsidRPr="00762A2E">
        <w:rPr>
          <w:rFonts w:cs="Arial"/>
        </w:rPr>
        <w:t>13</w:t>
      </w:r>
      <w:r w:rsidR="00EE13D0" w:rsidRPr="00762A2E">
        <w:rPr>
          <w:rFonts w:cs="Arial"/>
        </w:rPr>
        <w:t>.5</w:t>
      </w:r>
      <w:r w:rsidR="00474BBA" w:rsidRPr="00762A2E">
        <w:rPr>
          <w:rFonts w:cs="Arial"/>
        </w:rPr>
        <w:t xml:space="preserve"> years old and alive with 100% donor chimerism. </w:t>
      </w:r>
    </w:p>
    <w:p w14:paraId="455727EC" w14:textId="49EDED38" w:rsidR="005C6EAB" w:rsidRPr="00762A2E" w:rsidRDefault="005C6EAB" w:rsidP="00E5496D">
      <w:pPr>
        <w:spacing w:after="0"/>
        <w:ind w:firstLine="720"/>
        <w:jc w:val="both"/>
      </w:pPr>
      <w:r w:rsidRPr="00762A2E">
        <w:rPr>
          <w:b/>
        </w:rPr>
        <w:t>P</w:t>
      </w:r>
      <w:r w:rsidR="005F7891" w:rsidRPr="00762A2E">
        <w:rPr>
          <w:b/>
        </w:rPr>
        <w:t>atient P2</w:t>
      </w:r>
      <w:r w:rsidR="005F7891" w:rsidRPr="00762A2E">
        <w:t xml:space="preserve"> is the young</w:t>
      </w:r>
      <w:r w:rsidR="00B309AD" w:rsidRPr="00762A2E">
        <w:t>er</w:t>
      </w:r>
      <w:r w:rsidR="005F7891" w:rsidRPr="00762A2E">
        <w:t xml:space="preserve"> sister of P1. As </w:t>
      </w:r>
      <w:r w:rsidR="00B309AD" w:rsidRPr="00762A2E">
        <w:t xml:space="preserve">a </w:t>
      </w:r>
      <w:r w:rsidR="005F7891" w:rsidRPr="00762A2E">
        <w:t>potential sibling donor</w:t>
      </w:r>
      <w:r w:rsidR="00762A2E">
        <w:t>,</w:t>
      </w:r>
      <w:r w:rsidR="005F7891" w:rsidRPr="00762A2E">
        <w:t xml:space="preserve"> she was tested positive for the </w:t>
      </w:r>
      <w:r w:rsidRPr="00762A2E">
        <w:t>same</w:t>
      </w:r>
      <w:r w:rsidR="005F7891" w:rsidRPr="00762A2E">
        <w:t xml:space="preserve"> </w:t>
      </w:r>
      <w:r w:rsidR="005F7891" w:rsidRPr="00762A2E">
        <w:rPr>
          <w:i/>
        </w:rPr>
        <w:t>GATA2</w:t>
      </w:r>
      <w:r w:rsidR="005F7891" w:rsidRPr="00762A2E">
        <w:t xml:space="preserve"> mutation. At the </w:t>
      </w:r>
      <w:r w:rsidR="00B309AD" w:rsidRPr="00762A2E">
        <w:t xml:space="preserve">last follow up at </w:t>
      </w:r>
      <w:r w:rsidR="00FF6800" w:rsidRPr="00762A2E">
        <w:t>age of 12</w:t>
      </w:r>
      <w:r w:rsidR="005F7891" w:rsidRPr="00762A2E">
        <w:t xml:space="preserve"> years, she had an uneventful history without cytopenia or inflammatory symptoms. Laboratory analysis revealed mild monocytosis </w:t>
      </w:r>
      <w:r w:rsidR="008A5F0D" w:rsidRPr="00762A2E">
        <w:t xml:space="preserve">(11.7%) </w:t>
      </w:r>
      <w:r w:rsidR="005F7891" w:rsidRPr="00762A2E">
        <w:t>and mild hypogammaglobulinemia for IgG and IgA with normal IgM. Specific vaccination-induced antibodies were positive for measles but ne</w:t>
      </w:r>
      <w:r w:rsidR="00352CD6" w:rsidRPr="00762A2E">
        <w:t>gative for tetanus. Lymphocyte immunophenotyping</w:t>
      </w:r>
      <w:r w:rsidR="005F7891" w:rsidRPr="00762A2E">
        <w:t xml:space="preserve"> revealed NK and </w:t>
      </w:r>
      <w:r w:rsidR="009B37F1" w:rsidRPr="00762A2E">
        <w:t>B-</w:t>
      </w:r>
      <w:r w:rsidR="005F7891" w:rsidRPr="00762A2E">
        <w:t>cell lymphopenia with reduced numbers of naïve and transitional B cells.</w:t>
      </w:r>
      <w:r w:rsidR="00474BBA" w:rsidRPr="00762A2E">
        <w:t xml:space="preserve"> </w:t>
      </w:r>
    </w:p>
    <w:p w14:paraId="3BA36F50" w14:textId="54E0B52A" w:rsidR="00190789" w:rsidRPr="00762A2E" w:rsidRDefault="005C6EAB" w:rsidP="00E5496D">
      <w:pPr>
        <w:spacing w:after="0"/>
        <w:ind w:firstLine="720"/>
        <w:jc w:val="both"/>
      </w:pPr>
      <w:r w:rsidRPr="00762A2E">
        <w:rPr>
          <w:b/>
        </w:rPr>
        <w:t>Patient P3</w:t>
      </w:r>
      <w:r w:rsidRPr="00762A2E">
        <w:t xml:space="preserve"> </w:t>
      </w:r>
      <w:r w:rsidR="00C445AF" w:rsidRPr="00762A2E">
        <w:t>(D</w:t>
      </w:r>
      <w:r w:rsidR="00D13EB6" w:rsidRPr="00762A2E">
        <w:t xml:space="preserve"> </w:t>
      </w:r>
      <w:r w:rsidR="00C445AF" w:rsidRPr="00762A2E">
        <w:t xml:space="preserve">749) </w:t>
      </w:r>
      <w:r w:rsidRPr="00762A2E">
        <w:t xml:space="preserve">showed first signs of disease at the age of 14 years, when she reported recurrent headache, hissing noises in the ear and fatigue. </w:t>
      </w:r>
      <w:r w:rsidR="00793629" w:rsidRPr="00762A2E">
        <w:t xml:space="preserve">She had </w:t>
      </w:r>
      <w:r w:rsidRPr="00762A2E">
        <w:t xml:space="preserve">pancytopenia with </w:t>
      </w:r>
      <w:proofErr w:type="spellStart"/>
      <w:r w:rsidRPr="00762A2E">
        <w:t>macrocytosis</w:t>
      </w:r>
      <w:proofErr w:type="spellEnd"/>
      <w:r w:rsidRPr="00762A2E">
        <w:t xml:space="preserve"> (MCV 105 </w:t>
      </w:r>
      <w:proofErr w:type="spellStart"/>
      <w:r w:rsidRPr="00762A2E">
        <w:t>fL</w:t>
      </w:r>
      <w:proofErr w:type="spellEnd"/>
      <w:r w:rsidRPr="00762A2E">
        <w:t xml:space="preserve">), and </w:t>
      </w:r>
      <w:r w:rsidR="00793629" w:rsidRPr="00762A2E">
        <w:t xml:space="preserve">based on </w:t>
      </w:r>
      <w:r w:rsidRPr="00762A2E">
        <w:t xml:space="preserve">bone marrow </w:t>
      </w:r>
      <w:r w:rsidR="00793629" w:rsidRPr="00762A2E">
        <w:t>exam</w:t>
      </w:r>
      <w:r w:rsidR="00B32F3A" w:rsidRPr="00762A2E">
        <w:t xml:space="preserve"> was diagnosed with</w:t>
      </w:r>
      <w:r w:rsidR="00793629" w:rsidRPr="00762A2E">
        <w:t xml:space="preserve"> </w:t>
      </w:r>
      <w:r w:rsidRPr="00762A2E">
        <w:t>myelodysplastic syndrome with excess of blast (MDS-EB)</w:t>
      </w:r>
      <w:r w:rsidR="00793629" w:rsidRPr="00762A2E">
        <w:t xml:space="preserve"> </w:t>
      </w:r>
      <w:r w:rsidR="00765C0D" w:rsidRPr="00762A2E">
        <w:t xml:space="preserve">and </w:t>
      </w:r>
      <w:r w:rsidRPr="00762A2E">
        <w:t>monosomy 7</w:t>
      </w:r>
      <w:r w:rsidR="00474BBA" w:rsidRPr="00762A2E">
        <w:t xml:space="preserve"> </w:t>
      </w:r>
      <w:r w:rsidR="0055071B" w:rsidRPr="00762A2E">
        <w:t>in 12 of 20</w:t>
      </w:r>
      <w:r w:rsidR="00474BBA" w:rsidRPr="00762A2E">
        <w:t xml:space="preserve"> metaphases</w:t>
      </w:r>
      <w:r w:rsidRPr="00762A2E">
        <w:t xml:space="preserve">. The patient was dependent on erythrocyte and platelet transfusions and </w:t>
      </w:r>
      <w:r w:rsidR="00B32F3A" w:rsidRPr="00762A2E">
        <w:t xml:space="preserve">suffered from </w:t>
      </w:r>
      <w:r w:rsidRPr="00762A2E">
        <w:t xml:space="preserve">recurrent aphthous ulcerations. </w:t>
      </w:r>
      <w:r w:rsidR="00B32F3A" w:rsidRPr="00762A2E">
        <w:t>After s</w:t>
      </w:r>
      <w:r w:rsidRPr="00762A2E">
        <w:t>ix month</w:t>
      </w:r>
      <w:r w:rsidR="00B32F3A" w:rsidRPr="00762A2E">
        <w:t>s</w:t>
      </w:r>
      <w:r w:rsidRPr="00762A2E">
        <w:t>, the disease progressed to MDS-related acute myeloid leukemia (AML) with 75% blast cells in bone marrow. Initial treatment with high-dose cytarabine and mitoxantrone was followed by HSCT. Due to the lack of a</w:t>
      </w:r>
      <w:r w:rsidR="00765C0D" w:rsidRPr="00762A2E">
        <w:t>n</w:t>
      </w:r>
      <w:r w:rsidRPr="00762A2E">
        <w:t xml:space="preserve"> HLA-matched donor, cord blood CD34+ cells were </w:t>
      </w:r>
      <w:r w:rsidRPr="00762A2E">
        <w:lastRenderedPageBreak/>
        <w:t xml:space="preserve">used as graft. The disease course was complicated by pulmonary </w:t>
      </w:r>
      <w:r w:rsidR="00474BBA" w:rsidRPr="00762A2E">
        <w:t>aspergillosis;</w:t>
      </w:r>
      <w:r w:rsidRPr="00762A2E">
        <w:t xml:space="preserve"> skin GvHD and drug intolerances (i.e. vancomycin, metoclopramide, </w:t>
      </w:r>
      <w:proofErr w:type="spellStart"/>
      <w:r w:rsidRPr="00762A2E">
        <w:t>voriconazol</w:t>
      </w:r>
      <w:proofErr w:type="spellEnd"/>
      <w:r w:rsidRPr="00762A2E">
        <w:t>). Four month</w:t>
      </w:r>
      <w:r w:rsidR="00B32F3A" w:rsidRPr="00762A2E">
        <w:t>s</w:t>
      </w:r>
      <w:r w:rsidRPr="00762A2E">
        <w:t xml:space="preserve"> after HSCT, the patient suffered from systemic adenoviral infection with hepatic failure, pericardial effusion, hypertensive crisis with epileptic seizure and bleeding. Macrophage-activation syndrome was suspected. The patient died due to multiorgan failure at the age of 15</w:t>
      </w:r>
      <w:r w:rsidR="00EE13D0" w:rsidRPr="00762A2E">
        <w:t>.4</w:t>
      </w:r>
      <w:r w:rsidRPr="00762A2E">
        <w:t xml:space="preserve"> years.</w:t>
      </w:r>
    </w:p>
    <w:p w14:paraId="07F21D18" w14:textId="72B650F6" w:rsidR="00F17AE8" w:rsidRPr="00762A2E" w:rsidRDefault="00190789" w:rsidP="00E5496D">
      <w:pPr>
        <w:spacing w:after="0"/>
        <w:ind w:firstLine="720"/>
        <w:jc w:val="both"/>
      </w:pPr>
      <w:r w:rsidRPr="00762A2E">
        <w:rPr>
          <w:b/>
        </w:rPr>
        <w:t>Patient P4</w:t>
      </w:r>
      <w:r w:rsidRPr="00762A2E">
        <w:t xml:space="preserve"> </w:t>
      </w:r>
      <w:r w:rsidR="001E2757" w:rsidRPr="00762A2E">
        <w:t xml:space="preserve">(LT) </w:t>
      </w:r>
      <w:r w:rsidRPr="00762A2E">
        <w:t>was first diagnose</w:t>
      </w:r>
      <w:r w:rsidR="008C701D" w:rsidRPr="00762A2E">
        <w:t>d with thrombocytopenia (62</w:t>
      </w:r>
      <w:r w:rsidR="00B32F3A" w:rsidRPr="00762A2E">
        <w:t>,</w:t>
      </w:r>
      <w:r w:rsidR="008C701D" w:rsidRPr="00762A2E">
        <w:t>000/</w:t>
      </w:r>
      <w:r w:rsidRPr="00762A2E">
        <w:t xml:space="preserve">µL) and monocytosis </w:t>
      </w:r>
      <w:r w:rsidR="0069536B" w:rsidRPr="00762A2E">
        <w:t>(39.6%</w:t>
      </w:r>
      <w:r w:rsidRPr="00762A2E">
        <w:t xml:space="preserve">) at the age of 3 years. Retrospective </w:t>
      </w:r>
      <w:r w:rsidR="001A0044" w:rsidRPr="00762A2E">
        <w:t xml:space="preserve">review </w:t>
      </w:r>
      <w:r w:rsidRPr="00762A2E">
        <w:t xml:space="preserve">showed that </w:t>
      </w:r>
      <w:r w:rsidR="001A0044" w:rsidRPr="00762A2E">
        <w:t xml:space="preserve">monocyte counts were elevated </w:t>
      </w:r>
      <w:r w:rsidRPr="00762A2E">
        <w:t xml:space="preserve">since birth (range </w:t>
      </w:r>
      <w:r w:rsidR="00C41DD9" w:rsidRPr="00762A2E">
        <w:t>20</w:t>
      </w:r>
      <w:r w:rsidR="0069536B" w:rsidRPr="00762A2E">
        <w:t>-40%</w:t>
      </w:r>
      <w:r w:rsidRPr="00762A2E">
        <w:t xml:space="preserve">). Bone marrow analysis showed dysplastic </w:t>
      </w:r>
      <w:proofErr w:type="spellStart"/>
      <w:r w:rsidRPr="00762A2E">
        <w:t>megakaryopoiesis</w:t>
      </w:r>
      <w:proofErr w:type="spellEnd"/>
      <w:r w:rsidRPr="00762A2E">
        <w:t xml:space="preserve">, mild dysplasia of erythropoiesis and granulopoiesis and numerous immature B cells but no increase in blast </w:t>
      </w:r>
      <w:r w:rsidR="00B32F3A" w:rsidRPr="00762A2E">
        <w:t>counts</w:t>
      </w:r>
      <w:r w:rsidR="001A0044" w:rsidRPr="00762A2E">
        <w:t>. A</w:t>
      </w:r>
      <w:r w:rsidR="00B32F3A" w:rsidRPr="00762A2E">
        <w:t>fter exclusion of Fanconi anemia, RCC was established as diagnosis</w:t>
      </w:r>
      <w:r w:rsidRPr="00762A2E">
        <w:t>. Cytogenetic analysis on bone marrow cells revealed monosomy 7</w:t>
      </w:r>
      <w:r w:rsidR="003B3B62" w:rsidRPr="00762A2E">
        <w:t xml:space="preserve">. </w:t>
      </w:r>
      <w:r w:rsidRPr="00762A2E">
        <w:t xml:space="preserve">Non-hematological problems included hypoxia during birth requiring </w:t>
      </w:r>
      <w:r w:rsidR="00B32F3A" w:rsidRPr="00762A2E">
        <w:t>C-</w:t>
      </w:r>
      <w:r w:rsidRPr="00762A2E">
        <w:t>section as well as transient acute renal insufficiency and respiratory insufficiency in the neonatal period. At presentation, he showed low set ears, flat nose, several areas of skin hypopigment</w:t>
      </w:r>
      <w:r w:rsidR="003B3B62" w:rsidRPr="00762A2E">
        <w:t xml:space="preserve">ation and joint hypermobility. </w:t>
      </w:r>
      <w:r w:rsidRPr="00762A2E">
        <w:t>The</w:t>
      </w:r>
      <w:r w:rsidR="003B3B62" w:rsidRPr="00762A2E">
        <w:t xml:space="preserve"> </w:t>
      </w:r>
      <w:r w:rsidR="003B3B62" w:rsidRPr="00762A2E">
        <w:rPr>
          <w:i/>
        </w:rPr>
        <w:t>GATA2</w:t>
      </w:r>
      <w:r w:rsidRPr="00762A2E">
        <w:t xml:space="preserve"> mutation was excluded in the patient’s brother who served as donor for HLA-matched </w:t>
      </w:r>
      <w:r w:rsidR="008A5F0D" w:rsidRPr="00762A2E">
        <w:t xml:space="preserve">HSCT. The patient was alive and well at the last follow up, </w:t>
      </w:r>
      <w:r w:rsidR="00CB66AF" w:rsidRPr="00762A2E">
        <w:t>2.</w:t>
      </w:r>
      <w:r w:rsidR="00646990" w:rsidRPr="00762A2E">
        <w:t>4</w:t>
      </w:r>
      <w:r w:rsidR="00CB66AF" w:rsidRPr="00762A2E">
        <w:t xml:space="preserve"> </w:t>
      </w:r>
      <w:r w:rsidR="008A5F0D" w:rsidRPr="00762A2E">
        <w:t xml:space="preserve">years after HSCT. </w:t>
      </w:r>
    </w:p>
    <w:p w14:paraId="6E52CAB4" w14:textId="1E12A640" w:rsidR="00474BBA" w:rsidRPr="00762A2E" w:rsidRDefault="00F17AE8" w:rsidP="00E5496D">
      <w:pPr>
        <w:spacing w:after="0"/>
        <w:ind w:firstLine="720"/>
        <w:jc w:val="both"/>
      </w:pPr>
      <w:r w:rsidRPr="00762A2E">
        <w:rPr>
          <w:b/>
        </w:rPr>
        <w:t>Patient P5</w:t>
      </w:r>
      <w:r w:rsidRPr="00762A2E">
        <w:t xml:space="preserve"> </w:t>
      </w:r>
      <w:r w:rsidR="00C445AF" w:rsidRPr="00762A2E">
        <w:t>(D</w:t>
      </w:r>
      <w:r w:rsidR="00D13EB6" w:rsidRPr="00762A2E">
        <w:t xml:space="preserve"> </w:t>
      </w:r>
      <w:r w:rsidR="00C445AF" w:rsidRPr="00762A2E">
        <w:t xml:space="preserve">722) </w:t>
      </w:r>
      <w:r w:rsidRPr="00762A2E">
        <w:t>suffered from his 7</w:t>
      </w:r>
      <w:r w:rsidRPr="00762A2E">
        <w:rPr>
          <w:vertAlign w:val="superscript"/>
        </w:rPr>
        <w:t>th</w:t>
      </w:r>
      <w:r w:rsidRPr="00762A2E">
        <w:t xml:space="preserve"> year of life from macrocytic anemia with recurrent hemolytic episodes with jaundice. </w:t>
      </w:r>
      <w:r w:rsidR="00B32F3A" w:rsidRPr="00762A2E">
        <w:t>Occasionally</w:t>
      </w:r>
      <w:r w:rsidRPr="00762A2E">
        <w:t>, he als</w:t>
      </w:r>
      <w:r w:rsidR="00E54B77" w:rsidRPr="00762A2E">
        <w:t>o showed leukopenia (WBC &gt;1,000</w:t>
      </w:r>
      <w:r w:rsidRPr="00762A2E">
        <w:t>/µL) and mild throm</w:t>
      </w:r>
      <w:r w:rsidR="00E54B77" w:rsidRPr="00762A2E">
        <w:t>bocytopenia (platelets &gt;100,000</w:t>
      </w:r>
      <w:r w:rsidRPr="00762A2E">
        <w:t xml:space="preserve">/µL) but bone marrow </w:t>
      </w:r>
      <w:r w:rsidR="00B32F3A" w:rsidRPr="00762A2E">
        <w:t>exams</w:t>
      </w:r>
      <w:r w:rsidRPr="00762A2E">
        <w:t xml:space="preserve"> remained inconclusive. </w:t>
      </w:r>
      <w:r w:rsidR="0093292B" w:rsidRPr="00762A2E">
        <w:t xml:space="preserve">Vitamin </w:t>
      </w:r>
      <w:r w:rsidRPr="00762A2E">
        <w:t xml:space="preserve">B12 and folate deficiencies as well as spherocytosis </w:t>
      </w:r>
      <w:r w:rsidR="002145FB" w:rsidRPr="00762A2E">
        <w:t xml:space="preserve">and PNH disease </w:t>
      </w:r>
      <w:r w:rsidRPr="00762A2E">
        <w:t xml:space="preserve">were excluded but direct antiglobulin test was intermittently positive, </w:t>
      </w:r>
      <w:r w:rsidR="00B32F3A" w:rsidRPr="00762A2E">
        <w:t xml:space="preserve">leading to the diagnosis of </w:t>
      </w:r>
      <w:r w:rsidRPr="00762A2E">
        <w:t xml:space="preserve">autoimmune hemolytic anemia (AIHA). At the age of 11 years, he showed hepatosplenomegaly (4 cm below costal arch) and reported fatigue. Bone marrow analysis revealed </w:t>
      </w:r>
      <w:r w:rsidR="00B32F3A" w:rsidRPr="00762A2E">
        <w:t xml:space="preserve">dysplasia of all lineages with hyperplastic erythropoiesis, </w:t>
      </w:r>
      <w:r w:rsidR="00C35974" w:rsidRPr="00762A2E">
        <w:t xml:space="preserve">and the patient was diagnosed with </w:t>
      </w:r>
      <w:r w:rsidRPr="00762A2E">
        <w:t>RCC</w:t>
      </w:r>
      <w:r w:rsidR="002145FB" w:rsidRPr="00762A2E">
        <w:t xml:space="preserve">. </w:t>
      </w:r>
      <w:r w:rsidRPr="00762A2E">
        <w:t xml:space="preserve">No cytogenetic aberrations were found in bone marrow cells. </w:t>
      </w:r>
      <w:r w:rsidR="008A5F0D" w:rsidRPr="00762A2E">
        <w:t xml:space="preserve">Until the last follow up at the age </w:t>
      </w:r>
      <w:r w:rsidR="00EE13D0" w:rsidRPr="00762A2E">
        <w:t>18.5</w:t>
      </w:r>
      <w:r w:rsidR="008A5F0D" w:rsidRPr="00762A2E">
        <w:t xml:space="preserve"> years he showed stable disease without the need of transfusions.</w:t>
      </w:r>
    </w:p>
    <w:p w14:paraId="793742F0" w14:textId="656BF1C5" w:rsidR="00F952BC" w:rsidRPr="00762A2E" w:rsidRDefault="00E85FC4" w:rsidP="00E5496D">
      <w:pPr>
        <w:spacing w:after="0"/>
        <w:ind w:firstLine="720"/>
        <w:jc w:val="both"/>
      </w:pPr>
      <w:r w:rsidRPr="00762A2E">
        <w:rPr>
          <w:b/>
        </w:rPr>
        <w:t>Patient P6</w:t>
      </w:r>
      <w:r w:rsidRPr="00762A2E">
        <w:t xml:space="preserve"> </w:t>
      </w:r>
      <w:r w:rsidR="00C445AF" w:rsidRPr="00762A2E">
        <w:t>(D</w:t>
      </w:r>
      <w:r w:rsidR="00D13EB6" w:rsidRPr="00762A2E">
        <w:t xml:space="preserve"> </w:t>
      </w:r>
      <w:r w:rsidR="00C445AF" w:rsidRPr="00762A2E">
        <w:t xml:space="preserve">1142) </w:t>
      </w:r>
      <w:r w:rsidR="00B6696F" w:rsidRPr="00762A2E">
        <w:t xml:space="preserve">presented with macrocytic anemia, thrombocytopenia, leukopenia and severe neutropenia </w:t>
      </w:r>
      <w:r w:rsidR="00467551" w:rsidRPr="00762A2E">
        <w:t xml:space="preserve">(ANC 385/µL) </w:t>
      </w:r>
      <w:r w:rsidR="000D43B1" w:rsidRPr="00762A2E">
        <w:t xml:space="preserve">at the age of 11.5 years. </w:t>
      </w:r>
      <w:r w:rsidR="00B6696F" w:rsidRPr="00762A2E">
        <w:t xml:space="preserve">Bone marrow examination revealed hypocellular RCC </w:t>
      </w:r>
      <w:r w:rsidR="002145FB" w:rsidRPr="00762A2E">
        <w:t xml:space="preserve">with </w:t>
      </w:r>
      <w:r w:rsidR="00B6696F" w:rsidRPr="00762A2E">
        <w:t>monosomy 7. Non-hematological problems included hypospadias. Allogenic HSCT from HLA-matched unrelated donor was performed at the age of 12 years. Patient exhibited good regeneration of hematopoietic system 18 months after transplantation</w:t>
      </w:r>
      <w:r w:rsidR="00E12F3E" w:rsidRPr="00762A2E">
        <w:t xml:space="preserve"> and was alive and well at the l</w:t>
      </w:r>
      <w:r w:rsidR="00EE13D0" w:rsidRPr="00762A2E">
        <w:t>ast follow up at the age 15.2</w:t>
      </w:r>
      <w:r w:rsidR="00E12F3E" w:rsidRPr="00762A2E">
        <w:t xml:space="preserve"> years.</w:t>
      </w:r>
    </w:p>
    <w:p w14:paraId="580FF296" w14:textId="231CC077" w:rsidR="00474BBA" w:rsidRPr="00762A2E" w:rsidRDefault="00474BBA" w:rsidP="00E5496D">
      <w:pPr>
        <w:spacing w:after="0"/>
        <w:ind w:firstLine="720"/>
        <w:jc w:val="both"/>
      </w:pPr>
      <w:r w:rsidRPr="00762A2E">
        <w:rPr>
          <w:b/>
        </w:rPr>
        <w:t>Patient P7</w:t>
      </w:r>
      <w:r w:rsidRPr="00762A2E">
        <w:t xml:space="preserve"> </w:t>
      </w:r>
      <w:r w:rsidR="001E2757" w:rsidRPr="00762A2E">
        <w:t xml:space="preserve">(D) </w:t>
      </w:r>
      <w:r w:rsidRPr="00762A2E">
        <w:t xml:space="preserve">presented at the age of 14 years with thrombocytopenia and microcytic anemia. In addition, she was suffering from selective mutism and hypermenorrhea. Thrombocytopenia was interpreted as idiopathic thrombocytopenia (ITP) and showed good response to treatment with steroids and immunoglobulins (platelet increased from 10,000/µL to 376,000/µL). Due to iron deficiency the patient received oral iron supplementation. Bone marrow aspirate was </w:t>
      </w:r>
      <w:r w:rsidR="00E12F3E" w:rsidRPr="00762A2E">
        <w:t xml:space="preserve">suspicious for RCC with </w:t>
      </w:r>
      <w:r w:rsidRPr="00762A2E">
        <w:t xml:space="preserve">mild dysplasia in all three blood cell lineages. No cytogenetic abnormality was </w:t>
      </w:r>
      <w:r w:rsidR="00765C0D" w:rsidRPr="00762A2E">
        <w:t>found,</w:t>
      </w:r>
      <w:r w:rsidRPr="00762A2E">
        <w:t xml:space="preserve"> and no follow up marrow examinations were performed. At the last follow </w:t>
      </w:r>
      <w:r w:rsidR="002145FB" w:rsidRPr="00762A2E">
        <w:t xml:space="preserve">at the age of </w:t>
      </w:r>
      <w:r w:rsidR="00EE13D0" w:rsidRPr="00762A2E">
        <w:t>20.9</w:t>
      </w:r>
      <w:r w:rsidR="002145FB" w:rsidRPr="00762A2E">
        <w:t xml:space="preserve"> years </w:t>
      </w:r>
      <w:r w:rsidRPr="00762A2E">
        <w:t xml:space="preserve">the patient </w:t>
      </w:r>
      <w:r w:rsidR="00765C0D" w:rsidRPr="00762A2E">
        <w:t xml:space="preserve">was </w:t>
      </w:r>
      <w:r w:rsidRPr="00762A2E">
        <w:t xml:space="preserve">well and did not require supportive care. </w:t>
      </w:r>
    </w:p>
    <w:p w14:paraId="76DA5901" w14:textId="35D9A4B6" w:rsidR="00474BBA" w:rsidRPr="00762A2E" w:rsidRDefault="00474BBA" w:rsidP="00EC6740">
      <w:pPr>
        <w:spacing w:after="0"/>
        <w:ind w:firstLine="720"/>
        <w:jc w:val="both"/>
      </w:pPr>
      <w:r w:rsidRPr="00762A2E">
        <w:rPr>
          <w:b/>
        </w:rPr>
        <w:t>Patient P8</w:t>
      </w:r>
      <w:r w:rsidRPr="00762A2E">
        <w:t xml:space="preserve"> </w:t>
      </w:r>
      <w:r w:rsidR="00B309AD" w:rsidRPr="00762A2E">
        <w:t>(I</w:t>
      </w:r>
      <w:r w:rsidR="00D13EB6" w:rsidRPr="00762A2E">
        <w:t xml:space="preserve"> </w:t>
      </w:r>
      <w:r w:rsidR="00B309AD" w:rsidRPr="00762A2E">
        <w:t>386) p</w:t>
      </w:r>
      <w:r w:rsidRPr="00762A2E">
        <w:t xml:space="preserve">resented at the age of 4 years with thrombocytopenia, not responding to both </w:t>
      </w:r>
      <w:r w:rsidR="002145FB" w:rsidRPr="00762A2E">
        <w:t xml:space="preserve">immunoglobulin </w:t>
      </w:r>
      <w:r w:rsidRPr="00762A2E">
        <w:t>infusion and steroids</w:t>
      </w:r>
      <w:r w:rsidR="00D32291" w:rsidRPr="00762A2E">
        <w:t xml:space="preserve"> given for suspected ITP</w:t>
      </w:r>
      <w:r w:rsidRPr="00762A2E">
        <w:t xml:space="preserve">. Bone marrow aspirate showed a marked reduction in the number of megakaryocytes; both the erythroid and myeloid lineages were normal. In the following weeks, she </w:t>
      </w:r>
      <w:r w:rsidR="002145FB" w:rsidRPr="00762A2E">
        <w:t xml:space="preserve">had progressive </w:t>
      </w:r>
      <w:r w:rsidRPr="00762A2E">
        <w:t xml:space="preserve">neutropenia </w:t>
      </w:r>
      <w:r w:rsidR="002145FB" w:rsidRPr="00762A2E">
        <w:t xml:space="preserve">and developed a </w:t>
      </w:r>
      <w:r w:rsidRPr="00762A2E">
        <w:t xml:space="preserve">hepatic abscess. Moreover, this patient became </w:t>
      </w:r>
      <w:r w:rsidR="00D32291" w:rsidRPr="00762A2E">
        <w:t>transfusion-</w:t>
      </w:r>
      <w:r w:rsidRPr="00762A2E">
        <w:t xml:space="preserve">dependent </w:t>
      </w:r>
      <w:r w:rsidR="009A4BD3" w:rsidRPr="00762A2E">
        <w:t xml:space="preserve">for </w:t>
      </w:r>
      <w:r w:rsidR="002145FB" w:rsidRPr="00762A2E">
        <w:t>erythrocytes</w:t>
      </w:r>
      <w:r w:rsidR="009A4BD3" w:rsidRPr="00762A2E">
        <w:t xml:space="preserve">. </w:t>
      </w:r>
      <w:r w:rsidR="002145FB" w:rsidRPr="00762A2E">
        <w:t>The findings of b</w:t>
      </w:r>
      <w:r w:rsidRPr="00762A2E">
        <w:t xml:space="preserve">one marrow </w:t>
      </w:r>
      <w:r w:rsidR="002145FB" w:rsidRPr="00762A2E">
        <w:t xml:space="preserve">exams were </w:t>
      </w:r>
      <w:r w:rsidRPr="00762A2E">
        <w:t xml:space="preserve">consistent with a diagnosis of </w:t>
      </w:r>
      <w:r w:rsidR="000D43B1" w:rsidRPr="00762A2E">
        <w:t>RCC</w:t>
      </w:r>
      <w:r w:rsidR="002145FB" w:rsidRPr="00762A2E">
        <w:t xml:space="preserve"> with normal </w:t>
      </w:r>
      <w:r w:rsidRPr="00762A2E">
        <w:t xml:space="preserve">karyotype and the </w:t>
      </w:r>
      <w:r w:rsidR="00765C0D" w:rsidRPr="00762A2E">
        <w:t>chromosomal breakage</w:t>
      </w:r>
      <w:r w:rsidRPr="00762A2E">
        <w:t xml:space="preserve"> test was negative. The patient </w:t>
      </w:r>
      <w:r w:rsidRPr="00762A2E">
        <w:lastRenderedPageBreak/>
        <w:t xml:space="preserve">received </w:t>
      </w:r>
      <w:r w:rsidR="00E12F3E" w:rsidRPr="00762A2E">
        <w:t xml:space="preserve">matched </w:t>
      </w:r>
      <w:r w:rsidRPr="00762A2E">
        <w:t>unrelated donor</w:t>
      </w:r>
      <w:r w:rsidR="009B37F1" w:rsidRPr="00762A2E">
        <w:t xml:space="preserve"> HSCT</w:t>
      </w:r>
      <w:r w:rsidRPr="00762A2E">
        <w:t xml:space="preserve">. Sustained donor cell engraftment was achieved; the girl developed grade II skin-only acute GvHD that was successfully treated with steroids and extra-corporeal photochemotherapy. </w:t>
      </w:r>
      <w:r w:rsidR="009B37F1" w:rsidRPr="00762A2E">
        <w:t xml:space="preserve">Twelve </w:t>
      </w:r>
      <w:r w:rsidRPr="00762A2E">
        <w:t xml:space="preserve">months after transplantation, the patient is alive and disease-free without any sign of chronic GvHD with 100% donor chimerism. </w:t>
      </w:r>
    </w:p>
    <w:p w14:paraId="4B8A7FD6" w14:textId="0749C939" w:rsidR="00D44F44" w:rsidRPr="00762A2E" w:rsidRDefault="004B474E" w:rsidP="00F747D6">
      <w:pPr>
        <w:spacing w:after="0"/>
        <w:ind w:firstLine="720"/>
        <w:jc w:val="both"/>
      </w:pPr>
      <w:r w:rsidRPr="00762A2E">
        <w:rPr>
          <w:b/>
        </w:rPr>
        <w:t xml:space="preserve">Patient P9 </w:t>
      </w:r>
      <w:r w:rsidRPr="00762A2E">
        <w:t>(</w:t>
      </w:r>
      <w:r w:rsidR="002145FB" w:rsidRPr="00762A2E">
        <w:t>UK</w:t>
      </w:r>
      <w:r w:rsidR="00884837" w:rsidRPr="00762A2E">
        <w:t>A2604</w:t>
      </w:r>
      <w:r w:rsidR="002145FB" w:rsidRPr="00762A2E">
        <w:t>)</w:t>
      </w:r>
      <w:r w:rsidRPr="00762A2E">
        <w:t xml:space="preserve"> presented at the age of 24 with bronchiectasis complicated by mycobacterium avium complex, Crohn’s colitis, HPV-driven anal, </w:t>
      </w:r>
      <w:proofErr w:type="spellStart"/>
      <w:r w:rsidRPr="00762A2E">
        <w:t>vulval</w:t>
      </w:r>
      <w:proofErr w:type="spellEnd"/>
      <w:r w:rsidRPr="00762A2E">
        <w:t xml:space="preserve"> and cervical intra-epithelial neoplasia (stage III).  She had mild pancytopenia with absolute deficiency of dendritic cells, monocytopenia, B and NK</w:t>
      </w:r>
      <w:r w:rsidR="009B37F1" w:rsidRPr="00762A2E">
        <w:t>-cell</w:t>
      </w:r>
      <w:r w:rsidRPr="00762A2E">
        <w:t xml:space="preserve"> lymphopenia and elevated Flt3 ligand of 11,400 </w:t>
      </w:r>
      <w:proofErr w:type="spellStart"/>
      <w:r w:rsidRPr="00762A2E">
        <w:t>pg</w:t>
      </w:r>
      <w:proofErr w:type="spellEnd"/>
      <w:r w:rsidRPr="00762A2E">
        <w:t xml:space="preserve">/ml.  Bone marrow aspirate and biopsy showed evidence of </w:t>
      </w:r>
      <w:r w:rsidR="00467551" w:rsidRPr="00762A2E">
        <w:t xml:space="preserve">MDS </w:t>
      </w:r>
      <w:r w:rsidRPr="00762A2E">
        <w:t xml:space="preserve">with multilineage </w:t>
      </w:r>
      <w:r w:rsidR="00765C0D" w:rsidRPr="00762A2E">
        <w:t>dysplasia,</w:t>
      </w:r>
      <w:r w:rsidRPr="00762A2E">
        <w:t xml:space="preserve"> but no cytogenetic abnormality was detected.  The patient received a 9/10 HLA-matched unrelated donor transplant aged 27</w:t>
      </w:r>
      <w:r w:rsidR="00765C0D" w:rsidRPr="00762A2E">
        <w:t xml:space="preserve"> years</w:t>
      </w:r>
      <w:r w:rsidRPr="00762A2E">
        <w:t xml:space="preserve">.  She is currently alive and GVHD-free with 100% myeloid and T cell engraftment 5 years later.  HPV-driven neoplasia has resolved or regressed to stage I and not required further therapy.  The transplantation </w:t>
      </w:r>
      <w:r w:rsidR="00765C0D" w:rsidRPr="00762A2E">
        <w:t xml:space="preserve">procedure </w:t>
      </w:r>
      <w:r w:rsidRPr="00762A2E">
        <w:t>of this pat</w:t>
      </w:r>
      <w:r w:rsidR="004275C4" w:rsidRPr="00762A2E">
        <w:t>ient was previously described (2).</w:t>
      </w:r>
      <w:r w:rsidR="005A7B50" w:rsidRPr="00762A2E">
        <w:rPr>
          <w:b/>
        </w:rPr>
        <w:br w:type="page"/>
      </w:r>
    </w:p>
    <w:p w14:paraId="1B572330" w14:textId="77777777" w:rsidR="0054444A" w:rsidRPr="00762A2E" w:rsidRDefault="005A7B50" w:rsidP="00E5496D">
      <w:pPr>
        <w:jc w:val="both"/>
        <w:rPr>
          <w:b/>
        </w:rPr>
      </w:pPr>
      <w:r w:rsidRPr="00762A2E">
        <w:rPr>
          <w:b/>
        </w:rPr>
        <w:lastRenderedPageBreak/>
        <w:t>SUPPLEMENTAL METHODS</w:t>
      </w:r>
    </w:p>
    <w:p w14:paraId="3B44C15C" w14:textId="77777777" w:rsidR="00C908A3" w:rsidRPr="00762A2E" w:rsidRDefault="004213D6" w:rsidP="00C908A3">
      <w:pPr>
        <w:spacing w:after="0"/>
        <w:jc w:val="both"/>
        <w:rPr>
          <w:b/>
        </w:rPr>
      </w:pPr>
      <w:r w:rsidRPr="00762A2E">
        <w:rPr>
          <w:b/>
        </w:rPr>
        <w:t>Targeted sequencing of genomic DNA and cDNA</w:t>
      </w:r>
    </w:p>
    <w:p w14:paraId="70E4DB45" w14:textId="57BAAF53" w:rsidR="004213D6" w:rsidRPr="00762A2E" w:rsidRDefault="004213D6" w:rsidP="00C908A3">
      <w:pPr>
        <w:spacing w:after="0"/>
        <w:jc w:val="both"/>
      </w:pPr>
      <w:r w:rsidRPr="00762A2E">
        <w:t xml:space="preserve">Sequencing of 5 coding exons and intron 4 containing conserved EBOX-GATA-ETS regulatory region (+9.5kb) of the </w:t>
      </w:r>
      <w:r w:rsidRPr="00762A2E">
        <w:rPr>
          <w:i/>
        </w:rPr>
        <w:t>GATA2</w:t>
      </w:r>
      <w:r w:rsidRPr="00762A2E">
        <w:t xml:space="preserve"> gene (NM_032638.4) was accomplished using targeted deep sequencing (</w:t>
      </w:r>
      <w:proofErr w:type="spellStart"/>
      <w:r w:rsidRPr="00762A2E">
        <w:t>AmpliSeq</w:t>
      </w:r>
      <w:proofErr w:type="spellEnd"/>
      <w:r w:rsidRPr="00762A2E">
        <w:t xml:space="preserve"> custom panel IAD51150_130, Thermo Fisher Scientific) and Sanger sequencing for validation. Germline origin of identified variants was verified in DNA extracted from skin fibroblasts and/or purified lymphocytes as previously reported (3). Deep sequencing was performed on the </w:t>
      </w:r>
      <w:proofErr w:type="spellStart"/>
      <w:r w:rsidRPr="00762A2E">
        <w:t>MiSeq</w:t>
      </w:r>
      <w:proofErr w:type="spellEnd"/>
      <w:r w:rsidRPr="00762A2E">
        <w:t xml:space="preserve"> </w:t>
      </w:r>
      <w:r w:rsidR="00241F46" w:rsidRPr="00762A2E">
        <w:t>Sequencer (Illumina, USA)</w:t>
      </w:r>
      <w:r w:rsidRPr="00762A2E">
        <w:t xml:space="preserve"> after PCR-based enrichment and library preparation using the </w:t>
      </w:r>
      <w:proofErr w:type="spellStart"/>
      <w:r w:rsidRPr="00762A2E">
        <w:t>NEBNext</w:t>
      </w:r>
      <w:proofErr w:type="spellEnd"/>
      <w:r w:rsidRPr="00762A2E">
        <w:t xml:space="preserve">® Ultra™ II DNA Library Prep Kit for Illumina (NEB). The obtained text-based files (FASTQ) were processed with </w:t>
      </w:r>
      <w:proofErr w:type="spellStart"/>
      <w:r w:rsidRPr="00762A2E">
        <w:t>SeqPilot</w:t>
      </w:r>
      <w:proofErr w:type="spellEnd"/>
      <w:r w:rsidRPr="00762A2E">
        <w:t>/</w:t>
      </w:r>
      <w:proofErr w:type="spellStart"/>
      <w:r w:rsidRPr="00762A2E">
        <w:t>SeqNextq</w:t>
      </w:r>
      <w:proofErr w:type="spellEnd"/>
      <w:r w:rsidRPr="00762A2E">
        <w:t xml:space="preserve"> (v.4.40) for quality assessment and variant annotation. </w:t>
      </w:r>
      <w:r w:rsidRPr="00762A2E">
        <w:rPr>
          <w:rFonts w:cs="Arial"/>
          <w:shd w:val="clear" w:color="auto" w:fill="FFFFFF"/>
        </w:rPr>
        <w:t xml:space="preserve">A quality score of 30 (Q30, 99.9% base call accuracy) </w:t>
      </w:r>
      <w:r w:rsidRPr="00762A2E">
        <w:t>and a minimum absolute coverage of 50 reads</w:t>
      </w:r>
      <w:r w:rsidRPr="00762A2E">
        <w:rPr>
          <w:rFonts w:cs="Arial"/>
          <w:shd w:val="clear" w:color="auto" w:fill="FFFFFF"/>
        </w:rPr>
        <w:t xml:space="preserve"> was implemented to abate incorrect base calls. A minimum coverage of 150X was employed for variants with a minimum variant allelic frequency (VAF) of 5%. The quality thresholds were recommended by the Illumina Technical Notes: 1) Quality Scores for Next-Generation Sequencing, 2011, 2) Somatic Variant Caller, 2012. V</w:t>
      </w:r>
      <w:r w:rsidRPr="00762A2E">
        <w:t xml:space="preserve">ariants were visualized using </w:t>
      </w:r>
      <w:proofErr w:type="spellStart"/>
      <w:r w:rsidRPr="00762A2E">
        <w:t>SeqPilot</w:t>
      </w:r>
      <w:proofErr w:type="spellEnd"/>
      <w:r w:rsidRPr="00762A2E">
        <w:t>/</w:t>
      </w:r>
      <w:proofErr w:type="spellStart"/>
      <w:r w:rsidRPr="00762A2E">
        <w:t>SeqNextq</w:t>
      </w:r>
      <w:proofErr w:type="spellEnd"/>
      <w:r w:rsidRPr="00762A2E">
        <w:t xml:space="preserve"> (v.4.40) in addition to Alamut Visual (v.2.8-2.10, Interactive </w:t>
      </w:r>
      <w:proofErr w:type="spellStart"/>
      <w:r w:rsidRPr="00762A2E">
        <w:t>Biosoftware</w:t>
      </w:r>
      <w:proofErr w:type="spellEnd"/>
      <w:r w:rsidRPr="00762A2E">
        <w:t>, Rouen, France).</w:t>
      </w:r>
    </w:p>
    <w:p w14:paraId="66D242B6" w14:textId="3EF4C395" w:rsidR="004213D6" w:rsidRPr="00762A2E" w:rsidRDefault="004213D6" w:rsidP="00C908A3">
      <w:pPr>
        <w:spacing w:after="0"/>
        <w:jc w:val="both"/>
      </w:pPr>
      <w:r w:rsidRPr="00762A2E">
        <w:t>The classification of variants was subjected to our in-house hierarchical approach. Population frequency (</w:t>
      </w:r>
      <w:proofErr w:type="spellStart"/>
      <w:r w:rsidRPr="00762A2E">
        <w:t>gnomAD</w:t>
      </w:r>
      <w:proofErr w:type="spellEnd"/>
      <w:r w:rsidRPr="00762A2E">
        <w:t xml:space="preserve">, ESP, 1000g): Pathogenic range; novel (absent in population), very rare (minor allele frequency, MAF&lt;0.01%), rare (0.01%&lt;MAF&lt;0.1%). SNP; frequent (MAF≥0.1%) and very frequent (MAF≥0.5%). Quality Assessment (QA): Variants VAF&lt;5%, depth&lt;30x and &lt;2x in each forward and reverse in alternative allele where not considered. Mutation Type: Pathogenic range; deletion (in-frame, whole gene), splicing, stop gained (frameshift, nonsense). Undefined; missense and synonymous. Computational predictors: Meta-scores; CADD, DANN, REVEL. SNV-evaluation; SIFT, Polyphen-2, LRT, FATHMM, PROVEAN, VEST3, Mutation taster, Mutation Assessor, </w:t>
      </w:r>
      <w:proofErr w:type="spellStart"/>
      <w:r w:rsidRPr="00762A2E">
        <w:t>MetaLR</w:t>
      </w:r>
      <w:proofErr w:type="spellEnd"/>
      <w:r w:rsidRPr="00762A2E">
        <w:t xml:space="preserve">, </w:t>
      </w:r>
      <w:proofErr w:type="spellStart"/>
      <w:r w:rsidRPr="00762A2E">
        <w:t>MetaSVM</w:t>
      </w:r>
      <w:proofErr w:type="spellEnd"/>
      <w:r w:rsidRPr="00762A2E">
        <w:t xml:space="preserve">. Conservation; Genomic Evolutionary Rate Profiling (GERP++RS) was calculated using ANNOVAR (4), </w:t>
      </w:r>
      <w:proofErr w:type="spellStart"/>
      <w:r w:rsidRPr="00762A2E">
        <w:t>Phylop</w:t>
      </w:r>
      <w:proofErr w:type="spellEnd"/>
      <w:r w:rsidRPr="00762A2E">
        <w:t xml:space="preserve">, </w:t>
      </w:r>
      <w:proofErr w:type="spellStart"/>
      <w:r w:rsidRPr="00762A2E">
        <w:t>PhastCons</w:t>
      </w:r>
      <w:proofErr w:type="spellEnd"/>
      <w:r w:rsidRPr="00762A2E">
        <w:t xml:space="preserve">, </w:t>
      </w:r>
      <w:proofErr w:type="spellStart"/>
      <w:r w:rsidRPr="00762A2E">
        <w:t>SiPhy</w:t>
      </w:r>
      <w:proofErr w:type="spellEnd"/>
      <w:r w:rsidRPr="00762A2E">
        <w:t>. Clinical observations (</w:t>
      </w:r>
      <w:r w:rsidR="00241F46" w:rsidRPr="00762A2E">
        <w:t xml:space="preserve">clinical presentation, </w:t>
      </w:r>
      <w:r w:rsidRPr="00762A2E">
        <w:t xml:space="preserve">karyotype, MDS type): pathogenic range; previously reported, familial, known phenotype. Undefined; unspecific phenotype. </w:t>
      </w:r>
      <w:r w:rsidR="00556826" w:rsidRPr="00762A2E">
        <w:t xml:space="preserve"> </w:t>
      </w:r>
      <w:r w:rsidRPr="00762A2E">
        <w:t xml:space="preserve">Patient 8 was sequenced using targeted bone marrow failure and MDS panel (custom Roche </w:t>
      </w:r>
      <w:proofErr w:type="spellStart"/>
      <w:r w:rsidRPr="00762A2E">
        <w:t>SeqCAp</w:t>
      </w:r>
      <w:proofErr w:type="spellEnd"/>
      <w:r w:rsidRPr="00762A2E">
        <w:t xml:space="preserve"> EZ Hyper Cap Library capture kit, Roche, Switzerland) on a </w:t>
      </w:r>
      <w:proofErr w:type="spellStart"/>
      <w:r w:rsidRPr="00762A2E">
        <w:t>MiSeq</w:t>
      </w:r>
      <w:proofErr w:type="spellEnd"/>
      <w:r w:rsidRPr="00762A2E">
        <w:t xml:space="preserve"> platform</w:t>
      </w:r>
      <w:r w:rsidR="00241F46" w:rsidRPr="00762A2E">
        <w:t xml:space="preserve"> (Illumina, USA)</w:t>
      </w:r>
      <w:r w:rsidRPr="00762A2E">
        <w:t>. Filtering and prioritization of variants from this panel was performed using an in-house implemented pipeline as previously reported (5, 6).</w:t>
      </w:r>
    </w:p>
    <w:p w14:paraId="4143C9E8" w14:textId="77777777" w:rsidR="00C908A3" w:rsidRPr="00762A2E" w:rsidRDefault="00C908A3" w:rsidP="00C908A3">
      <w:pPr>
        <w:spacing w:after="0"/>
        <w:jc w:val="both"/>
        <w:rPr>
          <w:b/>
        </w:rPr>
      </w:pPr>
    </w:p>
    <w:p w14:paraId="5CB3A758" w14:textId="77777777" w:rsidR="00C908A3" w:rsidRPr="00762A2E" w:rsidRDefault="004213D6" w:rsidP="00C908A3">
      <w:pPr>
        <w:spacing w:after="0"/>
        <w:jc w:val="both"/>
        <w:rPr>
          <w:b/>
        </w:rPr>
      </w:pPr>
      <w:r w:rsidRPr="00762A2E">
        <w:rPr>
          <w:b/>
        </w:rPr>
        <w:t>Whole exome sequencing (WES)</w:t>
      </w:r>
    </w:p>
    <w:p w14:paraId="2B561BFB" w14:textId="7327C2BE" w:rsidR="004213D6" w:rsidRPr="00762A2E" w:rsidRDefault="004213D6" w:rsidP="00C908A3">
      <w:pPr>
        <w:spacing w:after="0"/>
        <w:jc w:val="both"/>
      </w:pPr>
      <w:r w:rsidRPr="00762A2E">
        <w:t xml:space="preserve">WES was performed for patients P1, P3, P5, P6 and P7 in bone marrow granulocytes (BM-GR) as well as skin fibroblasts of P4. WES procedure and variant filtering were previously described (7). Briefly, exon region capture was accomplished with Agilent </w:t>
      </w:r>
      <w:proofErr w:type="spellStart"/>
      <w:r w:rsidRPr="00762A2E">
        <w:t>SureSelect</w:t>
      </w:r>
      <w:proofErr w:type="spellEnd"/>
      <w:r w:rsidRPr="00762A2E">
        <w:t xml:space="preserve"> v5.0 (Agilent, Santa Clara, CA) and library was prepared using </w:t>
      </w:r>
      <w:proofErr w:type="spellStart"/>
      <w:r w:rsidRPr="00762A2E">
        <w:t>TruSeq</w:t>
      </w:r>
      <w:proofErr w:type="spellEnd"/>
      <w:r w:rsidRPr="00762A2E">
        <w:t xml:space="preserve"> (Illumina). Paired-end (2x100bp) sequencing was performed on HiSeq2000 instrument</w:t>
      </w:r>
      <w:r w:rsidR="00241F46" w:rsidRPr="00762A2E">
        <w:t xml:space="preserve"> (Illumina)</w:t>
      </w:r>
      <w:r w:rsidRPr="00762A2E">
        <w:t xml:space="preserve">. The analysis focused on 300 genes associated with </w:t>
      </w:r>
      <w:r w:rsidR="00241F46" w:rsidRPr="00762A2E">
        <w:t>predisposition to bone marrow failure and hematopoietic malignancies (</w:t>
      </w:r>
      <w:r w:rsidRPr="00762A2E">
        <w:t xml:space="preserve">Fanconi anemia, Dyskeratosis congenita, congenital neutropenia, DBA, hereditary MDS and myeloid neoplasia, congenital thrombocytopenia, chromosomal instability and mismatch repair-deficiency, </w:t>
      </w:r>
      <w:proofErr w:type="spellStart"/>
      <w:r w:rsidRPr="00762A2E">
        <w:t>R</w:t>
      </w:r>
      <w:r w:rsidR="00556826" w:rsidRPr="00762A2E">
        <w:t>AS</w:t>
      </w:r>
      <w:r w:rsidRPr="00762A2E">
        <w:t>opathies</w:t>
      </w:r>
      <w:proofErr w:type="spellEnd"/>
      <w:r w:rsidR="00241F46" w:rsidRPr="00762A2E">
        <w:t>)</w:t>
      </w:r>
      <w:r w:rsidRPr="00762A2E">
        <w:t xml:space="preserve">, and those reported in Pan-Cancer studies </w:t>
      </w:r>
      <w:r w:rsidR="00241F46" w:rsidRPr="00762A2E">
        <w:t xml:space="preserve">with hematopoietic cancers </w:t>
      </w:r>
      <w:r w:rsidRPr="00762A2E">
        <w:t>(8-13).</w:t>
      </w:r>
    </w:p>
    <w:p w14:paraId="2F5B298E" w14:textId="77777777" w:rsidR="00C908A3" w:rsidRPr="00762A2E" w:rsidRDefault="00C908A3" w:rsidP="00C908A3">
      <w:pPr>
        <w:spacing w:after="0"/>
        <w:jc w:val="both"/>
      </w:pPr>
    </w:p>
    <w:p w14:paraId="7BDE3F07" w14:textId="77777777" w:rsidR="00643206" w:rsidRPr="00762A2E" w:rsidRDefault="00643206" w:rsidP="00C908A3">
      <w:pPr>
        <w:spacing w:after="0"/>
        <w:jc w:val="both"/>
        <w:rPr>
          <w:b/>
          <w:bCs/>
        </w:rPr>
      </w:pPr>
      <w:r w:rsidRPr="00762A2E">
        <w:rPr>
          <w:b/>
          <w:bCs/>
        </w:rPr>
        <w:t xml:space="preserve">Targeted investigations of </w:t>
      </w:r>
      <w:r w:rsidRPr="00762A2E">
        <w:rPr>
          <w:b/>
          <w:bCs/>
          <w:i/>
        </w:rPr>
        <w:t>GATA2</w:t>
      </w:r>
      <w:r w:rsidRPr="00762A2E">
        <w:rPr>
          <w:b/>
          <w:bCs/>
        </w:rPr>
        <w:t xml:space="preserve"> transcript expression</w:t>
      </w:r>
    </w:p>
    <w:p w14:paraId="1824DF30" w14:textId="5DAE0E7B" w:rsidR="00643206" w:rsidRPr="00762A2E" w:rsidRDefault="00643206" w:rsidP="00C908A3">
      <w:pPr>
        <w:spacing w:after="0"/>
        <w:jc w:val="both"/>
        <w:rPr>
          <w:rFonts w:ascii="Calibri" w:hAnsi="Calibri" w:cs="Times New Roman"/>
        </w:rPr>
      </w:pPr>
      <w:r w:rsidRPr="00762A2E">
        <w:rPr>
          <w:rFonts w:ascii="Calibri" w:hAnsi="Calibri" w:cs="Times New Roman"/>
        </w:rPr>
        <w:t xml:space="preserve">Total RNA was extracted from peripheral blood, bone marrow or fibroblasts using the </w:t>
      </w:r>
      <w:proofErr w:type="spellStart"/>
      <w:r w:rsidRPr="00762A2E">
        <w:rPr>
          <w:rFonts w:ascii="Calibri" w:hAnsi="Calibri" w:cs="Times New Roman"/>
        </w:rPr>
        <w:t>TRIzol</w:t>
      </w:r>
      <w:proofErr w:type="spellEnd"/>
      <w:r w:rsidRPr="00762A2E">
        <w:rPr>
          <w:rFonts w:ascii="Calibri" w:hAnsi="Calibri" w:cs="Times New Roman"/>
        </w:rPr>
        <w:t xml:space="preserve"> reagent (</w:t>
      </w:r>
      <w:proofErr w:type="spellStart"/>
      <w:r w:rsidRPr="00762A2E">
        <w:rPr>
          <w:rFonts w:ascii="Calibri" w:hAnsi="Calibri" w:cs="Times New Roman"/>
        </w:rPr>
        <w:t>Thermo</w:t>
      </w:r>
      <w:proofErr w:type="spellEnd"/>
      <w:r w:rsidRPr="00762A2E">
        <w:rPr>
          <w:rFonts w:ascii="Calibri" w:hAnsi="Calibri" w:cs="Times New Roman"/>
        </w:rPr>
        <w:t xml:space="preserve"> Fisher Scientific). RNA from patients (P1, P3 – P7) and 3 healthy controls was subjected to reverse transcription </w:t>
      </w:r>
      <w:r w:rsidRPr="00762A2E">
        <w:rPr>
          <w:rFonts w:ascii="Calibri" w:hAnsi="Calibri" w:cs="Times New Roman"/>
        </w:rPr>
        <w:lastRenderedPageBreak/>
        <w:t>(</w:t>
      </w:r>
      <w:proofErr w:type="spellStart"/>
      <w:r w:rsidRPr="00762A2E">
        <w:rPr>
          <w:rFonts w:ascii="Calibri" w:hAnsi="Calibri" w:cs="Times New Roman"/>
        </w:rPr>
        <w:t>QuantiTect</w:t>
      </w:r>
      <w:proofErr w:type="spellEnd"/>
      <w:r w:rsidRPr="00762A2E">
        <w:rPr>
          <w:rFonts w:ascii="Calibri" w:hAnsi="Calibri" w:cs="Times New Roman"/>
        </w:rPr>
        <w:t xml:space="preserve"> Reverse Transcription kit, Qiagen) using oligo(dT)</w:t>
      </w:r>
      <w:r w:rsidRPr="00762A2E">
        <w:rPr>
          <w:rFonts w:ascii="Calibri" w:hAnsi="Calibri" w:cs="Times New Roman"/>
          <w:vertAlign w:val="subscript"/>
        </w:rPr>
        <w:t>18nt</w:t>
      </w:r>
      <w:r w:rsidRPr="00762A2E">
        <w:rPr>
          <w:rFonts w:ascii="Calibri" w:hAnsi="Calibri" w:cs="Times New Roman"/>
        </w:rPr>
        <w:t xml:space="preserve"> priming (for P1, P3, P6 and P7) or a mix of oligo(dT)</w:t>
      </w:r>
      <w:r w:rsidRPr="00762A2E">
        <w:rPr>
          <w:rFonts w:ascii="Calibri" w:hAnsi="Calibri" w:cs="Times New Roman"/>
          <w:vertAlign w:val="subscript"/>
        </w:rPr>
        <w:t>18nt</w:t>
      </w:r>
      <w:r w:rsidRPr="00762A2E">
        <w:rPr>
          <w:rFonts w:ascii="Calibri" w:hAnsi="Calibri" w:cs="Times New Roman"/>
        </w:rPr>
        <w:t xml:space="preserve"> and random hexamers (P4, P5). In order to compare the efficiency of different priming methods, cDNA of P1 and P6 was additionally synthesized with random hexamers only. P9 cDNA RT-PCR was performed as follows: cDNA from patient-derived fibroblasts was reverse transcribed with random hexamers (</w:t>
      </w:r>
      <w:proofErr w:type="spellStart"/>
      <w:r w:rsidRPr="00762A2E">
        <w:rPr>
          <w:rFonts w:ascii="Calibri" w:hAnsi="Calibri" w:cs="Times New Roman"/>
        </w:rPr>
        <w:t>RevertAid</w:t>
      </w:r>
      <w:proofErr w:type="spellEnd"/>
      <w:r w:rsidRPr="00762A2E">
        <w:rPr>
          <w:rFonts w:ascii="Calibri" w:hAnsi="Calibri" w:cs="Times New Roman"/>
        </w:rPr>
        <w:t xml:space="preserve"> First Strand cDNA Synthesis Kit, Thermo Fisher Scientific) and then amplified using primers spanning exon 2 – exon 5 of the </w:t>
      </w:r>
      <w:r w:rsidRPr="00762A2E">
        <w:rPr>
          <w:rFonts w:ascii="Calibri" w:hAnsi="Calibri" w:cs="Times New Roman"/>
          <w:i/>
        </w:rPr>
        <w:t>GATA2</w:t>
      </w:r>
      <w:r w:rsidRPr="00762A2E">
        <w:rPr>
          <w:rFonts w:ascii="Calibri" w:hAnsi="Calibri" w:cs="Times New Roman"/>
        </w:rPr>
        <w:t xml:space="preserve"> gene (supplemental Figure </w:t>
      </w:r>
      <w:r w:rsidR="00B371F2" w:rsidRPr="00762A2E">
        <w:rPr>
          <w:rFonts w:ascii="Calibri" w:hAnsi="Calibri" w:cs="Times New Roman"/>
        </w:rPr>
        <w:t>1</w:t>
      </w:r>
      <w:r w:rsidRPr="00762A2E">
        <w:rPr>
          <w:rFonts w:ascii="Calibri" w:hAnsi="Calibri" w:cs="Times New Roman"/>
        </w:rPr>
        <w:t xml:space="preserve"> and supplemental Table 2).</w:t>
      </w:r>
    </w:p>
    <w:p w14:paraId="599300A3" w14:textId="70B81F83" w:rsidR="00643206" w:rsidRPr="00762A2E" w:rsidRDefault="00643206" w:rsidP="00C908A3">
      <w:pPr>
        <w:spacing w:after="0"/>
        <w:jc w:val="both"/>
        <w:rPr>
          <w:rFonts w:ascii="Calibri" w:hAnsi="Calibri" w:cs="Times New Roman"/>
        </w:rPr>
      </w:pPr>
      <w:r w:rsidRPr="00762A2E">
        <w:rPr>
          <w:rFonts w:ascii="Calibri" w:hAnsi="Calibri" w:cs="Times New Roman"/>
        </w:rPr>
        <w:t xml:space="preserve">Initially, in order to evaluate the expression of wild type (WT)/ mutated (Mut) </w:t>
      </w:r>
      <w:r w:rsidRPr="00762A2E">
        <w:rPr>
          <w:rFonts w:ascii="Calibri" w:hAnsi="Calibri" w:cs="Times New Roman"/>
          <w:i/>
          <w:iCs/>
        </w:rPr>
        <w:t>GATA2</w:t>
      </w:r>
      <w:r w:rsidRPr="00762A2E">
        <w:rPr>
          <w:rFonts w:ascii="Calibri" w:hAnsi="Calibri" w:cs="Times New Roman"/>
        </w:rPr>
        <w:t xml:space="preserve"> alleles, Sanger sequencing of cDNA was performed in 7 of 9 cases with synonymous alterations and 3 healthy controls. Results were confirmed in at least 2 independent experiments. Deep sequencing was used to precisely quantify the loss of mutant mRNA in 6 patients (supplemental Table 2). The presence of novel transcripts was assessed using direct sequencing of expected and alternative PCR products resolved on agarose gel. To analyze single alleles independently TA cloning and sequencing was pe</w:t>
      </w:r>
      <w:r w:rsidR="00254842" w:rsidRPr="00762A2E">
        <w:rPr>
          <w:rFonts w:ascii="Calibri" w:hAnsi="Calibri" w:cs="Times New Roman"/>
        </w:rPr>
        <w:t>rformed as previously described (14).</w:t>
      </w:r>
      <w:r w:rsidRPr="00762A2E">
        <w:rPr>
          <w:rFonts w:ascii="Calibri" w:hAnsi="Calibri" w:cs="Times New Roman"/>
        </w:rPr>
        <w:t xml:space="preserve"> Briefly, PCR products amplified from patient-derived cDNA using </w:t>
      </w:r>
      <w:r w:rsidRPr="00762A2E">
        <w:rPr>
          <w:rFonts w:ascii="Calibri" w:hAnsi="Calibri" w:cs="Times New Roman"/>
          <w:i/>
        </w:rPr>
        <w:t>GATA2</w:t>
      </w:r>
      <w:r w:rsidRPr="00762A2E">
        <w:rPr>
          <w:rFonts w:ascii="Calibri" w:hAnsi="Calibri" w:cs="Times New Roman"/>
        </w:rPr>
        <w:t xml:space="preserve"> specific primers were gel purified (Wizard SV Gel and PCR Clean-Up kit, Promega, Mannheim, Germany), ligated into TA cloning vector pCR2.1 (Thermo Fisher Scientific) overnight at 16°C and transformed into TOP10 E.coli. Multiple colonies were amplified by colony PCR using M13 primers. PCR products were </w:t>
      </w:r>
      <w:r w:rsidR="00F55790" w:rsidRPr="00762A2E">
        <w:rPr>
          <w:rFonts w:ascii="Calibri" w:hAnsi="Calibri" w:cs="Times New Roman"/>
        </w:rPr>
        <w:t>purified,</w:t>
      </w:r>
      <w:r w:rsidRPr="00762A2E">
        <w:rPr>
          <w:rFonts w:ascii="Calibri" w:hAnsi="Calibri" w:cs="Times New Roman"/>
        </w:rPr>
        <w:t xml:space="preserve"> and Sanger sequenced.</w:t>
      </w:r>
    </w:p>
    <w:p w14:paraId="534673D4" w14:textId="44E47D7D" w:rsidR="00C908A3" w:rsidRPr="00762A2E" w:rsidRDefault="00C10C1A" w:rsidP="00C908A3">
      <w:pPr>
        <w:spacing w:after="0"/>
        <w:jc w:val="both"/>
        <w:rPr>
          <w:bCs/>
        </w:rPr>
      </w:pPr>
      <w:r w:rsidRPr="00762A2E">
        <w:rPr>
          <w:bCs/>
        </w:rPr>
        <w:t xml:space="preserve">Analysis of </w:t>
      </w:r>
      <w:r w:rsidRPr="00762A2E">
        <w:rPr>
          <w:bCs/>
          <w:i/>
        </w:rPr>
        <w:t>GATA2</w:t>
      </w:r>
      <w:r w:rsidRPr="00762A2E">
        <w:rPr>
          <w:bCs/>
        </w:rPr>
        <w:t xml:space="preserve"> expression in different hematopoietic cells of healthy controls was performed as follows: RNA was isolated using the </w:t>
      </w:r>
      <w:proofErr w:type="spellStart"/>
      <w:r w:rsidRPr="00762A2E">
        <w:rPr>
          <w:bCs/>
        </w:rPr>
        <w:t>AllPrep</w:t>
      </w:r>
      <w:proofErr w:type="spellEnd"/>
      <w:r w:rsidRPr="00762A2E">
        <w:rPr>
          <w:bCs/>
        </w:rPr>
        <w:t xml:space="preserve">® DNA/RNA/Protein Mini kit (Qiagen), and cDNA was generated with </w:t>
      </w:r>
      <w:proofErr w:type="spellStart"/>
      <w:r w:rsidRPr="00762A2E">
        <w:rPr>
          <w:bCs/>
        </w:rPr>
        <w:t>RevertAid</w:t>
      </w:r>
      <w:proofErr w:type="spellEnd"/>
      <w:r w:rsidRPr="00762A2E">
        <w:rPr>
          <w:bCs/>
        </w:rPr>
        <w:t xml:space="preserve"> H Minus First Strand cDNA synthesis kit (Thermo Scientific). </w:t>
      </w:r>
      <w:r w:rsidRPr="00762A2E">
        <w:rPr>
          <w:bCs/>
          <w:i/>
        </w:rPr>
        <w:t>GATA2</w:t>
      </w:r>
      <w:r w:rsidRPr="00762A2E">
        <w:rPr>
          <w:bCs/>
        </w:rPr>
        <w:t xml:space="preserve"> expression was quantified by qPCR with TaqMan gene expression assay for </w:t>
      </w:r>
      <w:r w:rsidRPr="00762A2E">
        <w:rPr>
          <w:bCs/>
          <w:i/>
        </w:rPr>
        <w:t>GATA2</w:t>
      </w:r>
      <w:r w:rsidRPr="00762A2E">
        <w:rPr>
          <w:bCs/>
        </w:rPr>
        <w:t xml:space="preserve"> (Hs00231119_m1; Life Technologies) and </w:t>
      </w:r>
      <w:r w:rsidRPr="00762A2E">
        <w:rPr>
          <w:bCs/>
          <w:i/>
        </w:rPr>
        <w:t>GAPDH</w:t>
      </w:r>
      <w:r w:rsidRPr="00762A2E">
        <w:rPr>
          <w:bCs/>
        </w:rPr>
        <w:t xml:space="preserve"> (4352934E; Life Technologies) according to manufacturers’ instructions using an ABI 7900HT Fast Real-Time PCR System.  Relative quantification of the mRNA levels was performed using the ΔCT method with </w:t>
      </w:r>
      <w:r w:rsidRPr="00762A2E">
        <w:rPr>
          <w:bCs/>
          <w:i/>
        </w:rPr>
        <w:t>GAPDH</w:t>
      </w:r>
      <w:r w:rsidRPr="00762A2E">
        <w:rPr>
          <w:bCs/>
        </w:rPr>
        <w:t xml:space="preserve"> as the reference gene.</w:t>
      </w:r>
    </w:p>
    <w:p w14:paraId="0384140A" w14:textId="77777777" w:rsidR="00C10C1A" w:rsidRPr="00762A2E" w:rsidRDefault="00C10C1A" w:rsidP="00C908A3">
      <w:pPr>
        <w:spacing w:after="0"/>
        <w:jc w:val="both"/>
        <w:rPr>
          <w:bCs/>
          <w:lang w:val="en-GB"/>
        </w:rPr>
      </w:pPr>
    </w:p>
    <w:p w14:paraId="778C6300" w14:textId="77777777" w:rsidR="00643206" w:rsidRPr="00762A2E" w:rsidRDefault="00643206" w:rsidP="00643206">
      <w:pPr>
        <w:spacing w:after="0"/>
        <w:jc w:val="both"/>
        <w:rPr>
          <w:b/>
        </w:rPr>
      </w:pPr>
      <w:r w:rsidRPr="00762A2E">
        <w:rPr>
          <w:b/>
        </w:rPr>
        <w:t xml:space="preserve">Structural modeling of </w:t>
      </w:r>
      <w:r w:rsidRPr="00762A2E">
        <w:rPr>
          <w:b/>
          <w:i/>
        </w:rPr>
        <w:t>GATA2</w:t>
      </w:r>
      <w:r w:rsidRPr="00762A2E">
        <w:rPr>
          <w:b/>
        </w:rPr>
        <w:t xml:space="preserve"> mRNA</w:t>
      </w:r>
    </w:p>
    <w:p w14:paraId="5FBEE585" w14:textId="4BDE539E" w:rsidR="00643206" w:rsidRPr="00762A2E" w:rsidRDefault="00643206" w:rsidP="00643206">
      <w:pPr>
        <w:spacing w:after="0"/>
        <w:jc w:val="both"/>
      </w:pPr>
      <w:r w:rsidRPr="00762A2E">
        <w:rPr>
          <w:i/>
        </w:rPr>
        <w:t>In silico</w:t>
      </w:r>
      <w:r w:rsidRPr="00762A2E">
        <w:t xml:space="preserve"> modeling was performed to assess the effect of synonymous variants on RNA stability and conformation. Control groups consisted of 5 synonymous variants with high allelic frequency in the </w:t>
      </w:r>
      <w:proofErr w:type="spellStart"/>
      <w:r w:rsidRPr="00762A2E">
        <w:t>gnomAD</w:t>
      </w:r>
      <w:proofErr w:type="spellEnd"/>
      <w:r w:rsidRPr="00762A2E">
        <w:t xml:space="preserve"> population: c.15C&gt;G, p.P5P: 66.24% (154544: alternative alleles /233310: total alleles); c.564G&gt;A, p.T188T: 4.17% (11524/276670); c.1233G&gt;A, p.A411A: 2.17% (6012/277196); c.66C&gt;G, p.P22P: 0.08% (205/267714); c.114G&gt;A, p.Q38Q: 0.08% (207/271388) and 5 pathogenic non-synonymous </w:t>
      </w:r>
      <w:r w:rsidRPr="00762A2E">
        <w:rPr>
          <w:i/>
        </w:rPr>
        <w:t>GATA2</w:t>
      </w:r>
      <w:r w:rsidRPr="00762A2E">
        <w:t xml:space="preserve"> mutations: c.1061C&gt;T, p.T354M; c.1075T&gt;G, p.L359V; c.1081C&gt;T, p.R361C; c.1186C&gt;T, p.R396W; c.1187G&gt;A, p.R396Q. Initially, the </w:t>
      </w:r>
      <w:r w:rsidRPr="00762A2E">
        <w:rPr>
          <w:i/>
          <w:iCs/>
        </w:rPr>
        <w:t>GATA2</w:t>
      </w:r>
      <w:r w:rsidRPr="00762A2E">
        <w:t xml:space="preserve"> WT mRNA and all associated Mut nucleotide sequences (FASTA) were uploaded to </w:t>
      </w:r>
      <w:proofErr w:type="spellStart"/>
      <w:r w:rsidRPr="00762A2E">
        <w:t>Mfold</w:t>
      </w:r>
      <w:proofErr w:type="spellEnd"/>
      <w:r w:rsidRPr="00762A2E">
        <w:t xml:space="preserve">, </w:t>
      </w:r>
      <w:proofErr w:type="spellStart"/>
      <w:r w:rsidRPr="00762A2E">
        <w:t>RNAfold</w:t>
      </w:r>
      <w:proofErr w:type="spellEnd"/>
      <w:r w:rsidRPr="00762A2E">
        <w:t xml:space="preserve"> and </w:t>
      </w:r>
      <w:proofErr w:type="spellStart"/>
      <w:r w:rsidRPr="00762A2E">
        <w:t>Quikfold</w:t>
      </w:r>
      <w:proofErr w:type="spellEnd"/>
      <w:r w:rsidRPr="00762A2E">
        <w:t xml:space="preserve"> servers </w:t>
      </w:r>
      <w:r w:rsidR="00254842" w:rsidRPr="00762A2E">
        <w:t xml:space="preserve">(15-17). </w:t>
      </w:r>
      <w:r w:rsidRPr="00762A2E">
        <w:t>They predict the most energetically stable secondary structure of mRNA based on calculated minimum free energy (ΔG) values. ΔG is defined as the sum of the free energies assigned to all the loops and stem regions. The lower the energy value, the higher the stability of predicted secondary structures.</w:t>
      </w:r>
    </w:p>
    <w:p w14:paraId="3977F629" w14:textId="77777777" w:rsidR="00643206" w:rsidRPr="00762A2E" w:rsidRDefault="00643206" w:rsidP="00643206">
      <w:pPr>
        <w:spacing w:after="0"/>
        <w:jc w:val="both"/>
        <w:rPr>
          <w:b/>
        </w:rPr>
      </w:pPr>
    </w:p>
    <w:p w14:paraId="4A2B4A60" w14:textId="77777777" w:rsidR="00643206" w:rsidRPr="00762A2E" w:rsidRDefault="00643206" w:rsidP="00643206">
      <w:pPr>
        <w:spacing w:after="0"/>
        <w:jc w:val="both"/>
        <w:rPr>
          <w:b/>
        </w:rPr>
      </w:pPr>
      <w:r w:rsidRPr="00762A2E">
        <w:rPr>
          <w:b/>
        </w:rPr>
        <w:t>GATA2 splicing analysis using RNA sequencing</w:t>
      </w:r>
    </w:p>
    <w:p w14:paraId="79D129A6" w14:textId="14A2673B" w:rsidR="00643206" w:rsidRPr="00762A2E" w:rsidRDefault="00643206" w:rsidP="00643206">
      <w:pPr>
        <w:spacing w:after="0"/>
        <w:jc w:val="both"/>
        <w:rPr>
          <w:b/>
        </w:rPr>
      </w:pPr>
      <w:r w:rsidRPr="00762A2E">
        <w:t xml:space="preserve">RNA was extracted (Quick-RNA </w:t>
      </w:r>
      <w:proofErr w:type="spellStart"/>
      <w:r w:rsidRPr="00762A2E">
        <w:t>MicroPrep</w:t>
      </w:r>
      <w:proofErr w:type="spellEnd"/>
      <w:r w:rsidRPr="00762A2E">
        <w:t xml:space="preserve"> kit, </w:t>
      </w:r>
      <w:proofErr w:type="spellStart"/>
      <w:r w:rsidRPr="00762A2E">
        <w:t>Zymo</w:t>
      </w:r>
      <w:proofErr w:type="spellEnd"/>
      <w:r w:rsidRPr="00762A2E">
        <w:t xml:space="preserve"> Research, Freiburg, Germany) from flow-sorted CD34+ cells (CD34-APC antibody #345804 BD Biosciences, Heidelberg, Germany) from BM of P1, P4-P7. Libraries enriched with polyadenylated transcripts were prepared using SMART-Seq® v4 Ultra® Low Input RNA Kit (Takara, Saint-Germain-</w:t>
      </w:r>
      <w:proofErr w:type="spellStart"/>
      <w:r w:rsidRPr="00762A2E">
        <w:t>en</w:t>
      </w:r>
      <w:proofErr w:type="spellEnd"/>
      <w:r w:rsidRPr="00762A2E">
        <w:t>-</w:t>
      </w:r>
      <w:proofErr w:type="spellStart"/>
      <w:r w:rsidRPr="00762A2E">
        <w:t>Laye</w:t>
      </w:r>
      <w:proofErr w:type="spellEnd"/>
      <w:r w:rsidRPr="00762A2E">
        <w:t xml:space="preserve">, France) and </w:t>
      </w:r>
      <w:proofErr w:type="spellStart"/>
      <w:r w:rsidRPr="00762A2E">
        <w:t>Nextera</w:t>
      </w:r>
      <w:proofErr w:type="spellEnd"/>
      <w:r w:rsidRPr="00762A2E">
        <w:t xml:space="preserve"> XT DNA Library Prep Kit (Illumina) and paired-end (2x150bp) sequenced on a </w:t>
      </w:r>
      <w:proofErr w:type="spellStart"/>
      <w:r w:rsidRPr="00762A2E">
        <w:t>NovaSeq</w:t>
      </w:r>
      <w:proofErr w:type="spellEnd"/>
      <w:r w:rsidRPr="00762A2E">
        <w:t xml:space="preserve"> 6000 (Illumina). Identification of novel </w:t>
      </w:r>
      <w:r w:rsidRPr="00762A2E">
        <w:rPr>
          <w:i/>
        </w:rPr>
        <w:t>GATA2</w:t>
      </w:r>
      <w:r w:rsidRPr="00762A2E">
        <w:t xml:space="preserve"> transcripts and Sashimi plot </w:t>
      </w:r>
      <w:r w:rsidRPr="00762A2E">
        <w:lastRenderedPageBreak/>
        <w:t>generation was performed using HISAT/</w:t>
      </w:r>
      <w:proofErr w:type="spellStart"/>
      <w:r w:rsidRPr="00762A2E">
        <w:t>StringTie</w:t>
      </w:r>
      <w:proofErr w:type="spellEnd"/>
      <w:r w:rsidRPr="00762A2E">
        <w:t xml:space="preserve"> and </w:t>
      </w:r>
      <w:proofErr w:type="spellStart"/>
      <w:r w:rsidRPr="00762A2E">
        <w:t>Ballgown</w:t>
      </w:r>
      <w:proofErr w:type="spellEnd"/>
      <w:r w:rsidRPr="00762A2E">
        <w:t xml:space="preserve"> suite </w:t>
      </w:r>
      <w:r w:rsidR="00254842" w:rsidRPr="00762A2E">
        <w:t>(18).</w:t>
      </w:r>
      <w:r w:rsidRPr="00762A2E">
        <w:t xml:space="preserve"> First, the reads were mapped to the reference genome, assembled, quantified and merged across all samples using </w:t>
      </w:r>
      <w:proofErr w:type="spellStart"/>
      <w:r w:rsidRPr="00762A2E">
        <w:t>StringTie</w:t>
      </w:r>
      <w:proofErr w:type="spellEnd"/>
      <w:r w:rsidRPr="00762A2E">
        <w:t>. Next, transcript abundances were re-evaluated in order to create an input file to Ballgown for expression analysis.</w:t>
      </w:r>
    </w:p>
    <w:p w14:paraId="6837D145" w14:textId="77777777" w:rsidR="00643206" w:rsidRPr="00762A2E" w:rsidRDefault="00643206" w:rsidP="00643206">
      <w:pPr>
        <w:spacing w:after="0"/>
        <w:jc w:val="both"/>
        <w:rPr>
          <w:b/>
        </w:rPr>
      </w:pPr>
    </w:p>
    <w:p w14:paraId="40642998" w14:textId="77777777" w:rsidR="00643206" w:rsidRPr="00762A2E" w:rsidRDefault="00643206" w:rsidP="00643206">
      <w:pPr>
        <w:spacing w:after="0"/>
        <w:jc w:val="both"/>
        <w:rPr>
          <w:b/>
        </w:rPr>
      </w:pPr>
      <w:r w:rsidRPr="00762A2E">
        <w:rPr>
          <w:b/>
        </w:rPr>
        <w:t>Sequence analysis</w:t>
      </w:r>
    </w:p>
    <w:p w14:paraId="5D9C8AC7" w14:textId="6AB96FC2" w:rsidR="00643206" w:rsidRPr="00762A2E" w:rsidRDefault="00643206" w:rsidP="00643206">
      <w:pPr>
        <w:spacing w:after="0"/>
        <w:jc w:val="both"/>
        <w:rPr>
          <w:color w:val="FF0000"/>
        </w:rPr>
      </w:pPr>
      <w:r w:rsidRPr="00762A2E">
        <w:t xml:space="preserve">Unless otherwise indicated, all sequences were uniformly analyzed using </w:t>
      </w:r>
      <w:proofErr w:type="spellStart"/>
      <w:r w:rsidRPr="00762A2E">
        <w:t>SeqNext</w:t>
      </w:r>
      <w:proofErr w:type="spellEnd"/>
      <w:r w:rsidRPr="00762A2E">
        <w:t xml:space="preserve"> and </w:t>
      </w:r>
      <w:proofErr w:type="spellStart"/>
      <w:r w:rsidRPr="00762A2E">
        <w:t>SeqPilot</w:t>
      </w:r>
      <w:proofErr w:type="spellEnd"/>
      <w:r w:rsidRPr="00762A2E">
        <w:t xml:space="preserve"> (JSI Medical Systems). Nucleotide conservation alignment was performed with Nucleotide BLAST (https://blast.ncbi.nlm.nih.gov/). Putative </w:t>
      </w:r>
      <w:r w:rsidRPr="00762A2E">
        <w:rPr>
          <w:i/>
        </w:rPr>
        <w:t>de novo</w:t>
      </w:r>
      <w:r w:rsidRPr="00762A2E">
        <w:t xml:space="preserve"> splicing effect of the 5 synonymous alterations was assessed by splicing tools integrated in Alamut Visual v2.10.0 (Interactive </w:t>
      </w:r>
      <w:proofErr w:type="spellStart"/>
      <w:r w:rsidRPr="00762A2E">
        <w:t>Biosoftware</w:t>
      </w:r>
      <w:proofErr w:type="spellEnd"/>
      <w:r w:rsidRPr="00762A2E">
        <w:t xml:space="preserve">) and Human Splicing Finder v3.0 </w:t>
      </w:r>
      <w:r w:rsidR="00254842" w:rsidRPr="00762A2E">
        <w:t xml:space="preserve">(19) </w:t>
      </w:r>
      <w:r w:rsidRPr="00762A2E">
        <w:t xml:space="preserve">which combines 12 different algorithms to predict the effect of mutations on identified splicing motifs. The </w:t>
      </w:r>
      <w:proofErr w:type="spellStart"/>
      <w:r w:rsidRPr="00762A2E">
        <w:t>gnomAD</w:t>
      </w:r>
      <w:proofErr w:type="spellEnd"/>
      <w:r w:rsidRPr="00762A2E">
        <w:t xml:space="preserve"> population cohort </w:t>
      </w:r>
      <w:r w:rsidR="00254842" w:rsidRPr="00762A2E">
        <w:t>(20)</w:t>
      </w:r>
      <w:r w:rsidRPr="00762A2E">
        <w:t xml:space="preserve"> was used to assess allele frequencies of selected variants in a population of &gt;120 </w:t>
      </w:r>
      <w:r w:rsidR="00F70BDF" w:rsidRPr="00762A2E">
        <w:t>000 individuals.</w:t>
      </w:r>
    </w:p>
    <w:p w14:paraId="5984D6F9" w14:textId="77777777" w:rsidR="00643206" w:rsidRPr="00762A2E" w:rsidRDefault="00643206" w:rsidP="00643206">
      <w:pPr>
        <w:spacing w:after="0"/>
        <w:jc w:val="both"/>
        <w:rPr>
          <w:b/>
        </w:rPr>
      </w:pPr>
    </w:p>
    <w:p w14:paraId="5837F0C3" w14:textId="77777777" w:rsidR="00643206" w:rsidRPr="00762A2E" w:rsidRDefault="00643206" w:rsidP="00643206">
      <w:pPr>
        <w:spacing w:after="0"/>
        <w:jc w:val="both"/>
        <w:rPr>
          <w:b/>
        </w:rPr>
      </w:pPr>
      <w:r w:rsidRPr="00762A2E">
        <w:rPr>
          <w:b/>
        </w:rPr>
        <w:t>GATA2 expression studies</w:t>
      </w:r>
    </w:p>
    <w:p w14:paraId="751C4EAA" w14:textId="71717CC8" w:rsidR="00643206" w:rsidRPr="00762A2E" w:rsidRDefault="00643206" w:rsidP="00643206">
      <w:pPr>
        <w:spacing w:after="0"/>
        <w:jc w:val="both"/>
      </w:pPr>
      <w:r w:rsidRPr="00762A2E">
        <w:t xml:space="preserve">The pFLAG-CMV2-GATA2 construct was purchased from </w:t>
      </w:r>
      <w:proofErr w:type="spellStart"/>
      <w:r w:rsidRPr="00762A2E">
        <w:t>Addgene</w:t>
      </w:r>
      <w:proofErr w:type="spellEnd"/>
      <w:r w:rsidRPr="00762A2E">
        <w:t xml:space="preserve"> (#1418). Synonymous </w:t>
      </w:r>
      <w:r w:rsidRPr="00762A2E">
        <w:rPr>
          <w:i/>
        </w:rPr>
        <w:t>GATA2</w:t>
      </w:r>
      <w:r w:rsidRPr="00762A2E">
        <w:t xml:space="preserve"> mutations were introduced using </w:t>
      </w:r>
      <w:proofErr w:type="spellStart"/>
      <w:r w:rsidRPr="00762A2E">
        <w:t>QuickChange</w:t>
      </w:r>
      <w:proofErr w:type="spellEnd"/>
      <w:r w:rsidRPr="00762A2E">
        <w:t xml:space="preserve"> Lightning Site-Directed Mutagenesis Kit (Agilent Technologies). FLAG-tagged GATA2 protein was ectopically expressed from the aforementioned construct in 293T cell line. Cells were cultured in Dulbecco’s Modified Eagle’s Medium (DMEM) supplemented with 10% Fetal Bovine Serum (FBS), 2 mM L-glutamine and 1% Penicillin/Streptomycin. </w:t>
      </w:r>
      <w:r w:rsidR="009438F1" w:rsidRPr="00762A2E">
        <w:rPr>
          <w:color w:val="000000" w:themeColor="text1"/>
        </w:rPr>
        <w:t xml:space="preserve">293T </w:t>
      </w:r>
      <w:r w:rsidR="00F55790" w:rsidRPr="00762A2E">
        <w:rPr>
          <w:color w:val="000000" w:themeColor="text1"/>
        </w:rPr>
        <w:t>cell line</w:t>
      </w:r>
      <w:r w:rsidR="009438F1" w:rsidRPr="00762A2E">
        <w:rPr>
          <w:color w:val="000000" w:themeColor="text1"/>
        </w:rPr>
        <w:t xml:space="preserve"> </w:t>
      </w:r>
      <w:r w:rsidR="00F55790" w:rsidRPr="00762A2E">
        <w:rPr>
          <w:color w:val="000000" w:themeColor="text1"/>
        </w:rPr>
        <w:t xml:space="preserve">was </w:t>
      </w:r>
      <w:r w:rsidR="009438F1" w:rsidRPr="00762A2E">
        <w:rPr>
          <w:color w:val="000000" w:themeColor="text1"/>
        </w:rPr>
        <w:t xml:space="preserve">purchased from </w:t>
      </w:r>
      <w:r w:rsidR="00BC1AA5" w:rsidRPr="00762A2E">
        <w:rPr>
          <w:color w:val="000000" w:themeColor="text1"/>
        </w:rPr>
        <w:t>Sigma-Aldrich</w:t>
      </w:r>
      <w:r w:rsidR="009438F1" w:rsidRPr="00762A2E">
        <w:rPr>
          <w:color w:val="000000" w:themeColor="text1"/>
        </w:rPr>
        <w:t xml:space="preserve"> and </w:t>
      </w:r>
      <w:r w:rsidR="00315694" w:rsidRPr="00762A2E">
        <w:rPr>
          <w:color w:val="000000" w:themeColor="text1"/>
        </w:rPr>
        <w:t xml:space="preserve">are </w:t>
      </w:r>
      <w:r w:rsidR="009438F1" w:rsidRPr="00762A2E">
        <w:rPr>
          <w:color w:val="000000" w:themeColor="text1"/>
        </w:rPr>
        <w:t>negative for mycoplasma as assessed by conventional PCR</w:t>
      </w:r>
      <w:r w:rsidR="00315694" w:rsidRPr="00762A2E">
        <w:rPr>
          <w:color w:val="000000" w:themeColor="text1"/>
        </w:rPr>
        <w:t xml:space="preserve"> using </w:t>
      </w:r>
      <w:proofErr w:type="spellStart"/>
      <w:r w:rsidR="00315694" w:rsidRPr="00762A2E">
        <w:rPr>
          <w:color w:val="000000" w:themeColor="text1"/>
        </w:rPr>
        <w:t>Venor</w:t>
      </w:r>
      <w:proofErr w:type="spellEnd"/>
      <w:r w:rsidR="00315694" w:rsidRPr="00762A2E">
        <w:rPr>
          <w:color w:val="000000" w:themeColor="text1"/>
        </w:rPr>
        <w:t xml:space="preserve"> </w:t>
      </w:r>
      <w:proofErr w:type="spellStart"/>
      <w:r w:rsidR="00315694" w:rsidRPr="00762A2E">
        <w:rPr>
          <w:color w:val="000000" w:themeColor="text1"/>
        </w:rPr>
        <w:t>GeM</w:t>
      </w:r>
      <w:proofErr w:type="spellEnd"/>
      <w:r w:rsidR="00315694" w:rsidRPr="00762A2E">
        <w:rPr>
          <w:color w:val="000000" w:themeColor="text1"/>
        </w:rPr>
        <w:t xml:space="preserve"> Classic kit (Minerva Biolabs, Berlin, Germany)</w:t>
      </w:r>
      <w:r w:rsidR="009438F1" w:rsidRPr="00762A2E">
        <w:rPr>
          <w:color w:val="000000" w:themeColor="text1"/>
        </w:rPr>
        <w:t xml:space="preserve">. </w:t>
      </w:r>
      <w:r w:rsidRPr="00762A2E">
        <w:rPr>
          <w:color w:val="000000" w:themeColor="text1"/>
        </w:rPr>
        <w:t>Protein content was assessed after treatment of the transiently transfected cells with 1 µg/ml actinomycin D and 10 µg/</w:t>
      </w:r>
      <w:r w:rsidR="004D0E0D" w:rsidRPr="00762A2E">
        <w:rPr>
          <w:color w:val="000000" w:themeColor="text1"/>
        </w:rPr>
        <w:t xml:space="preserve">ml cycloheximide, </w:t>
      </w:r>
      <w:r w:rsidRPr="00762A2E">
        <w:rPr>
          <w:color w:val="000000" w:themeColor="text1"/>
        </w:rPr>
        <w:t>followed by Western blotting</w:t>
      </w:r>
      <w:r w:rsidR="00F747D6" w:rsidRPr="00762A2E">
        <w:rPr>
          <w:color w:val="000000" w:themeColor="text1"/>
        </w:rPr>
        <w:t xml:space="preserve"> with anti-FLAG antibody (</w:t>
      </w:r>
      <w:r w:rsidR="006F0E63" w:rsidRPr="00762A2E">
        <w:rPr>
          <w:color w:val="000000" w:themeColor="text1"/>
        </w:rPr>
        <w:t>mouse monoclonal, clone M2, F1804; Sigma-Aldrich, Hamburg, Germany)</w:t>
      </w:r>
      <w:r w:rsidRPr="00762A2E">
        <w:rPr>
          <w:color w:val="000000" w:themeColor="text1"/>
        </w:rPr>
        <w:t xml:space="preserve">. </w:t>
      </w:r>
      <w:r w:rsidRPr="00762A2E">
        <w:t xml:space="preserve">Detection of endogenous GATA2 protein in patient-derived platelets was accomplished using anti-GATA2 antibody (mouse monoclonal, clone 2D11, H00002624-M01; Novus Biologicals, </w:t>
      </w:r>
      <w:proofErr w:type="spellStart"/>
      <w:r w:rsidRPr="00762A2E">
        <w:t>Oxfordshire</w:t>
      </w:r>
      <w:proofErr w:type="spellEnd"/>
      <w:r w:rsidRPr="00762A2E">
        <w:t>, UK).</w:t>
      </w:r>
      <w:r w:rsidR="00887698" w:rsidRPr="00762A2E">
        <w:t xml:space="preserve"> </w:t>
      </w:r>
    </w:p>
    <w:p w14:paraId="5A02CA30" w14:textId="77777777" w:rsidR="00643206" w:rsidRPr="00762A2E" w:rsidRDefault="00643206" w:rsidP="00643206">
      <w:pPr>
        <w:spacing w:after="0"/>
        <w:jc w:val="both"/>
        <w:rPr>
          <w:b/>
        </w:rPr>
      </w:pPr>
    </w:p>
    <w:p w14:paraId="38138BFF" w14:textId="77777777" w:rsidR="00643206" w:rsidRPr="00762A2E" w:rsidRDefault="00643206" w:rsidP="00643206">
      <w:pPr>
        <w:spacing w:after="0"/>
        <w:jc w:val="both"/>
        <w:rPr>
          <w:b/>
        </w:rPr>
      </w:pPr>
      <w:r w:rsidRPr="00762A2E">
        <w:rPr>
          <w:b/>
        </w:rPr>
        <w:t>Luciferase reporter assay</w:t>
      </w:r>
    </w:p>
    <w:p w14:paraId="60EE9971" w14:textId="77777777" w:rsidR="00643206" w:rsidRPr="00762A2E" w:rsidRDefault="00643206" w:rsidP="00643206">
      <w:pPr>
        <w:spacing w:after="0"/>
        <w:jc w:val="both"/>
      </w:pPr>
      <w:r w:rsidRPr="00762A2E">
        <w:t xml:space="preserve">Transactivation activity of GATA2 protein was measured using reporter assay in 293T cells co-transfected with a pFLAG-CMV2-GATA2 (GATA2 WT, p.A341A, p.T117T, p.P472P, p.G327G, p.L217L and p.L359V as a gain-of-function control), GATA luciferase reporter vector (Affymetrix, Milano, Italy), and </w:t>
      </w:r>
      <w:proofErr w:type="spellStart"/>
      <w:r w:rsidRPr="00762A2E">
        <w:t>pRL</w:t>
      </w:r>
      <w:proofErr w:type="spellEnd"/>
      <w:r w:rsidRPr="00762A2E">
        <w:t xml:space="preserve"> (</w:t>
      </w:r>
      <w:proofErr w:type="spellStart"/>
      <w:r w:rsidRPr="00762A2E">
        <w:t>Renilla</w:t>
      </w:r>
      <w:proofErr w:type="spellEnd"/>
      <w:r w:rsidRPr="00762A2E">
        <w:t xml:space="preserve"> luciferase) using </w:t>
      </w:r>
      <w:proofErr w:type="spellStart"/>
      <w:r w:rsidRPr="00762A2E">
        <w:t>Attractene</w:t>
      </w:r>
      <w:proofErr w:type="spellEnd"/>
      <w:r w:rsidRPr="00762A2E">
        <w:t xml:space="preserve"> Transfection Reagent (</w:t>
      </w:r>
      <w:proofErr w:type="spellStart"/>
      <w:r w:rsidRPr="00762A2E">
        <w:t>Qiagen</w:t>
      </w:r>
      <w:proofErr w:type="spellEnd"/>
      <w:r w:rsidRPr="00762A2E">
        <w:t xml:space="preserve">). Luciferase activity was measured in cell lysates (TECAN reader) 24 h post-transfection using a dual luciferase assay system (Promega). Luminescence values were normalized based on constitutively expressed </w:t>
      </w:r>
      <w:proofErr w:type="spellStart"/>
      <w:r w:rsidRPr="00762A2E">
        <w:t>Renilla</w:t>
      </w:r>
      <w:proofErr w:type="spellEnd"/>
      <w:r w:rsidRPr="00762A2E">
        <w:t xml:space="preserve"> luciferase. Relative luciferase activity was determined from triplicate measurements obtained from 3 independent experiments.</w:t>
      </w:r>
    </w:p>
    <w:p w14:paraId="3C815BCB" w14:textId="77777777" w:rsidR="00643206" w:rsidRPr="00762A2E" w:rsidRDefault="00643206" w:rsidP="00643206">
      <w:pPr>
        <w:spacing w:after="0"/>
        <w:jc w:val="both"/>
        <w:rPr>
          <w:b/>
        </w:rPr>
      </w:pPr>
    </w:p>
    <w:p w14:paraId="49AB491F" w14:textId="77777777" w:rsidR="00643206" w:rsidRPr="00762A2E" w:rsidRDefault="00643206" w:rsidP="00643206">
      <w:pPr>
        <w:spacing w:after="0"/>
        <w:jc w:val="both"/>
        <w:rPr>
          <w:b/>
        </w:rPr>
      </w:pPr>
      <w:r w:rsidRPr="00762A2E">
        <w:rPr>
          <w:b/>
        </w:rPr>
        <w:t>Electrophoretic mobility shift assay</w:t>
      </w:r>
    </w:p>
    <w:p w14:paraId="4B2103F3" w14:textId="17B9484C" w:rsidR="00643206" w:rsidRPr="00762A2E" w:rsidRDefault="00643206" w:rsidP="00643206">
      <w:pPr>
        <w:spacing w:after="0"/>
        <w:jc w:val="both"/>
      </w:pPr>
      <w:r w:rsidRPr="00762A2E">
        <w:t xml:space="preserve">DNA-binding ability of GATA2 </w:t>
      </w:r>
      <w:r w:rsidR="00584706" w:rsidRPr="00762A2E">
        <w:t>Mut</w:t>
      </w:r>
      <w:r w:rsidRPr="00762A2E">
        <w:t xml:space="preserve"> protein p.L217L was investigated in 293T cell line by EMSA. Nuclear lysates were prepared 24 h post-transfection, then incubated with the oligonucleotide containing GATA recognition sites and the assay was performed according to manufacturer‘s instructions (Active Motif). The previously reported pathogenic p.R396Q mutation was used as an assay control.</w:t>
      </w:r>
    </w:p>
    <w:p w14:paraId="5655666D" w14:textId="77777777" w:rsidR="007E6AE7" w:rsidRPr="00762A2E" w:rsidRDefault="007E6AE7" w:rsidP="00643206">
      <w:pPr>
        <w:spacing w:after="0"/>
        <w:jc w:val="both"/>
      </w:pPr>
    </w:p>
    <w:p w14:paraId="4CA16B60" w14:textId="77777777" w:rsidR="00643206" w:rsidRPr="00762A2E" w:rsidRDefault="00643206" w:rsidP="00643206">
      <w:pPr>
        <w:spacing w:after="0"/>
        <w:jc w:val="both"/>
      </w:pPr>
    </w:p>
    <w:p w14:paraId="67A12381" w14:textId="0DEB80E3" w:rsidR="00643206" w:rsidRPr="00762A2E" w:rsidRDefault="00643206" w:rsidP="00643206">
      <w:pPr>
        <w:spacing w:after="0"/>
        <w:jc w:val="both"/>
        <w:rPr>
          <w:b/>
          <w:i/>
          <w:color w:val="FF0000"/>
        </w:rPr>
      </w:pPr>
      <w:r w:rsidRPr="00762A2E">
        <w:rPr>
          <w:b/>
        </w:rPr>
        <w:lastRenderedPageBreak/>
        <w:t>Zebrafish studies</w:t>
      </w:r>
    </w:p>
    <w:p w14:paraId="2BDBFFB4" w14:textId="0660DB3B" w:rsidR="00643206" w:rsidRPr="00762A2E" w:rsidRDefault="00643206" w:rsidP="007235DA">
      <w:pPr>
        <w:spacing w:after="0"/>
        <w:jc w:val="both"/>
      </w:pPr>
      <w:r w:rsidRPr="00762A2E">
        <w:t>Zebrafish (Danio rerio) strain Tübingen was maintained in the animal facility of the Max Planck Institute of Immunobiology and Epigenetic</w:t>
      </w:r>
      <w:r w:rsidR="00F55790" w:rsidRPr="00762A2E">
        <w:t>s.</w:t>
      </w:r>
      <w:r w:rsidRPr="00762A2E">
        <w:rPr>
          <w:color w:val="0070C0"/>
        </w:rPr>
        <w:t xml:space="preserve"> </w:t>
      </w:r>
      <w:r w:rsidR="007235DA" w:rsidRPr="00762A2E">
        <w:rPr>
          <w:color w:val="000000" w:themeColor="text1"/>
        </w:rPr>
        <w:t xml:space="preserve">The sample size was chosen as previously described </w:t>
      </w:r>
      <w:r w:rsidR="00FA4B96" w:rsidRPr="00762A2E">
        <w:rPr>
          <w:color w:val="000000" w:themeColor="text1"/>
        </w:rPr>
        <w:t>(21).</w:t>
      </w:r>
      <w:r w:rsidR="00FA4B96" w:rsidRPr="00762A2E">
        <w:rPr>
          <w:color w:val="0070C0"/>
        </w:rPr>
        <w:t xml:space="preserve"> </w:t>
      </w:r>
      <w:r w:rsidRPr="00762A2E">
        <w:t>No animals were excluded, and no randomization was applied. Only 1–5 days post fertilization (</w:t>
      </w:r>
      <w:proofErr w:type="spellStart"/>
      <w:r w:rsidRPr="00762A2E">
        <w:t>dpf</w:t>
      </w:r>
      <w:proofErr w:type="spellEnd"/>
      <w:r w:rsidRPr="00762A2E">
        <w:t xml:space="preserve">) embryos were used in this study and sex was not determined at these stages. Embryos were injected (PV820 Pneumatic </w:t>
      </w:r>
      <w:proofErr w:type="spellStart"/>
      <w:r w:rsidRPr="00762A2E">
        <w:t>PicoPump</w:t>
      </w:r>
      <w:proofErr w:type="spellEnd"/>
      <w:r w:rsidRPr="00762A2E">
        <w:t xml:space="preserve">, World Precision Instruments, Friedberg, Germany) at one-cell stage with 24 ng of standard morpholino (MO) or </w:t>
      </w:r>
      <w:r w:rsidRPr="00762A2E">
        <w:rPr>
          <w:i/>
        </w:rPr>
        <w:t>gata2b</w:t>
      </w:r>
      <w:r w:rsidRPr="00762A2E">
        <w:t xml:space="preserve"> splicing anti-se</w:t>
      </w:r>
      <w:r w:rsidR="00254842" w:rsidRPr="00762A2E">
        <w:t>nse MO as previously described (2</w:t>
      </w:r>
      <w:r w:rsidR="00FA4B96" w:rsidRPr="00762A2E">
        <w:t>2</w:t>
      </w:r>
      <w:r w:rsidR="00254842" w:rsidRPr="00762A2E">
        <w:t>)</w:t>
      </w:r>
      <w:r w:rsidRPr="00762A2E">
        <w:t xml:space="preserve">. Stock solutions were diluted as recommended by the manufacturer. The sequence for the </w:t>
      </w:r>
      <w:r w:rsidRPr="00762A2E">
        <w:rPr>
          <w:i/>
        </w:rPr>
        <w:t>gata2b</w:t>
      </w:r>
      <w:r w:rsidRPr="00762A2E">
        <w:t xml:space="preserve"> splicing anti-sense MO was: 5'-TTCACGTCCTATTGGCACACGATGC-3', and standard oligo: 5′-CCTCTTACCTCAGTTACAATTTATA-3′. For the rescue experiments, one-cell stage embryos were injected with MO and 50 </w:t>
      </w:r>
      <w:proofErr w:type="spellStart"/>
      <w:r w:rsidRPr="00762A2E">
        <w:t>pg</w:t>
      </w:r>
      <w:proofErr w:type="spellEnd"/>
      <w:r w:rsidRPr="00762A2E">
        <w:t xml:space="preserve"> of WT or Mut </w:t>
      </w:r>
      <w:r w:rsidRPr="00762A2E">
        <w:rPr>
          <w:i/>
        </w:rPr>
        <w:t>GATA2</w:t>
      </w:r>
      <w:r w:rsidRPr="00762A2E">
        <w:t xml:space="preserve"> mRNA, (synthesized by </w:t>
      </w:r>
      <w:r w:rsidRPr="00762A2E">
        <w:rPr>
          <w:i/>
        </w:rPr>
        <w:t>in vitro</w:t>
      </w:r>
      <w:r w:rsidRPr="00762A2E">
        <w:t xml:space="preserve"> transcription from pcDNA3-GATA2 DNA constructs using </w:t>
      </w:r>
      <w:proofErr w:type="spellStart"/>
      <w:r w:rsidRPr="00762A2E">
        <w:t>mMessage</w:t>
      </w:r>
      <w:proofErr w:type="spellEnd"/>
      <w:r w:rsidRPr="00762A2E">
        <w:t xml:space="preserve"> </w:t>
      </w:r>
      <w:proofErr w:type="spellStart"/>
      <w:r w:rsidRPr="00762A2E">
        <w:t>mMachine</w:t>
      </w:r>
      <w:proofErr w:type="spellEnd"/>
      <w:r w:rsidRPr="00762A2E">
        <w:t xml:space="preserve"> High Yield Capped RNA transcription T7 kit according to the manufacturer’s instructions, </w:t>
      </w:r>
      <w:proofErr w:type="spellStart"/>
      <w:r w:rsidRPr="00762A2E">
        <w:t>Ambion</w:t>
      </w:r>
      <w:proofErr w:type="spellEnd"/>
      <w:r w:rsidRPr="00762A2E">
        <w:t xml:space="preserve">, </w:t>
      </w:r>
      <w:proofErr w:type="spellStart"/>
      <w:r w:rsidRPr="00762A2E">
        <w:t>Oberursel</w:t>
      </w:r>
      <w:proofErr w:type="spellEnd"/>
      <w:r w:rsidRPr="00762A2E">
        <w:t xml:space="preserve">, Germany). </w:t>
      </w:r>
      <w:r w:rsidR="00CB6A58" w:rsidRPr="00762A2E">
        <w:t xml:space="preserve">Equal expression of GATA2 WT and Mut from each plasmid construct </w:t>
      </w:r>
      <w:r w:rsidR="00250BC2" w:rsidRPr="00762A2E">
        <w:t xml:space="preserve">used for mRNA generation </w:t>
      </w:r>
      <w:r w:rsidR="00CB6A58" w:rsidRPr="00762A2E">
        <w:t xml:space="preserve">was confirmed by western blot on 293T cells transiently transfected with pcDNA3-GATA2 (supplemental Figure 6B). </w:t>
      </w:r>
      <w:r w:rsidRPr="00762A2E">
        <w:t xml:space="preserve">Injected embryos were grown until 28 </w:t>
      </w:r>
      <w:proofErr w:type="spellStart"/>
      <w:r w:rsidRPr="00762A2E">
        <w:t>hpf</w:t>
      </w:r>
      <w:proofErr w:type="spellEnd"/>
      <w:r w:rsidRPr="00762A2E">
        <w:t xml:space="preserve">, </w:t>
      </w:r>
      <w:proofErr w:type="spellStart"/>
      <w:r w:rsidRPr="00762A2E">
        <w:t>dechorionated</w:t>
      </w:r>
      <w:proofErr w:type="spellEnd"/>
      <w:r w:rsidRPr="00762A2E">
        <w:t xml:space="preserve"> with </w:t>
      </w:r>
      <w:proofErr w:type="spellStart"/>
      <w:r w:rsidRPr="00762A2E">
        <w:t>pronase</w:t>
      </w:r>
      <w:proofErr w:type="spellEnd"/>
      <w:r w:rsidRPr="00762A2E">
        <w:t xml:space="preserve"> (Sigma-Aldrich) and fixed in 4% paraformaldehyde (PFA). Whole-mount in situ hybridization (WISH) was performed as previously describe</w:t>
      </w:r>
      <w:r w:rsidR="00254842" w:rsidRPr="00762A2E">
        <w:t>d (2</w:t>
      </w:r>
      <w:r w:rsidR="00FA4B96" w:rsidRPr="00762A2E">
        <w:t>3</w:t>
      </w:r>
      <w:r w:rsidR="00254842" w:rsidRPr="00762A2E">
        <w:t>)</w:t>
      </w:r>
      <w:r w:rsidRPr="00762A2E">
        <w:t xml:space="preserve"> with minor modifications.</w:t>
      </w:r>
    </w:p>
    <w:p w14:paraId="31ED6F30" w14:textId="77777777" w:rsidR="00643206" w:rsidRPr="00762A2E" w:rsidRDefault="00643206" w:rsidP="00643206">
      <w:pPr>
        <w:spacing w:after="0"/>
        <w:jc w:val="both"/>
        <w:rPr>
          <w:b/>
        </w:rPr>
      </w:pPr>
    </w:p>
    <w:p w14:paraId="7CCF5342" w14:textId="77777777" w:rsidR="00643206" w:rsidRPr="00762A2E" w:rsidRDefault="00643206" w:rsidP="00643206">
      <w:pPr>
        <w:spacing w:after="0"/>
        <w:jc w:val="both"/>
        <w:rPr>
          <w:b/>
        </w:rPr>
      </w:pPr>
      <w:r w:rsidRPr="00762A2E">
        <w:rPr>
          <w:b/>
        </w:rPr>
        <w:t xml:space="preserve">Whole-mount </w:t>
      </w:r>
      <w:r w:rsidRPr="00762A2E">
        <w:rPr>
          <w:b/>
          <w:i/>
        </w:rPr>
        <w:t>in situ</w:t>
      </w:r>
      <w:r w:rsidRPr="00762A2E">
        <w:rPr>
          <w:b/>
        </w:rPr>
        <w:t xml:space="preserve"> hybridization (WISH)</w:t>
      </w:r>
    </w:p>
    <w:p w14:paraId="06475B92" w14:textId="151736C1" w:rsidR="00B26004" w:rsidRPr="00762A2E" w:rsidRDefault="00643206" w:rsidP="00250BC2">
      <w:pPr>
        <w:spacing w:after="0"/>
        <w:jc w:val="both"/>
      </w:pPr>
      <w:r w:rsidRPr="00762A2E">
        <w:rPr>
          <w:rFonts w:eastAsia="Times New Roman" w:cs="Times New Roman"/>
        </w:rPr>
        <w:t>The</w:t>
      </w:r>
      <w:r w:rsidRPr="00762A2E">
        <w:rPr>
          <w:rFonts w:eastAsia="Times New Roman" w:cs="Times New Roman"/>
          <w:i/>
        </w:rPr>
        <w:t xml:space="preserve"> c-</w:t>
      </w:r>
      <w:proofErr w:type="spellStart"/>
      <w:r w:rsidRPr="00762A2E">
        <w:rPr>
          <w:rFonts w:eastAsia="Times New Roman" w:cs="Times New Roman"/>
          <w:i/>
        </w:rPr>
        <w:t>myb</w:t>
      </w:r>
      <w:proofErr w:type="spellEnd"/>
      <w:r w:rsidRPr="00762A2E">
        <w:rPr>
          <w:rFonts w:eastAsia="Times New Roman" w:cs="Times New Roman"/>
          <w:i/>
        </w:rPr>
        <w:t xml:space="preserve"> </w:t>
      </w:r>
      <w:r w:rsidRPr="00762A2E">
        <w:rPr>
          <w:rFonts w:eastAsia="Times New Roman" w:cs="Times New Roman"/>
        </w:rPr>
        <w:t xml:space="preserve">probe was used </w:t>
      </w:r>
      <w:r w:rsidR="00254842" w:rsidRPr="00762A2E">
        <w:rPr>
          <w:rFonts w:eastAsia="Times New Roman" w:cs="Times New Roman"/>
        </w:rPr>
        <w:t>(2</w:t>
      </w:r>
      <w:r w:rsidR="00FA4B96" w:rsidRPr="00762A2E">
        <w:rPr>
          <w:rFonts w:eastAsia="Times New Roman" w:cs="Times New Roman"/>
        </w:rPr>
        <w:t>4</w:t>
      </w:r>
      <w:r w:rsidR="00254842" w:rsidRPr="00762A2E">
        <w:rPr>
          <w:rFonts w:eastAsia="Times New Roman" w:cs="Times New Roman"/>
        </w:rPr>
        <w:t>).</w:t>
      </w:r>
      <w:r w:rsidRPr="00762A2E">
        <w:rPr>
          <w:rFonts w:eastAsia="Times New Roman" w:cs="Times New Roman"/>
        </w:rPr>
        <w:t xml:space="preserve"> Digoxigenin-labeled RNA probe was synthesized by </w:t>
      </w:r>
      <w:r w:rsidRPr="00762A2E">
        <w:rPr>
          <w:rFonts w:eastAsia="Times New Roman" w:cs="Times New Roman"/>
          <w:i/>
        </w:rPr>
        <w:t>in vitro</w:t>
      </w:r>
      <w:r w:rsidRPr="00762A2E">
        <w:rPr>
          <w:rFonts w:eastAsia="Times New Roman" w:cs="Times New Roman"/>
        </w:rPr>
        <w:t xml:space="preserve"> transcription with T7 RNA polymerase (Thermo Fisher Scientific). The embryos were treated with 1-Phenyl-2-Thiourea (PTU) solution to prevent melanin synthesis. Subsequently, they were dechorionated and fixed in 4% PFA overnight (4</w:t>
      </w:r>
      <w:r w:rsidRPr="00762A2E">
        <w:rPr>
          <w:rFonts w:eastAsia="Times New Roman" w:cs="Times New Roman"/>
          <w:vertAlign w:val="superscript"/>
        </w:rPr>
        <w:t>o</w:t>
      </w:r>
      <w:r w:rsidRPr="00762A2E">
        <w:rPr>
          <w:rFonts w:eastAsia="Times New Roman" w:cs="Times New Roman"/>
        </w:rPr>
        <w:t>C). After fixation, the embryos were washed and dehydrated in 100% methanol at 4</w:t>
      </w:r>
      <w:r w:rsidRPr="00762A2E">
        <w:rPr>
          <w:rFonts w:eastAsia="Times New Roman" w:cs="Times New Roman"/>
          <w:vertAlign w:val="superscript"/>
        </w:rPr>
        <w:t>o</w:t>
      </w:r>
      <w:r w:rsidRPr="00762A2E">
        <w:rPr>
          <w:rFonts w:eastAsia="Times New Roman" w:cs="Times New Roman"/>
        </w:rPr>
        <w:t xml:space="preserve">C overnight. Next, they were rehydrated, permeabilized with proteinase K and re-fixed in 4% PFA for 20 min at room temperature (RT). Washing in PBS-T and incubation in hybridization buffer (50% formamide, 5xSSC, 0.1% Tween20, ddH2O) at 70°C for 30 min was performed. Hybridization solution containing 1 ng/µL of the </w:t>
      </w:r>
      <w:r w:rsidRPr="00762A2E">
        <w:rPr>
          <w:rFonts w:eastAsia="Times New Roman" w:cs="Times New Roman"/>
          <w:i/>
        </w:rPr>
        <w:t>c-</w:t>
      </w:r>
      <w:proofErr w:type="spellStart"/>
      <w:r w:rsidRPr="00762A2E">
        <w:rPr>
          <w:rFonts w:eastAsia="Times New Roman" w:cs="Times New Roman"/>
          <w:i/>
        </w:rPr>
        <w:t>myb</w:t>
      </w:r>
      <w:proofErr w:type="spellEnd"/>
      <w:r w:rsidRPr="00762A2E">
        <w:rPr>
          <w:rFonts w:eastAsia="Times New Roman" w:cs="Times New Roman"/>
          <w:i/>
        </w:rPr>
        <w:t xml:space="preserve"> </w:t>
      </w:r>
      <w:r w:rsidRPr="00762A2E">
        <w:rPr>
          <w:rFonts w:eastAsia="Times New Roman" w:cs="Times New Roman"/>
        </w:rPr>
        <w:t>RNA probe was then added and the embryos were incubated at 70°C overnight. After serial washes, blocking solution (PBS-T, 2% sheep serum, 2 mg/mL BSA) was added for 30 min at RT. Then, the embryos were treated overnight at 4</w:t>
      </w:r>
      <w:r w:rsidRPr="00762A2E">
        <w:rPr>
          <w:rFonts w:eastAsia="Times New Roman" w:cs="Times New Roman"/>
          <w:vertAlign w:val="superscript"/>
        </w:rPr>
        <w:t>o</w:t>
      </w:r>
      <w:r w:rsidRPr="00762A2E">
        <w:rPr>
          <w:rFonts w:eastAsia="Times New Roman" w:cs="Times New Roman"/>
        </w:rPr>
        <w:t>C in blocking solution containing 0.15 U/µL anti-digoxigenin antibody (Roche). Finally, they were washed and incubated in staining solution at RT (for 10 mL of staining buffer: 35 µL 50 mg/mL BCIP, 45 µl 50 mg/mL NBT) until stained. All WISH experiments were performed on at least three separate occasions. Embryos were imaged in 100% glycerol, using a Leica stereomicroscope. Qualitative scoring (number of embryos with altered HSCs per number scored) of WISH staining was conducted manually by visual observation, blindly</w:t>
      </w:r>
      <w:r w:rsidR="00017822" w:rsidRPr="00762A2E">
        <w:rPr>
          <w:rFonts w:eastAsia="Times New Roman" w:cs="Times New Roman"/>
        </w:rPr>
        <w:t xml:space="preserve">, </w:t>
      </w:r>
      <w:r w:rsidR="00017822" w:rsidRPr="00762A2E">
        <w:rPr>
          <w:rFonts w:eastAsia="Times New Roman" w:cs="Times New Roman"/>
          <w:color w:val="000000" w:themeColor="text1"/>
        </w:rPr>
        <w:t>independently by two people</w:t>
      </w:r>
      <w:r w:rsidRPr="00762A2E">
        <w:rPr>
          <w:rFonts w:eastAsia="Times New Roman" w:cs="Times New Roman"/>
          <w:color w:val="000000" w:themeColor="text1"/>
        </w:rPr>
        <w:t xml:space="preserve">. </w:t>
      </w:r>
      <w:r w:rsidRPr="00762A2E">
        <w:t>The numbers on each picture in Figure 5A and B represent the number of embryos that exhibit presented phenotype relative to the total number of imaged embryos.</w:t>
      </w:r>
      <w:r w:rsidR="00250BC2" w:rsidRPr="00762A2E">
        <w:t xml:space="preserve"> Low, medium and high phenotype of morphants was distinguished based on the amount of HSPCs in comparison to the non-injected and standard control MO-injected embryos: High: stronger staining to the one of non-Injected and standard control MO-injected embryos; indicates enhanced number of HSPCs; Medium: staining equivalent or approximately equivalent to the staining of non-Injected and standard control MO-injected embryos; indicates normal/ rescued phenotype; Low: weaker staining compared to the staining of non-injected and standard control MO-injected embryos; indicates deficiency of HSPCs.</w:t>
      </w:r>
    </w:p>
    <w:p w14:paraId="4D39B599" w14:textId="7C15B73C" w:rsidR="00705539" w:rsidRPr="00762A2E" w:rsidRDefault="00705539" w:rsidP="00705539">
      <w:pPr>
        <w:spacing w:after="0"/>
        <w:rPr>
          <w:b/>
        </w:rPr>
      </w:pPr>
    </w:p>
    <w:p w14:paraId="0E01B850" w14:textId="6368DD04" w:rsidR="00741330" w:rsidRPr="00762A2E" w:rsidRDefault="00741330" w:rsidP="00741330">
      <w:pPr>
        <w:rPr>
          <w:b/>
          <w:color w:val="FF0000"/>
        </w:rPr>
        <w:sectPr w:rsidR="00741330" w:rsidRPr="00762A2E" w:rsidSect="00F747D6">
          <w:headerReference w:type="default" r:id="rId9"/>
          <w:footerReference w:type="default" r:id="rId10"/>
          <w:pgSz w:w="12240" w:h="15840"/>
          <w:pgMar w:top="1418" w:right="1134" w:bottom="1134" w:left="1134" w:header="720" w:footer="720" w:gutter="0"/>
          <w:lnNumType w:countBy="1" w:restart="continuous"/>
          <w:cols w:space="720"/>
          <w:docGrid w:linePitch="360"/>
        </w:sectPr>
      </w:pPr>
    </w:p>
    <w:p w14:paraId="7A909846" w14:textId="29EE9D16" w:rsidR="005A7B50" w:rsidRPr="00762A2E" w:rsidRDefault="005A7B50" w:rsidP="005A7B50">
      <w:pPr>
        <w:rPr>
          <w:b/>
        </w:rPr>
      </w:pPr>
      <w:r w:rsidRPr="00762A2E">
        <w:rPr>
          <w:b/>
        </w:rPr>
        <w:lastRenderedPageBreak/>
        <w:t>SUPPLEMENTAL FIGURES AND TABLES</w:t>
      </w:r>
    </w:p>
    <w:p w14:paraId="420D0EE9" w14:textId="0A01EA26" w:rsidR="00B371F2" w:rsidRPr="00762A2E" w:rsidRDefault="00B371F2" w:rsidP="005A7B50">
      <w:pPr>
        <w:rPr>
          <w:b/>
        </w:rPr>
      </w:pPr>
    </w:p>
    <w:p w14:paraId="46739FB5" w14:textId="512B0450" w:rsidR="005B4481" w:rsidRPr="00762A2E" w:rsidRDefault="00B371F2">
      <w:pPr>
        <w:rPr>
          <w:b/>
        </w:rPr>
      </w:pPr>
      <w:r w:rsidRPr="00762A2E">
        <w:rPr>
          <w:noProof/>
        </w:rPr>
        <w:drawing>
          <wp:inline distT="0" distB="0" distL="0" distR="0" wp14:anchorId="4D887274" wp14:editId="069BAFE0">
            <wp:extent cx="5980430" cy="1957070"/>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80430" cy="1957070"/>
                    </a:xfrm>
                    <a:prstGeom prst="rect">
                      <a:avLst/>
                    </a:prstGeom>
                    <a:noFill/>
                  </pic:spPr>
                </pic:pic>
              </a:graphicData>
            </a:graphic>
          </wp:inline>
        </w:drawing>
      </w:r>
    </w:p>
    <w:p w14:paraId="32B1EF19" w14:textId="61F219C9" w:rsidR="00B371F2" w:rsidRPr="00762A2E" w:rsidRDefault="00B371F2" w:rsidP="00B371F2">
      <w:pPr>
        <w:spacing w:line="240" w:lineRule="auto"/>
        <w:jc w:val="both"/>
        <w:rPr>
          <w:b/>
        </w:rPr>
      </w:pPr>
      <w:r w:rsidRPr="00762A2E">
        <w:rPr>
          <w:b/>
        </w:rPr>
        <w:t>Supplemental Figure 1 (linked to Figure 2 and Supplemental Table 2). Strategy of cDNA PCR amplification for Sanger and deep sequencing (if applied)</w:t>
      </w:r>
      <w:r w:rsidRPr="00762A2E">
        <w:t xml:space="preserve">. Red dashed lines: location of synonymous </w:t>
      </w:r>
      <w:r w:rsidRPr="00762A2E">
        <w:rPr>
          <w:i/>
        </w:rPr>
        <w:t>GATA2</w:t>
      </w:r>
      <w:r w:rsidRPr="00762A2E">
        <w:t xml:space="preserve"> mutations; green dashed lines: location of a common </w:t>
      </w:r>
      <w:r w:rsidRPr="00762A2E">
        <w:rPr>
          <w:i/>
        </w:rPr>
        <w:t>GATA2</w:t>
      </w:r>
      <w:r w:rsidRPr="00762A2E">
        <w:t xml:space="preserve"> non-synonymous polymorphisms; arrows indicate the position of the primers (not scaled).</w:t>
      </w:r>
    </w:p>
    <w:p w14:paraId="203C9C56" w14:textId="7EE343F6" w:rsidR="00977E65" w:rsidRPr="00762A2E" w:rsidRDefault="00977E65">
      <w:pPr>
        <w:rPr>
          <w:b/>
        </w:rPr>
      </w:pPr>
    </w:p>
    <w:p w14:paraId="3285F501" w14:textId="5814E733" w:rsidR="00977E65" w:rsidRPr="00762A2E" w:rsidRDefault="00977E65">
      <w:pPr>
        <w:rPr>
          <w:b/>
        </w:rPr>
      </w:pPr>
    </w:p>
    <w:p w14:paraId="4B2E274D" w14:textId="7A5162A7" w:rsidR="00D77561" w:rsidRPr="00762A2E" w:rsidRDefault="00B371F2" w:rsidP="005A7B50">
      <w:pPr>
        <w:rPr>
          <w:b/>
        </w:rPr>
      </w:pPr>
      <w:r w:rsidRPr="00762A2E">
        <w:rPr>
          <w:b/>
          <w:noProof/>
        </w:rPr>
        <w:lastRenderedPageBreak/>
        <w:drawing>
          <wp:anchor distT="0" distB="0" distL="114300" distR="114300" simplePos="0" relativeHeight="251659264" behindDoc="0" locked="0" layoutInCell="1" allowOverlap="1" wp14:anchorId="1F428899" wp14:editId="567F06A9">
            <wp:simplePos x="0" y="0"/>
            <wp:positionH relativeFrom="column">
              <wp:posOffset>0</wp:posOffset>
            </wp:positionH>
            <wp:positionV relativeFrom="paragraph">
              <wp:posOffset>320040</wp:posOffset>
            </wp:positionV>
            <wp:extent cx="8919210" cy="3310255"/>
            <wp:effectExtent l="0" t="0" r="0" b="4445"/>
            <wp:wrapSquare wrapText="bothSides"/>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919210" cy="3310255"/>
                    </a:xfrm>
                    <a:prstGeom prst="rect">
                      <a:avLst/>
                    </a:prstGeom>
                    <a:noFill/>
                  </pic:spPr>
                </pic:pic>
              </a:graphicData>
            </a:graphic>
            <wp14:sizeRelH relativeFrom="page">
              <wp14:pctWidth>0</wp14:pctWidth>
            </wp14:sizeRelH>
            <wp14:sizeRelV relativeFrom="page">
              <wp14:pctHeight>0</wp14:pctHeight>
            </wp14:sizeRelV>
          </wp:anchor>
        </w:drawing>
      </w:r>
    </w:p>
    <w:p w14:paraId="505757EA" w14:textId="204F8A82" w:rsidR="00BE3119" w:rsidRPr="00762A2E" w:rsidRDefault="00BE3119" w:rsidP="005A7B50"/>
    <w:p w14:paraId="4925123E" w14:textId="49EB3BC3" w:rsidR="008A79EB" w:rsidRPr="00762A2E" w:rsidRDefault="00B371F2" w:rsidP="00E134FC">
      <w:pPr>
        <w:jc w:val="both"/>
      </w:pPr>
      <w:r w:rsidRPr="00762A2E">
        <w:rPr>
          <w:rFonts w:ascii="Calibri" w:eastAsia="+mn-ea" w:hAnsi="Calibri" w:cs="+mn-cs"/>
          <w:b/>
          <w:bCs/>
          <w:color w:val="000000"/>
          <w:kern w:val="24"/>
        </w:rPr>
        <w:t xml:space="preserve">Supplemental Figure 2 (linked to Figure 1). Splicing prediction for the </w:t>
      </w:r>
      <w:r w:rsidRPr="00762A2E">
        <w:rPr>
          <w:rFonts w:ascii="Calibri" w:eastAsia="+mn-ea" w:hAnsi="Calibri" w:cs="+mn-cs"/>
          <w:b/>
          <w:bCs/>
          <w:i/>
          <w:iCs/>
          <w:color w:val="000000"/>
          <w:kern w:val="24"/>
        </w:rPr>
        <w:t>GATA2</w:t>
      </w:r>
      <w:r w:rsidRPr="00762A2E">
        <w:rPr>
          <w:rFonts w:ascii="Calibri" w:eastAsia="+mn-ea" w:hAnsi="Calibri" w:cs="+mn-cs"/>
          <w:b/>
          <w:bCs/>
          <w:color w:val="000000"/>
          <w:kern w:val="24"/>
        </w:rPr>
        <w:t xml:space="preserve"> synonymous mutations from Alamut Visual software. </w:t>
      </w:r>
      <w:r w:rsidRPr="00762A2E">
        <w:rPr>
          <w:rFonts w:ascii="Calibri" w:eastAsia="+mn-ea" w:hAnsi="Calibri" w:cs="+mn-cs"/>
          <w:color w:val="000000"/>
          <w:kern w:val="24"/>
        </w:rPr>
        <w:t>Multiple algorithms listed on the left side of the figure score the probability of each nucleotide to act as a splicing donor (5’) or acceptor (3’). Comparison between reference (top) and mutated (bottom) sequence is shown. As depicted, C&gt;G substitution increases the chance of a splicing donor activation in a position c.351. No significant changes are caused by other variants.</w:t>
      </w:r>
      <w:bookmarkStart w:id="0" w:name="_GoBack"/>
      <w:bookmarkEnd w:id="0"/>
    </w:p>
    <w:p w14:paraId="2E39A8F8" w14:textId="0B705E78" w:rsidR="00D77561" w:rsidRPr="00762A2E" w:rsidRDefault="00D77561" w:rsidP="004B12B1">
      <w:pPr>
        <w:spacing w:line="240" w:lineRule="auto"/>
        <w:jc w:val="both"/>
      </w:pPr>
    </w:p>
    <w:p w14:paraId="751400C4" w14:textId="70E4D1B2" w:rsidR="004B12B1" w:rsidRPr="00762A2E" w:rsidRDefault="004B12B1" w:rsidP="004B12B1">
      <w:pPr>
        <w:spacing w:line="240" w:lineRule="auto"/>
        <w:jc w:val="both"/>
      </w:pPr>
    </w:p>
    <w:p w14:paraId="1B6E54C5" w14:textId="77777777" w:rsidR="004B12B1" w:rsidRPr="00762A2E" w:rsidRDefault="004B12B1" w:rsidP="0054444A">
      <w:pPr>
        <w:spacing w:line="240" w:lineRule="auto"/>
        <w:jc w:val="both"/>
      </w:pPr>
    </w:p>
    <w:p w14:paraId="59A4BA89" w14:textId="77777777" w:rsidR="00ED775E" w:rsidRPr="00762A2E" w:rsidRDefault="00ED775E">
      <w:pPr>
        <w:rPr>
          <w:rFonts w:ascii="Calibri" w:hAnsi="Calibri"/>
        </w:rPr>
        <w:sectPr w:rsidR="00ED775E" w:rsidRPr="00762A2E" w:rsidSect="00AD58DA">
          <w:pgSz w:w="15840" w:h="12240" w:orient="landscape"/>
          <w:pgMar w:top="1134" w:right="1418" w:bottom="1134" w:left="1134" w:header="720" w:footer="720" w:gutter="0"/>
          <w:cols w:space="720"/>
          <w:docGrid w:linePitch="360"/>
        </w:sectPr>
      </w:pPr>
    </w:p>
    <w:p w14:paraId="6A9210BA" w14:textId="377859B0" w:rsidR="005A3E81" w:rsidRPr="00762A2E" w:rsidRDefault="003050DD" w:rsidP="00ED775E">
      <w:pPr>
        <w:jc w:val="both"/>
        <w:rPr>
          <w:rFonts w:ascii="Calibri" w:hAnsi="Calibri"/>
          <w:b/>
          <w:bCs/>
        </w:rPr>
      </w:pPr>
      <w:r w:rsidRPr="00762A2E">
        <w:rPr>
          <w:rFonts w:ascii="Calibri" w:hAnsi="Calibri"/>
          <w:b/>
          <w:bCs/>
          <w:noProof/>
        </w:rPr>
        <w:lastRenderedPageBreak/>
        <w:drawing>
          <wp:inline distT="0" distB="0" distL="0" distR="0" wp14:anchorId="064E1AD6" wp14:editId="4AB47E3E">
            <wp:extent cx="7538484" cy="5361741"/>
            <wp:effectExtent l="0" t="0" r="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537238" cy="5360855"/>
                    </a:xfrm>
                    <a:prstGeom prst="rect">
                      <a:avLst/>
                    </a:prstGeom>
                    <a:noFill/>
                  </pic:spPr>
                </pic:pic>
              </a:graphicData>
            </a:graphic>
          </wp:inline>
        </w:drawing>
      </w:r>
    </w:p>
    <w:p w14:paraId="1F95049F" w14:textId="06F12648" w:rsidR="00ED775E" w:rsidRPr="00762A2E" w:rsidRDefault="00506007" w:rsidP="00ED775E">
      <w:pPr>
        <w:jc w:val="both"/>
        <w:rPr>
          <w:rFonts w:ascii="Calibri" w:eastAsia="+mn-ea" w:hAnsi="Calibri" w:cs="+mn-cs"/>
          <w:color w:val="000000"/>
          <w:kern w:val="24"/>
          <w:lang w:eastAsia="de-DE"/>
        </w:rPr>
      </w:pPr>
      <w:r w:rsidRPr="00762A2E">
        <w:rPr>
          <w:rFonts w:ascii="Calibri" w:hAnsi="Calibri"/>
          <w:b/>
          <w:bCs/>
        </w:rPr>
        <w:t xml:space="preserve">Supplemental Figure </w:t>
      </w:r>
      <w:r w:rsidR="002025F1" w:rsidRPr="00762A2E">
        <w:rPr>
          <w:rFonts w:ascii="Calibri" w:hAnsi="Calibri"/>
          <w:b/>
          <w:bCs/>
        </w:rPr>
        <w:t>3</w:t>
      </w:r>
      <w:r w:rsidRPr="00762A2E">
        <w:rPr>
          <w:rFonts w:ascii="Calibri" w:hAnsi="Calibri"/>
          <w:b/>
          <w:bCs/>
        </w:rPr>
        <w:t xml:space="preserve"> (linked to Figure 3). </w:t>
      </w:r>
      <w:r w:rsidR="000C156E" w:rsidRPr="00762A2E">
        <w:rPr>
          <w:rFonts w:ascii="Calibri" w:eastAsia="+mn-ea" w:hAnsi="Calibri" w:cs="+mn-cs"/>
          <w:b/>
          <w:bCs/>
          <w:color w:val="000000"/>
          <w:kern w:val="24"/>
          <w:lang w:eastAsia="de-DE"/>
        </w:rPr>
        <w:t>Splicing analysis of transcripts obtained from RNA sequencing.</w:t>
      </w:r>
      <w:r w:rsidR="000C156E" w:rsidRPr="00762A2E">
        <w:rPr>
          <w:rFonts w:ascii="Calibri" w:eastAsia="+mn-ea" w:hAnsi="Calibri" w:cs="+mn-cs"/>
          <w:color w:val="000000"/>
          <w:kern w:val="24"/>
          <w:lang w:eastAsia="de-DE"/>
        </w:rPr>
        <w:t xml:space="preserve"> Sashimi plots visualizing splice junctions along genomic coordinates of </w:t>
      </w:r>
      <w:r w:rsidR="000C156E" w:rsidRPr="00762A2E">
        <w:rPr>
          <w:rFonts w:ascii="Calibri" w:eastAsia="+mn-ea" w:hAnsi="Calibri" w:cs="+mn-cs"/>
          <w:i/>
          <w:iCs/>
          <w:color w:val="000000"/>
          <w:kern w:val="24"/>
          <w:lang w:eastAsia="de-DE"/>
        </w:rPr>
        <w:t>GATA2</w:t>
      </w:r>
      <w:r w:rsidR="000C156E" w:rsidRPr="00762A2E">
        <w:rPr>
          <w:rFonts w:ascii="Calibri" w:eastAsia="+mn-ea" w:hAnsi="Calibri" w:cs="+mn-cs"/>
          <w:color w:val="000000"/>
          <w:kern w:val="24"/>
          <w:lang w:eastAsia="de-DE"/>
        </w:rPr>
        <w:t xml:space="preserve"> gene (located on the reverse strand with ENST00000341105 as a canonical transcript</w:t>
      </w:r>
      <w:r w:rsidR="00241F46" w:rsidRPr="00762A2E">
        <w:rPr>
          <w:rFonts w:ascii="Calibri" w:eastAsia="+mn-ea" w:hAnsi="Calibri" w:cs="+mn-cs"/>
          <w:color w:val="000000"/>
          <w:kern w:val="24"/>
          <w:lang w:eastAsia="de-DE"/>
        </w:rPr>
        <w:t xml:space="preserve">, </w:t>
      </w:r>
      <w:proofErr w:type="spellStart"/>
      <w:r w:rsidR="00241F46" w:rsidRPr="00762A2E">
        <w:rPr>
          <w:rFonts w:ascii="Calibri" w:eastAsia="+mn-ea" w:hAnsi="Calibri" w:cs="+mn-cs"/>
          <w:color w:val="000000"/>
          <w:kern w:val="24"/>
          <w:lang w:eastAsia="de-DE"/>
        </w:rPr>
        <w:t>Ref</w:t>
      </w:r>
      <w:r w:rsidR="00977E65" w:rsidRPr="00762A2E">
        <w:rPr>
          <w:rFonts w:ascii="Calibri" w:eastAsia="+mn-ea" w:hAnsi="Calibri" w:cs="+mn-cs"/>
          <w:color w:val="000000"/>
          <w:kern w:val="24"/>
          <w:lang w:eastAsia="de-DE"/>
        </w:rPr>
        <w:t>s</w:t>
      </w:r>
      <w:r w:rsidR="00241F46" w:rsidRPr="00762A2E">
        <w:rPr>
          <w:rFonts w:ascii="Calibri" w:eastAsia="+mn-ea" w:hAnsi="Calibri" w:cs="+mn-cs"/>
          <w:color w:val="000000"/>
          <w:kern w:val="24"/>
          <w:lang w:eastAsia="de-DE"/>
        </w:rPr>
        <w:t>eq</w:t>
      </w:r>
      <w:proofErr w:type="spellEnd"/>
      <w:r w:rsidR="00241F46" w:rsidRPr="00762A2E">
        <w:rPr>
          <w:rFonts w:ascii="Calibri" w:eastAsia="+mn-ea" w:hAnsi="Calibri" w:cs="+mn-cs"/>
          <w:color w:val="000000"/>
          <w:kern w:val="24"/>
          <w:lang w:eastAsia="de-DE"/>
        </w:rPr>
        <w:t>:</w:t>
      </w:r>
      <w:r w:rsidR="00241F46" w:rsidRPr="00762A2E">
        <w:t xml:space="preserve"> </w:t>
      </w:r>
      <w:r w:rsidR="00241F46" w:rsidRPr="00762A2E">
        <w:rPr>
          <w:rFonts w:ascii="Calibri" w:eastAsia="+mn-ea" w:hAnsi="Calibri" w:cs="+mn-cs"/>
          <w:color w:val="000000"/>
          <w:kern w:val="24"/>
          <w:lang w:eastAsia="de-DE"/>
        </w:rPr>
        <w:t>NM_032638.4</w:t>
      </w:r>
      <w:r w:rsidR="000C156E" w:rsidRPr="00762A2E">
        <w:rPr>
          <w:rFonts w:ascii="Calibri" w:eastAsia="+mn-ea" w:hAnsi="Calibri" w:cs="+mn-cs"/>
          <w:color w:val="000000"/>
          <w:kern w:val="24"/>
          <w:lang w:eastAsia="de-DE"/>
        </w:rPr>
        <w:t>). Black arrows specify the position of synonymous mutations. Yellow star indicates the alternative splicing junction</w:t>
      </w:r>
      <w:r w:rsidR="007B6401" w:rsidRPr="00762A2E">
        <w:rPr>
          <w:rFonts w:ascii="Calibri" w:eastAsia="+mn-ea" w:hAnsi="Calibri" w:cs="+mn-cs"/>
          <w:color w:val="000000"/>
          <w:kern w:val="24"/>
          <w:lang w:eastAsia="de-DE"/>
        </w:rPr>
        <w:t>s</w:t>
      </w:r>
      <w:r w:rsidR="000C156E" w:rsidRPr="00762A2E">
        <w:rPr>
          <w:rFonts w:ascii="Calibri" w:eastAsia="+mn-ea" w:hAnsi="Calibri" w:cs="+mn-cs"/>
          <w:color w:val="000000"/>
          <w:kern w:val="24"/>
          <w:lang w:eastAsia="de-DE"/>
        </w:rPr>
        <w:t xml:space="preserve"> in P1</w:t>
      </w:r>
      <w:r w:rsidR="007B6401" w:rsidRPr="00762A2E">
        <w:rPr>
          <w:rFonts w:ascii="Calibri" w:eastAsia="+mn-ea" w:hAnsi="Calibri" w:cs="+mn-cs"/>
          <w:color w:val="000000"/>
          <w:kern w:val="24"/>
          <w:lang w:eastAsia="de-DE"/>
        </w:rPr>
        <w:t xml:space="preserve"> (39 and 47 reads)</w:t>
      </w:r>
      <w:r w:rsidR="000C156E" w:rsidRPr="00762A2E">
        <w:rPr>
          <w:rFonts w:ascii="Calibri" w:eastAsia="+mn-ea" w:hAnsi="Calibri" w:cs="+mn-cs"/>
          <w:color w:val="000000"/>
          <w:kern w:val="24"/>
          <w:lang w:eastAsia="de-DE"/>
        </w:rPr>
        <w:t>.</w:t>
      </w:r>
    </w:p>
    <w:p w14:paraId="2BC0E491" w14:textId="6EA48A9A" w:rsidR="00373E9F" w:rsidRPr="00762A2E" w:rsidRDefault="008F437C" w:rsidP="00373E9F">
      <w:pPr>
        <w:rPr>
          <w:rFonts w:ascii="Calibri" w:hAnsi="Calibri"/>
          <w:lang w:eastAsia="de-DE"/>
        </w:rPr>
      </w:pPr>
      <w:r w:rsidRPr="00762A2E">
        <w:rPr>
          <w:rFonts w:ascii="Calibri" w:hAnsi="Calibri"/>
          <w:noProof/>
        </w:rPr>
        <w:lastRenderedPageBreak/>
        <w:drawing>
          <wp:inline distT="0" distB="0" distL="0" distR="0" wp14:anchorId="53FB8E70" wp14:editId="36121460">
            <wp:extent cx="8462010" cy="5273675"/>
            <wp:effectExtent l="0" t="0" r="0" b="317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462010" cy="5273675"/>
                    </a:xfrm>
                    <a:prstGeom prst="rect">
                      <a:avLst/>
                    </a:prstGeom>
                    <a:noFill/>
                  </pic:spPr>
                </pic:pic>
              </a:graphicData>
            </a:graphic>
          </wp:inline>
        </w:drawing>
      </w:r>
    </w:p>
    <w:p w14:paraId="47C9680D" w14:textId="2F886BAF" w:rsidR="005E7138" w:rsidRPr="00762A2E" w:rsidRDefault="005E7138" w:rsidP="00AF32CA">
      <w:pPr>
        <w:jc w:val="both"/>
        <w:rPr>
          <w:rFonts w:ascii="Calibri" w:hAnsi="Calibri"/>
          <w:lang w:eastAsia="de-DE"/>
        </w:rPr>
      </w:pPr>
      <w:r w:rsidRPr="00762A2E">
        <w:rPr>
          <w:rFonts w:ascii="Calibri" w:hAnsi="Calibri"/>
          <w:b/>
          <w:bCs/>
          <w:lang w:eastAsia="de-DE"/>
        </w:rPr>
        <w:t xml:space="preserve">Supplemental Figure </w:t>
      </w:r>
      <w:r w:rsidR="002025F1" w:rsidRPr="00762A2E">
        <w:rPr>
          <w:rFonts w:ascii="Calibri" w:hAnsi="Calibri"/>
          <w:b/>
          <w:bCs/>
          <w:lang w:eastAsia="de-DE"/>
        </w:rPr>
        <w:t>4</w:t>
      </w:r>
      <w:r w:rsidR="00373E9F" w:rsidRPr="00762A2E">
        <w:rPr>
          <w:rFonts w:ascii="Calibri" w:hAnsi="Calibri"/>
          <w:b/>
          <w:bCs/>
          <w:lang w:eastAsia="de-DE"/>
        </w:rPr>
        <w:t>.</w:t>
      </w:r>
      <w:r w:rsidRPr="00762A2E">
        <w:rPr>
          <w:rFonts w:ascii="Calibri" w:hAnsi="Calibri"/>
          <w:b/>
          <w:bCs/>
          <w:lang w:eastAsia="de-DE"/>
        </w:rPr>
        <w:t xml:space="preserve"> Secondary structure and thermodynamic characteristics of </w:t>
      </w:r>
      <w:r w:rsidRPr="00762A2E">
        <w:rPr>
          <w:rFonts w:ascii="Calibri" w:hAnsi="Calibri"/>
          <w:b/>
          <w:bCs/>
          <w:i/>
          <w:iCs/>
          <w:lang w:eastAsia="de-DE"/>
        </w:rPr>
        <w:t>GATA2</w:t>
      </w:r>
      <w:r w:rsidRPr="00762A2E">
        <w:rPr>
          <w:rFonts w:ascii="Calibri" w:hAnsi="Calibri"/>
          <w:b/>
          <w:bCs/>
          <w:lang w:eastAsia="de-DE"/>
        </w:rPr>
        <w:t xml:space="preserve"> mRNA. </w:t>
      </w:r>
      <w:r w:rsidRPr="00762A2E">
        <w:rPr>
          <w:rFonts w:ascii="Calibri" w:hAnsi="Calibri"/>
          <w:bCs/>
          <w:lang w:eastAsia="de-DE"/>
        </w:rPr>
        <w:t>(A)</w:t>
      </w:r>
      <w:r w:rsidR="00373E9F" w:rsidRPr="00762A2E">
        <w:rPr>
          <w:rFonts w:ascii="Calibri" w:hAnsi="Calibri"/>
          <w:b/>
          <w:bCs/>
          <w:lang w:eastAsia="de-DE"/>
        </w:rPr>
        <w:t xml:space="preserve"> </w:t>
      </w:r>
      <w:r w:rsidR="00584706" w:rsidRPr="00762A2E">
        <w:rPr>
          <w:rFonts w:ascii="Calibri" w:hAnsi="Calibri"/>
          <w:lang w:eastAsia="de-DE"/>
        </w:rPr>
        <w:t xml:space="preserve">Structure of GATA2 wild </w:t>
      </w:r>
      <w:r w:rsidRPr="00762A2E">
        <w:rPr>
          <w:rFonts w:ascii="Calibri" w:hAnsi="Calibri"/>
          <w:lang w:eastAsia="de-DE"/>
        </w:rPr>
        <w:t>WT</w:t>
      </w:r>
      <w:r w:rsidR="00584706" w:rsidRPr="00762A2E">
        <w:rPr>
          <w:rFonts w:ascii="Calibri" w:hAnsi="Calibri"/>
          <w:lang w:eastAsia="de-DE"/>
        </w:rPr>
        <w:t xml:space="preserve"> and</w:t>
      </w:r>
      <w:r w:rsidRPr="00762A2E">
        <w:rPr>
          <w:rFonts w:ascii="Calibri" w:hAnsi="Calibri"/>
          <w:lang w:eastAsia="de-DE"/>
        </w:rPr>
        <w:t xml:space="preserve"> Mut mRNA predicted using </w:t>
      </w:r>
      <w:proofErr w:type="spellStart"/>
      <w:r w:rsidRPr="00762A2E">
        <w:rPr>
          <w:rFonts w:ascii="Calibri" w:hAnsi="Calibri"/>
          <w:lang w:eastAsia="de-DE"/>
        </w:rPr>
        <w:t>Mfold</w:t>
      </w:r>
      <w:proofErr w:type="spellEnd"/>
      <w:r w:rsidRPr="00762A2E">
        <w:rPr>
          <w:rFonts w:ascii="Calibri" w:hAnsi="Calibri"/>
          <w:lang w:eastAsia="de-DE"/>
        </w:rPr>
        <w:t xml:space="preserve"> tool. (B) Comparison of Delta G (ΔG) values between </w:t>
      </w:r>
      <w:r w:rsidRPr="00762A2E">
        <w:rPr>
          <w:rFonts w:ascii="Calibri" w:hAnsi="Calibri"/>
          <w:i/>
          <w:iCs/>
          <w:lang w:eastAsia="de-DE"/>
        </w:rPr>
        <w:t>GATA2</w:t>
      </w:r>
      <w:r w:rsidRPr="00762A2E">
        <w:rPr>
          <w:rFonts w:ascii="Calibri" w:hAnsi="Calibri"/>
          <w:lang w:eastAsia="de-DE"/>
        </w:rPr>
        <w:t xml:space="preserve"> WT vs. 5 synonymous mutations</w:t>
      </w:r>
      <w:r w:rsidR="00E12F3E" w:rsidRPr="00762A2E">
        <w:rPr>
          <w:rFonts w:ascii="Calibri" w:hAnsi="Calibri"/>
          <w:lang w:eastAsia="de-DE"/>
        </w:rPr>
        <w:t xml:space="preserve"> (syn Mut)</w:t>
      </w:r>
      <w:r w:rsidRPr="00762A2E">
        <w:rPr>
          <w:rFonts w:ascii="Calibri" w:hAnsi="Calibri"/>
          <w:lang w:eastAsia="de-DE"/>
        </w:rPr>
        <w:t xml:space="preserve">, 5 common synonymous single nucleotide polymorphisms (SNP) from </w:t>
      </w:r>
      <w:proofErr w:type="spellStart"/>
      <w:r w:rsidRPr="00762A2E">
        <w:rPr>
          <w:rFonts w:ascii="Calibri" w:hAnsi="Calibri"/>
          <w:lang w:eastAsia="de-DE"/>
        </w:rPr>
        <w:t>gnomAD</w:t>
      </w:r>
      <w:proofErr w:type="spellEnd"/>
      <w:r w:rsidRPr="00762A2E">
        <w:rPr>
          <w:rFonts w:ascii="Calibri" w:hAnsi="Calibri"/>
          <w:lang w:eastAsia="de-DE"/>
        </w:rPr>
        <w:t xml:space="preserve"> and 5 pathogenic non-synonymous </w:t>
      </w:r>
      <w:r w:rsidRPr="00762A2E">
        <w:rPr>
          <w:rFonts w:ascii="Calibri" w:hAnsi="Calibri"/>
          <w:i/>
          <w:lang w:eastAsia="de-DE"/>
        </w:rPr>
        <w:t>GATA2</w:t>
      </w:r>
      <w:r w:rsidRPr="00762A2E">
        <w:rPr>
          <w:rFonts w:ascii="Calibri" w:hAnsi="Calibri"/>
          <w:lang w:eastAsia="de-DE"/>
        </w:rPr>
        <w:t xml:space="preserve"> mutations (p</w:t>
      </w:r>
      <w:r w:rsidR="00E12F3E" w:rsidRPr="00762A2E">
        <w:rPr>
          <w:rFonts w:ascii="Calibri" w:hAnsi="Calibri"/>
          <w:lang w:eastAsia="de-DE"/>
        </w:rPr>
        <w:t xml:space="preserve">ath </w:t>
      </w:r>
      <w:r w:rsidRPr="00762A2E">
        <w:rPr>
          <w:rFonts w:ascii="Calibri" w:hAnsi="Calibri"/>
          <w:lang w:eastAsia="de-DE"/>
        </w:rPr>
        <w:t>Mut). Standard one-way ANOVA test was applied to calculate p-values (mean ±SD).</w:t>
      </w:r>
    </w:p>
    <w:p w14:paraId="4959029D" w14:textId="690898AE" w:rsidR="007B6401" w:rsidRPr="00762A2E" w:rsidRDefault="000B23C6" w:rsidP="005E7138">
      <w:pPr>
        <w:rPr>
          <w:rFonts w:ascii="Calibri" w:hAnsi="Calibri"/>
          <w:lang w:eastAsia="de-DE"/>
        </w:rPr>
      </w:pPr>
      <w:r w:rsidRPr="00762A2E">
        <w:rPr>
          <w:rFonts w:ascii="Calibri" w:hAnsi="Calibri"/>
          <w:noProof/>
        </w:rPr>
        <w:lastRenderedPageBreak/>
        <w:drawing>
          <wp:inline distT="0" distB="0" distL="0" distR="0" wp14:anchorId="04A80A54" wp14:editId="4ACD8FAA">
            <wp:extent cx="7729222" cy="2604977"/>
            <wp:effectExtent l="0" t="0" r="5080" b="508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734977" cy="2606917"/>
                    </a:xfrm>
                    <a:prstGeom prst="rect">
                      <a:avLst/>
                    </a:prstGeom>
                    <a:noFill/>
                  </pic:spPr>
                </pic:pic>
              </a:graphicData>
            </a:graphic>
          </wp:inline>
        </w:drawing>
      </w:r>
    </w:p>
    <w:p w14:paraId="4688B68C" w14:textId="5415CAC7" w:rsidR="00141ABA" w:rsidRPr="00762A2E" w:rsidRDefault="00186669" w:rsidP="005E7138">
      <w:pPr>
        <w:rPr>
          <w:noProof/>
        </w:rPr>
      </w:pPr>
      <w:r w:rsidRPr="00762A2E">
        <w:rPr>
          <w:noProof/>
        </w:rPr>
        <w:t xml:space="preserve"> </w:t>
      </w:r>
    </w:p>
    <w:p w14:paraId="3B3A59FB" w14:textId="311278A2" w:rsidR="000B23C6" w:rsidRPr="00762A2E" w:rsidRDefault="00141ABA" w:rsidP="00D66CF9">
      <w:pPr>
        <w:jc w:val="both"/>
        <w:rPr>
          <w:rFonts w:ascii="Calibri" w:hAnsi="Calibri"/>
          <w:color w:val="000000" w:themeColor="text1"/>
          <w:lang w:eastAsia="de-DE"/>
        </w:rPr>
      </w:pPr>
      <w:r w:rsidRPr="00762A2E">
        <w:rPr>
          <w:rFonts w:ascii="Calibri" w:hAnsi="Calibri"/>
          <w:b/>
          <w:color w:val="000000" w:themeColor="text1"/>
          <w:lang w:eastAsia="de-DE"/>
        </w:rPr>
        <w:t>Supplemental Figure 5</w:t>
      </w:r>
      <w:r w:rsidR="00427342" w:rsidRPr="00762A2E">
        <w:rPr>
          <w:rFonts w:ascii="Calibri" w:hAnsi="Calibri"/>
          <w:b/>
          <w:color w:val="000000" w:themeColor="text1"/>
          <w:lang w:eastAsia="de-DE"/>
        </w:rPr>
        <w:t xml:space="preserve"> (linked to Figure 4)</w:t>
      </w:r>
      <w:r w:rsidRPr="00762A2E">
        <w:rPr>
          <w:rFonts w:ascii="Calibri" w:hAnsi="Calibri"/>
          <w:b/>
          <w:color w:val="000000" w:themeColor="text1"/>
          <w:lang w:eastAsia="de-DE"/>
        </w:rPr>
        <w:t xml:space="preserve">. GATA2 expression </w:t>
      </w:r>
      <w:r w:rsidR="00B76388" w:rsidRPr="00762A2E">
        <w:rPr>
          <w:rFonts w:ascii="Calibri" w:hAnsi="Calibri"/>
          <w:b/>
          <w:color w:val="000000" w:themeColor="text1"/>
          <w:lang w:eastAsia="de-DE"/>
        </w:rPr>
        <w:t xml:space="preserve">and function </w:t>
      </w:r>
      <w:r w:rsidRPr="00762A2E">
        <w:rPr>
          <w:rFonts w:ascii="Calibri" w:hAnsi="Calibri"/>
          <w:b/>
          <w:color w:val="000000" w:themeColor="text1"/>
          <w:lang w:eastAsia="de-DE"/>
        </w:rPr>
        <w:t>in hematopoietic cells.</w:t>
      </w:r>
      <w:r w:rsidRPr="00762A2E">
        <w:rPr>
          <w:rFonts w:ascii="Calibri" w:hAnsi="Calibri"/>
          <w:color w:val="000000" w:themeColor="text1"/>
          <w:lang w:eastAsia="de-DE"/>
        </w:rPr>
        <w:t xml:space="preserve"> </w:t>
      </w:r>
      <w:r w:rsidR="00186669" w:rsidRPr="00762A2E">
        <w:rPr>
          <w:rFonts w:ascii="Calibri" w:hAnsi="Calibri"/>
          <w:color w:val="000000" w:themeColor="text1"/>
          <w:lang w:eastAsia="de-DE"/>
        </w:rPr>
        <w:t xml:space="preserve">(A) </w:t>
      </w:r>
      <w:r w:rsidRPr="00762A2E">
        <w:rPr>
          <w:rFonts w:ascii="Calibri" w:hAnsi="Calibri"/>
          <w:color w:val="000000" w:themeColor="text1"/>
          <w:lang w:eastAsia="de-DE"/>
        </w:rPr>
        <w:t xml:space="preserve">The level of </w:t>
      </w:r>
      <w:r w:rsidR="00913663" w:rsidRPr="00762A2E">
        <w:rPr>
          <w:rFonts w:ascii="Calibri" w:hAnsi="Calibri"/>
          <w:color w:val="000000" w:themeColor="text1"/>
          <w:lang w:eastAsia="de-DE"/>
        </w:rPr>
        <w:t xml:space="preserve">the </w:t>
      </w:r>
      <w:r w:rsidRPr="00762A2E">
        <w:rPr>
          <w:rFonts w:ascii="Calibri" w:hAnsi="Calibri"/>
          <w:i/>
          <w:color w:val="000000" w:themeColor="text1"/>
          <w:lang w:eastAsia="de-DE"/>
        </w:rPr>
        <w:t>GATA2</w:t>
      </w:r>
      <w:r w:rsidRPr="00762A2E">
        <w:rPr>
          <w:rFonts w:ascii="Calibri" w:hAnsi="Calibri"/>
          <w:color w:val="000000" w:themeColor="text1"/>
          <w:lang w:eastAsia="de-DE"/>
        </w:rPr>
        <w:t xml:space="preserve"> gene expression was determined in various hematopoietic subpopulations of multiple healthy controls by RT-qPCR.</w:t>
      </w:r>
      <w:r w:rsidR="00186669" w:rsidRPr="00762A2E">
        <w:rPr>
          <w:rFonts w:ascii="Calibri" w:hAnsi="Calibri"/>
          <w:color w:val="000000" w:themeColor="text1"/>
          <w:lang w:eastAsia="de-DE"/>
        </w:rPr>
        <w:t xml:space="preserve"> (B) Graph adapted from the </w:t>
      </w:r>
      <w:proofErr w:type="spellStart"/>
      <w:r w:rsidR="00186669" w:rsidRPr="00762A2E">
        <w:rPr>
          <w:rFonts w:ascii="Calibri" w:hAnsi="Calibri"/>
          <w:color w:val="000000" w:themeColor="text1"/>
          <w:lang w:eastAsia="de-DE"/>
        </w:rPr>
        <w:t>GeneCards</w:t>
      </w:r>
      <w:proofErr w:type="spellEnd"/>
      <w:r w:rsidR="00186669" w:rsidRPr="00762A2E">
        <w:rPr>
          <w:rFonts w:ascii="Calibri" w:hAnsi="Calibri"/>
          <w:color w:val="000000" w:themeColor="text1"/>
          <w:lang w:eastAsia="de-DE"/>
        </w:rPr>
        <w:t xml:space="preserve"> database indicating the level of GATA2 protein in platelets (</w:t>
      </w:r>
      <w:hyperlink r:id="rId16" w:anchor="protein_expression" w:history="1">
        <w:r w:rsidR="00186669" w:rsidRPr="00762A2E">
          <w:rPr>
            <w:rStyle w:val="Hyperlink"/>
            <w:rFonts w:ascii="Calibri" w:hAnsi="Calibri"/>
            <w:color w:val="000000" w:themeColor="text1"/>
            <w:lang w:eastAsia="de-DE"/>
          </w:rPr>
          <w:t>https://www.genecards.org/cgi-bin/carddisp.pl?gene=GATA2#protein_expression</w:t>
        </w:r>
      </w:hyperlink>
      <w:r w:rsidR="00186669" w:rsidRPr="00762A2E">
        <w:rPr>
          <w:rFonts w:ascii="Calibri" w:hAnsi="Calibri"/>
          <w:color w:val="000000" w:themeColor="text1"/>
          <w:lang w:eastAsia="de-DE"/>
        </w:rPr>
        <w:t>; last visit: 12.12.2019 at 12:52pm GMT+1).</w:t>
      </w:r>
      <w:r w:rsidR="00B76388" w:rsidRPr="00762A2E">
        <w:rPr>
          <w:rFonts w:ascii="Calibri" w:hAnsi="Calibri"/>
          <w:color w:val="000000" w:themeColor="text1"/>
          <w:lang w:eastAsia="de-DE"/>
        </w:rPr>
        <w:t xml:space="preserve"> </w:t>
      </w:r>
    </w:p>
    <w:p w14:paraId="06060C4C" w14:textId="77777777" w:rsidR="000B23C6" w:rsidRPr="00762A2E" w:rsidRDefault="000B23C6">
      <w:pPr>
        <w:rPr>
          <w:rFonts w:ascii="Calibri" w:hAnsi="Calibri"/>
          <w:lang w:eastAsia="de-DE"/>
        </w:rPr>
      </w:pPr>
      <w:r w:rsidRPr="00762A2E">
        <w:rPr>
          <w:rFonts w:ascii="Calibri" w:hAnsi="Calibri"/>
          <w:lang w:eastAsia="de-DE"/>
        </w:rPr>
        <w:br w:type="page"/>
      </w:r>
    </w:p>
    <w:p w14:paraId="57C76857" w14:textId="77777777" w:rsidR="001608DF" w:rsidRPr="00762A2E" w:rsidRDefault="001608DF" w:rsidP="00D66CF9">
      <w:pPr>
        <w:jc w:val="both"/>
        <w:rPr>
          <w:rFonts w:ascii="Calibri" w:hAnsi="Calibri"/>
          <w:lang w:eastAsia="de-DE"/>
        </w:rPr>
      </w:pPr>
    </w:p>
    <w:p w14:paraId="453DA313" w14:textId="31C1BD32" w:rsidR="001608DF" w:rsidRPr="00762A2E" w:rsidRDefault="001608DF" w:rsidP="005E7138">
      <w:pPr>
        <w:rPr>
          <w:rFonts w:ascii="Calibri" w:hAnsi="Calibri"/>
          <w:lang w:eastAsia="de-DE"/>
        </w:rPr>
      </w:pPr>
    </w:p>
    <w:p w14:paraId="0F6C0C17" w14:textId="373640B7" w:rsidR="00217677" w:rsidRPr="00762A2E" w:rsidRDefault="00BC1AA5" w:rsidP="001608DF">
      <w:pPr>
        <w:rPr>
          <w:rFonts w:ascii="Calibri" w:hAnsi="Calibri"/>
        </w:rPr>
      </w:pPr>
      <w:r w:rsidRPr="00762A2E">
        <w:rPr>
          <w:rFonts w:ascii="Calibri" w:hAnsi="Calibri"/>
          <w:noProof/>
        </w:rPr>
        <w:drawing>
          <wp:inline distT="0" distB="0" distL="0" distR="0" wp14:anchorId="7AE46A26" wp14:editId="229B4DD5">
            <wp:extent cx="8431619" cy="3378087"/>
            <wp:effectExtent l="0" t="0" r="7620" b="0"/>
            <wp:docPr id="19" name="Obraz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456855" cy="3388198"/>
                    </a:xfrm>
                    <a:prstGeom prst="rect">
                      <a:avLst/>
                    </a:prstGeom>
                    <a:noFill/>
                  </pic:spPr>
                </pic:pic>
              </a:graphicData>
            </a:graphic>
          </wp:inline>
        </w:drawing>
      </w:r>
    </w:p>
    <w:p w14:paraId="0AB54D9A" w14:textId="25F5FE96" w:rsidR="001608DF" w:rsidRPr="00762A2E" w:rsidRDefault="001608DF" w:rsidP="00E96CD0">
      <w:pPr>
        <w:jc w:val="both"/>
        <w:rPr>
          <w:rFonts w:ascii="Calibri" w:hAnsi="Calibri"/>
          <w:color w:val="000000" w:themeColor="text1"/>
        </w:rPr>
      </w:pPr>
      <w:r w:rsidRPr="00762A2E">
        <w:rPr>
          <w:rFonts w:ascii="Calibri" w:hAnsi="Calibri"/>
          <w:b/>
          <w:color w:val="000000" w:themeColor="text1"/>
        </w:rPr>
        <w:t>Supplemental Figure 6</w:t>
      </w:r>
      <w:r w:rsidR="00427342" w:rsidRPr="00762A2E">
        <w:rPr>
          <w:rFonts w:ascii="Calibri" w:hAnsi="Calibri"/>
          <w:b/>
          <w:color w:val="000000" w:themeColor="text1"/>
        </w:rPr>
        <w:t xml:space="preserve"> (linked to Figure 5)</w:t>
      </w:r>
      <w:r w:rsidRPr="00762A2E">
        <w:rPr>
          <w:rFonts w:ascii="Calibri" w:hAnsi="Calibri"/>
          <w:b/>
          <w:color w:val="000000" w:themeColor="text1"/>
        </w:rPr>
        <w:t xml:space="preserve">. Analysis of </w:t>
      </w:r>
      <w:r w:rsidR="00427342" w:rsidRPr="00762A2E">
        <w:rPr>
          <w:rFonts w:ascii="Calibri" w:hAnsi="Calibri"/>
          <w:b/>
          <w:color w:val="000000" w:themeColor="text1"/>
        </w:rPr>
        <w:t xml:space="preserve">zebrafish hematopoiesis </w:t>
      </w:r>
      <w:r w:rsidR="00427342" w:rsidRPr="00762A2E">
        <w:rPr>
          <w:rFonts w:ascii="Calibri" w:hAnsi="Calibri"/>
          <w:b/>
          <w:i/>
          <w:color w:val="000000" w:themeColor="text1"/>
        </w:rPr>
        <w:t>in vivo</w:t>
      </w:r>
      <w:r w:rsidR="00E96CD0" w:rsidRPr="00762A2E">
        <w:rPr>
          <w:rFonts w:ascii="Calibri" w:hAnsi="Calibri"/>
          <w:b/>
          <w:i/>
          <w:color w:val="000000" w:themeColor="text1"/>
        </w:rPr>
        <w:t xml:space="preserve"> </w:t>
      </w:r>
      <w:r w:rsidR="00E96CD0" w:rsidRPr="00762A2E">
        <w:rPr>
          <w:rFonts w:ascii="Calibri" w:hAnsi="Calibri"/>
          <w:b/>
          <w:iCs/>
          <w:color w:val="000000" w:themeColor="text1"/>
        </w:rPr>
        <w:t>and assay verification</w:t>
      </w:r>
      <w:r w:rsidRPr="00762A2E">
        <w:rPr>
          <w:rFonts w:ascii="Calibri" w:hAnsi="Calibri"/>
          <w:b/>
          <w:color w:val="000000" w:themeColor="text1"/>
        </w:rPr>
        <w:t>.</w:t>
      </w:r>
      <w:r w:rsidRPr="00762A2E">
        <w:rPr>
          <w:rFonts w:ascii="Calibri" w:hAnsi="Calibri"/>
          <w:color w:val="000000" w:themeColor="text1"/>
        </w:rPr>
        <w:t xml:space="preserve"> </w:t>
      </w:r>
      <w:r w:rsidR="00427342" w:rsidRPr="00762A2E">
        <w:rPr>
          <w:rFonts w:ascii="Calibri" w:hAnsi="Calibri"/>
          <w:color w:val="000000" w:themeColor="text1"/>
        </w:rPr>
        <w:t>(</w:t>
      </w:r>
      <w:r w:rsidR="00E96CD0" w:rsidRPr="00762A2E">
        <w:rPr>
          <w:rFonts w:ascii="Calibri" w:hAnsi="Calibri"/>
          <w:color w:val="000000" w:themeColor="text1"/>
        </w:rPr>
        <w:t>A</w:t>
      </w:r>
      <w:r w:rsidR="00427342" w:rsidRPr="00762A2E">
        <w:rPr>
          <w:rFonts w:ascii="Calibri" w:hAnsi="Calibri"/>
          <w:color w:val="000000" w:themeColor="text1"/>
        </w:rPr>
        <w:t>) Representative pictures of GATA2 WT/Mut-injected embryos manifesting with low, medium and high phenotype.</w:t>
      </w:r>
      <w:r w:rsidR="00E96CD0" w:rsidRPr="00762A2E">
        <w:rPr>
          <w:rFonts w:ascii="Calibri" w:hAnsi="Calibri"/>
          <w:color w:val="000000" w:themeColor="text1"/>
        </w:rPr>
        <w:t xml:space="preserve"> (B) The level of human GATA2 protein expressed from the plasmid </w:t>
      </w:r>
      <w:r w:rsidR="00DD20B6" w:rsidRPr="00762A2E">
        <w:rPr>
          <w:rFonts w:ascii="Calibri" w:hAnsi="Calibri"/>
          <w:color w:val="000000" w:themeColor="text1"/>
        </w:rPr>
        <w:t xml:space="preserve">used for </w:t>
      </w:r>
      <w:r w:rsidR="00E96CD0" w:rsidRPr="00762A2E">
        <w:rPr>
          <w:rFonts w:ascii="Calibri" w:hAnsi="Calibri"/>
          <w:i/>
          <w:iCs/>
          <w:color w:val="000000" w:themeColor="text1"/>
        </w:rPr>
        <w:t>FLAG-GATA2</w:t>
      </w:r>
      <w:r w:rsidR="00E96CD0" w:rsidRPr="00762A2E">
        <w:rPr>
          <w:rFonts w:ascii="Calibri" w:hAnsi="Calibri"/>
          <w:color w:val="000000" w:themeColor="text1"/>
        </w:rPr>
        <w:t xml:space="preserve"> mRNA </w:t>
      </w:r>
      <w:r w:rsidR="00DD20B6" w:rsidRPr="00762A2E">
        <w:rPr>
          <w:rFonts w:ascii="Calibri" w:hAnsi="Calibri"/>
          <w:color w:val="000000" w:themeColor="text1"/>
        </w:rPr>
        <w:t xml:space="preserve">generation </w:t>
      </w:r>
      <w:r w:rsidR="00E96CD0" w:rsidRPr="00762A2E">
        <w:rPr>
          <w:rFonts w:ascii="Calibri" w:hAnsi="Calibri"/>
          <w:color w:val="000000" w:themeColor="text1"/>
        </w:rPr>
        <w:t>for zebrafish injections. One representative blot is shown.</w:t>
      </w:r>
    </w:p>
    <w:p w14:paraId="118DCC31" w14:textId="062313A5" w:rsidR="00E96CD0" w:rsidRPr="00762A2E" w:rsidRDefault="00E96CD0" w:rsidP="00E96CD0">
      <w:pPr>
        <w:jc w:val="both"/>
        <w:rPr>
          <w:rFonts w:ascii="Calibri" w:hAnsi="Calibri"/>
        </w:rPr>
        <w:sectPr w:rsidR="00E96CD0" w:rsidRPr="00762A2E" w:rsidSect="00ED775E">
          <w:pgSz w:w="15840" w:h="12240" w:orient="landscape"/>
          <w:pgMar w:top="1134" w:right="1418" w:bottom="1134" w:left="1134" w:header="720" w:footer="720" w:gutter="0"/>
          <w:cols w:space="720"/>
          <w:docGrid w:linePitch="360"/>
        </w:sectPr>
      </w:pPr>
    </w:p>
    <w:p w14:paraId="5FDD6030" w14:textId="3DF894B7" w:rsidR="00AF5D25" w:rsidRPr="00762A2E" w:rsidRDefault="00AF5D25" w:rsidP="00AF5D25">
      <w:r w:rsidRPr="00762A2E">
        <w:rPr>
          <w:b/>
        </w:rPr>
        <w:lastRenderedPageBreak/>
        <w:t xml:space="preserve">Supplemental Table </w:t>
      </w:r>
      <w:r w:rsidR="005A7B50" w:rsidRPr="00762A2E">
        <w:rPr>
          <w:b/>
        </w:rPr>
        <w:t>1</w:t>
      </w:r>
      <w:r w:rsidRPr="00762A2E">
        <w:rPr>
          <w:b/>
        </w:rPr>
        <w:t xml:space="preserve">. </w:t>
      </w:r>
      <w:r w:rsidRPr="00762A2E">
        <w:t>Overview of</w:t>
      </w:r>
      <w:r w:rsidRPr="00762A2E">
        <w:rPr>
          <w:b/>
        </w:rPr>
        <w:t xml:space="preserve"> </w:t>
      </w:r>
      <w:r w:rsidR="00A52A41" w:rsidRPr="00762A2E">
        <w:t xml:space="preserve">the </w:t>
      </w:r>
      <w:r w:rsidRPr="00762A2E">
        <w:t xml:space="preserve">variants identified using whole exome sequencing in patients with synonymous </w:t>
      </w:r>
      <w:r w:rsidRPr="00762A2E">
        <w:rPr>
          <w:i/>
        </w:rPr>
        <w:t>GATA2</w:t>
      </w:r>
      <w:r w:rsidRPr="00762A2E">
        <w:t xml:space="preserve"> mutations. </w:t>
      </w:r>
      <w:r w:rsidRPr="00762A2E">
        <w:fldChar w:fldCharType="begin"/>
      </w:r>
      <w:r w:rsidRPr="00762A2E">
        <w:instrText xml:space="preserve"> LINK Excel.Sheet.12 "\\\\ad\\group\\ZKJ-A-Wlodarski\\1. By project\\Ongoing\\6 MDS incl familial and somatic\\7. GATA2\\4. GATA2 expression experiments\\18. WES\\VP 161gene Panel\\Synonimous patients.xlsx" "Supplem Table!Z3S1:Z22S9" \a \f 4 \h  \* MERGEFORMAT </w:instrText>
      </w:r>
      <w:r w:rsidRPr="00762A2E">
        <w:fldChar w:fldCharType="separate"/>
      </w:r>
    </w:p>
    <w:tbl>
      <w:tblPr>
        <w:tblW w:w="13789" w:type="dxa"/>
        <w:tblInd w:w="-72" w:type="dxa"/>
        <w:tblLook w:val="04A0" w:firstRow="1" w:lastRow="0" w:firstColumn="1" w:lastColumn="0" w:noHBand="0" w:noVBand="1"/>
      </w:tblPr>
      <w:tblGrid>
        <w:gridCol w:w="757"/>
        <w:gridCol w:w="1408"/>
        <w:gridCol w:w="1190"/>
        <w:gridCol w:w="618"/>
        <w:gridCol w:w="1169"/>
        <w:gridCol w:w="1417"/>
        <w:gridCol w:w="851"/>
        <w:gridCol w:w="6379"/>
      </w:tblGrid>
      <w:tr w:rsidR="00AF5D25" w:rsidRPr="00762A2E" w14:paraId="3273CB7A" w14:textId="77777777" w:rsidTr="00141ABA">
        <w:trPr>
          <w:trHeight w:val="255"/>
        </w:trPr>
        <w:tc>
          <w:tcPr>
            <w:tcW w:w="757" w:type="dxa"/>
            <w:tcBorders>
              <w:top w:val="single" w:sz="4" w:space="0" w:color="auto"/>
              <w:left w:val="nil"/>
              <w:bottom w:val="single" w:sz="4" w:space="0" w:color="auto"/>
              <w:right w:val="nil"/>
            </w:tcBorders>
            <w:shd w:val="clear" w:color="000000" w:fill="FFFFFF"/>
            <w:noWrap/>
            <w:hideMark/>
          </w:tcPr>
          <w:p w14:paraId="4ABFF58B" w14:textId="77777777" w:rsidR="00AF5D25" w:rsidRPr="00762A2E" w:rsidRDefault="00AF5D25" w:rsidP="00141ABA">
            <w:pPr>
              <w:spacing w:after="0" w:line="240" w:lineRule="auto"/>
              <w:rPr>
                <w:rFonts w:ascii="Calibri" w:eastAsia="Times New Roman" w:hAnsi="Calibri" w:cs="Arial"/>
                <w:b/>
                <w:bCs/>
                <w:color w:val="000000"/>
                <w:sz w:val="18"/>
                <w:szCs w:val="18"/>
              </w:rPr>
            </w:pPr>
            <w:r w:rsidRPr="00762A2E">
              <w:rPr>
                <w:rFonts w:ascii="Calibri" w:eastAsia="Times New Roman" w:hAnsi="Calibri" w:cs="Arial"/>
                <w:b/>
                <w:bCs/>
                <w:color w:val="000000"/>
                <w:sz w:val="18"/>
                <w:szCs w:val="18"/>
              </w:rPr>
              <w:t>Patient</w:t>
            </w:r>
          </w:p>
        </w:tc>
        <w:tc>
          <w:tcPr>
            <w:tcW w:w="1408" w:type="dxa"/>
            <w:tcBorders>
              <w:top w:val="single" w:sz="4" w:space="0" w:color="auto"/>
              <w:left w:val="nil"/>
              <w:bottom w:val="single" w:sz="4" w:space="0" w:color="auto"/>
              <w:right w:val="nil"/>
            </w:tcBorders>
            <w:shd w:val="clear" w:color="000000" w:fill="FFFFFF"/>
            <w:noWrap/>
            <w:hideMark/>
          </w:tcPr>
          <w:p w14:paraId="413BA2BF" w14:textId="77777777" w:rsidR="00AF5D25" w:rsidRPr="00762A2E" w:rsidRDefault="00AF5D25" w:rsidP="00141ABA">
            <w:pPr>
              <w:spacing w:after="0" w:line="240" w:lineRule="auto"/>
              <w:rPr>
                <w:rFonts w:ascii="Calibri" w:eastAsia="Times New Roman" w:hAnsi="Calibri" w:cs="Arial"/>
                <w:b/>
                <w:bCs/>
                <w:color w:val="000000"/>
                <w:sz w:val="18"/>
                <w:szCs w:val="18"/>
              </w:rPr>
            </w:pPr>
            <w:r w:rsidRPr="00762A2E">
              <w:rPr>
                <w:rFonts w:ascii="Calibri" w:eastAsia="Times New Roman" w:hAnsi="Calibri" w:cs="Arial"/>
                <w:b/>
                <w:bCs/>
                <w:color w:val="000000"/>
                <w:sz w:val="18"/>
                <w:szCs w:val="18"/>
              </w:rPr>
              <w:t>Gene/ Isoform</w:t>
            </w:r>
          </w:p>
        </w:tc>
        <w:tc>
          <w:tcPr>
            <w:tcW w:w="1190" w:type="dxa"/>
            <w:tcBorders>
              <w:top w:val="single" w:sz="4" w:space="0" w:color="auto"/>
              <w:left w:val="nil"/>
              <w:bottom w:val="single" w:sz="4" w:space="0" w:color="auto"/>
              <w:right w:val="nil"/>
            </w:tcBorders>
            <w:shd w:val="clear" w:color="000000" w:fill="FFFFFF"/>
            <w:noWrap/>
            <w:hideMark/>
          </w:tcPr>
          <w:p w14:paraId="27DF5DA4" w14:textId="77777777" w:rsidR="00AF5D25" w:rsidRPr="00762A2E" w:rsidRDefault="00AF5D25" w:rsidP="00141ABA">
            <w:pPr>
              <w:spacing w:after="0" w:line="240" w:lineRule="auto"/>
              <w:rPr>
                <w:rFonts w:ascii="Calibri" w:eastAsia="Times New Roman" w:hAnsi="Calibri" w:cs="Arial"/>
                <w:b/>
                <w:bCs/>
                <w:color w:val="000000"/>
                <w:sz w:val="18"/>
                <w:szCs w:val="18"/>
              </w:rPr>
            </w:pPr>
            <w:r w:rsidRPr="00762A2E">
              <w:rPr>
                <w:rFonts w:ascii="Calibri" w:eastAsia="Times New Roman" w:hAnsi="Calibri" w:cs="Arial"/>
                <w:b/>
                <w:bCs/>
                <w:color w:val="000000"/>
                <w:sz w:val="18"/>
                <w:szCs w:val="18"/>
              </w:rPr>
              <w:t>Mutation</w:t>
            </w:r>
          </w:p>
        </w:tc>
        <w:tc>
          <w:tcPr>
            <w:tcW w:w="618" w:type="dxa"/>
            <w:tcBorders>
              <w:top w:val="single" w:sz="4" w:space="0" w:color="auto"/>
              <w:left w:val="nil"/>
              <w:bottom w:val="single" w:sz="4" w:space="0" w:color="auto"/>
              <w:right w:val="nil"/>
            </w:tcBorders>
            <w:shd w:val="clear" w:color="000000" w:fill="FFFFFF"/>
            <w:noWrap/>
            <w:hideMark/>
          </w:tcPr>
          <w:p w14:paraId="3F1837C4" w14:textId="77777777" w:rsidR="00AF5D25" w:rsidRPr="00762A2E" w:rsidRDefault="00AF5D25" w:rsidP="00141ABA">
            <w:pPr>
              <w:spacing w:after="0" w:line="240" w:lineRule="auto"/>
              <w:rPr>
                <w:rFonts w:ascii="Calibri" w:eastAsia="Times New Roman" w:hAnsi="Calibri" w:cs="Arial"/>
                <w:b/>
                <w:bCs/>
                <w:color w:val="000000"/>
                <w:sz w:val="18"/>
                <w:szCs w:val="18"/>
              </w:rPr>
            </w:pPr>
            <w:r w:rsidRPr="00762A2E">
              <w:rPr>
                <w:rFonts w:ascii="Calibri" w:eastAsia="Times New Roman" w:hAnsi="Calibri" w:cs="Arial"/>
                <w:b/>
                <w:bCs/>
                <w:color w:val="000000"/>
                <w:sz w:val="18"/>
                <w:szCs w:val="18"/>
              </w:rPr>
              <w:t>Type</w:t>
            </w:r>
          </w:p>
        </w:tc>
        <w:tc>
          <w:tcPr>
            <w:tcW w:w="1169" w:type="dxa"/>
            <w:tcBorders>
              <w:top w:val="single" w:sz="4" w:space="0" w:color="auto"/>
              <w:left w:val="nil"/>
              <w:bottom w:val="single" w:sz="4" w:space="0" w:color="auto"/>
              <w:right w:val="nil"/>
            </w:tcBorders>
            <w:shd w:val="clear" w:color="000000" w:fill="FFFFFF"/>
            <w:noWrap/>
            <w:hideMark/>
          </w:tcPr>
          <w:p w14:paraId="1F203638" w14:textId="77777777" w:rsidR="00AF5D25" w:rsidRPr="00762A2E" w:rsidRDefault="00AF5D25" w:rsidP="00141ABA">
            <w:pPr>
              <w:spacing w:after="0" w:line="240" w:lineRule="auto"/>
              <w:rPr>
                <w:rFonts w:ascii="Calibri" w:eastAsia="Times New Roman" w:hAnsi="Calibri" w:cs="Arial"/>
                <w:b/>
                <w:bCs/>
                <w:color w:val="000000"/>
                <w:sz w:val="18"/>
                <w:szCs w:val="18"/>
              </w:rPr>
            </w:pPr>
            <w:r w:rsidRPr="00762A2E">
              <w:rPr>
                <w:rFonts w:ascii="Calibri" w:eastAsia="Times New Roman" w:hAnsi="Calibri" w:cs="Arial"/>
                <w:b/>
                <w:bCs/>
                <w:color w:val="000000"/>
                <w:sz w:val="18"/>
                <w:szCs w:val="18"/>
              </w:rPr>
              <w:t>VAF/</w:t>
            </w:r>
          </w:p>
          <w:p w14:paraId="31CCB7EB" w14:textId="77777777" w:rsidR="00AF5D25" w:rsidRPr="00762A2E" w:rsidRDefault="00AF5D25" w:rsidP="00141ABA">
            <w:pPr>
              <w:spacing w:after="0" w:line="240" w:lineRule="auto"/>
              <w:rPr>
                <w:rFonts w:ascii="Calibri" w:eastAsia="Times New Roman" w:hAnsi="Calibri" w:cs="Arial"/>
                <w:b/>
                <w:bCs/>
                <w:color w:val="000000"/>
                <w:sz w:val="18"/>
                <w:szCs w:val="18"/>
              </w:rPr>
            </w:pPr>
            <w:r w:rsidRPr="00762A2E">
              <w:rPr>
                <w:rFonts w:ascii="Calibri" w:eastAsia="Times New Roman" w:hAnsi="Calibri" w:cs="Arial"/>
                <w:b/>
                <w:bCs/>
                <w:color w:val="000000"/>
                <w:sz w:val="18"/>
                <w:szCs w:val="18"/>
              </w:rPr>
              <w:t>Total depth</w:t>
            </w:r>
          </w:p>
        </w:tc>
        <w:tc>
          <w:tcPr>
            <w:tcW w:w="1417" w:type="dxa"/>
            <w:tcBorders>
              <w:top w:val="single" w:sz="4" w:space="0" w:color="auto"/>
              <w:left w:val="nil"/>
              <w:bottom w:val="single" w:sz="4" w:space="0" w:color="auto"/>
              <w:right w:val="nil"/>
            </w:tcBorders>
            <w:shd w:val="clear" w:color="000000" w:fill="FFFFFF"/>
          </w:tcPr>
          <w:p w14:paraId="15B88758" w14:textId="77777777" w:rsidR="00AF5D25" w:rsidRPr="00762A2E" w:rsidRDefault="00AF5D25" w:rsidP="00141ABA">
            <w:pPr>
              <w:spacing w:after="0" w:line="240" w:lineRule="auto"/>
              <w:rPr>
                <w:rFonts w:ascii="Calibri" w:eastAsia="Times New Roman" w:hAnsi="Calibri" w:cs="Arial"/>
                <w:b/>
                <w:bCs/>
                <w:color w:val="000000"/>
                <w:sz w:val="18"/>
                <w:szCs w:val="18"/>
              </w:rPr>
            </w:pPr>
            <w:proofErr w:type="spellStart"/>
            <w:r w:rsidRPr="00762A2E">
              <w:rPr>
                <w:rFonts w:ascii="Calibri" w:eastAsia="Times New Roman" w:hAnsi="Calibri" w:cs="Arial"/>
                <w:b/>
                <w:bCs/>
                <w:color w:val="000000"/>
                <w:sz w:val="18"/>
                <w:szCs w:val="18"/>
              </w:rPr>
              <w:t>gnomAD</w:t>
            </w:r>
            <w:proofErr w:type="spellEnd"/>
            <w:r w:rsidRPr="00762A2E">
              <w:rPr>
                <w:rFonts w:ascii="Calibri" w:eastAsia="Times New Roman" w:hAnsi="Calibri" w:cs="Arial"/>
                <w:b/>
                <w:bCs/>
                <w:color w:val="000000"/>
                <w:sz w:val="18"/>
                <w:szCs w:val="18"/>
              </w:rPr>
              <w:t xml:space="preserve"> MAF% (ALT/total)</w:t>
            </w:r>
          </w:p>
        </w:tc>
        <w:tc>
          <w:tcPr>
            <w:tcW w:w="851" w:type="dxa"/>
            <w:tcBorders>
              <w:top w:val="single" w:sz="4" w:space="0" w:color="auto"/>
              <w:left w:val="nil"/>
              <w:bottom w:val="single" w:sz="4" w:space="0" w:color="auto"/>
              <w:right w:val="nil"/>
            </w:tcBorders>
            <w:shd w:val="clear" w:color="000000" w:fill="FFFFFF"/>
            <w:noWrap/>
            <w:hideMark/>
          </w:tcPr>
          <w:p w14:paraId="632CEDB2" w14:textId="565C0D8E" w:rsidR="00AF5D25" w:rsidRPr="00762A2E" w:rsidRDefault="00AF5D25" w:rsidP="00141ABA">
            <w:pPr>
              <w:spacing w:after="0" w:line="240" w:lineRule="auto"/>
              <w:rPr>
                <w:rFonts w:ascii="Calibri" w:eastAsia="Times New Roman" w:hAnsi="Calibri" w:cs="Arial"/>
                <w:b/>
                <w:bCs/>
                <w:color w:val="000000"/>
                <w:sz w:val="18"/>
                <w:szCs w:val="18"/>
              </w:rPr>
            </w:pPr>
            <w:r w:rsidRPr="00762A2E">
              <w:rPr>
                <w:rFonts w:ascii="Calibri" w:eastAsia="Times New Roman" w:hAnsi="Calibri" w:cs="Arial"/>
                <w:b/>
                <w:bCs/>
                <w:color w:val="000000"/>
                <w:sz w:val="18"/>
                <w:szCs w:val="18"/>
              </w:rPr>
              <w:t>CADD</w:t>
            </w:r>
            <w:r w:rsidR="00F02804" w:rsidRPr="00762A2E">
              <w:rPr>
                <w:rFonts w:ascii="Calibri" w:eastAsia="Times New Roman" w:hAnsi="Calibri" w:cs="Arial"/>
                <w:b/>
                <w:bCs/>
                <w:color w:val="000000"/>
                <w:sz w:val="18"/>
                <w:szCs w:val="18"/>
              </w:rPr>
              <w:t>/ GAVIN</w:t>
            </w:r>
          </w:p>
        </w:tc>
        <w:tc>
          <w:tcPr>
            <w:tcW w:w="6379" w:type="dxa"/>
            <w:tcBorders>
              <w:top w:val="single" w:sz="4" w:space="0" w:color="auto"/>
              <w:left w:val="nil"/>
              <w:bottom w:val="single" w:sz="4" w:space="0" w:color="auto"/>
              <w:right w:val="nil"/>
            </w:tcBorders>
            <w:shd w:val="clear" w:color="000000" w:fill="FFFFFF"/>
            <w:noWrap/>
            <w:hideMark/>
          </w:tcPr>
          <w:p w14:paraId="4DA79E61" w14:textId="77777777" w:rsidR="00AF5D25" w:rsidRPr="00762A2E" w:rsidRDefault="00AF5D25" w:rsidP="00141ABA">
            <w:pPr>
              <w:spacing w:after="0" w:line="240" w:lineRule="auto"/>
              <w:rPr>
                <w:rFonts w:ascii="Calibri" w:eastAsia="Times New Roman" w:hAnsi="Calibri" w:cs="Arial"/>
                <w:b/>
                <w:bCs/>
                <w:color w:val="000000"/>
                <w:sz w:val="18"/>
                <w:szCs w:val="18"/>
              </w:rPr>
            </w:pPr>
            <w:r w:rsidRPr="00762A2E">
              <w:rPr>
                <w:rFonts w:ascii="Calibri" w:eastAsia="Times New Roman" w:hAnsi="Calibri" w:cs="Arial"/>
                <w:b/>
                <w:bCs/>
                <w:color w:val="000000"/>
                <w:sz w:val="18"/>
                <w:szCs w:val="18"/>
              </w:rPr>
              <w:t>Remarks</w:t>
            </w:r>
          </w:p>
        </w:tc>
      </w:tr>
      <w:tr w:rsidR="00AF5D25" w:rsidRPr="00762A2E" w14:paraId="092C4979" w14:textId="77777777" w:rsidTr="00141ABA">
        <w:trPr>
          <w:trHeight w:val="510"/>
        </w:trPr>
        <w:tc>
          <w:tcPr>
            <w:tcW w:w="757" w:type="dxa"/>
            <w:vMerge w:val="restart"/>
            <w:tcBorders>
              <w:top w:val="nil"/>
              <w:left w:val="nil"/>
              <w:bottom w:val="single" w:sz="4" w:space="0" w:color="000000"/>
              <w:right w:val="nil"/>
            </w:tcBorders>
            <w:shd w:val="clear" w:color="000000" w:fill="FFFFFF"/>
            <w:noWrap/>
            <w:hideMark/>
          </w:tcPr>
          <w:p w14:paraId="1F51D1CD"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P1</w:t>
            </w:r>
          </w:p>
        </w:tc>
        <w:tc>
          <w:tcPr>
            <w:tcW w:w="1408" w:type="dxa"/>
            <w:tcBorders>
              <w:top w:val="nil"/>
              <w:left w:val="nil"/>
              <w:bottom w:val="single" w:sz="2" w:space="0" w:color="A6A6A6" w:themeColor="background1" w:themeShade="A6"/>
              <w:right w:val="nil"/>
            </w:tcBorders>
            <w:shd w:val="clear" w:color="000000" w:fill="FFFFFF"/>
            <w:noWrap/>
            <w:hideMark/>
          </w:tcPr>
          <w:p w14:paraId="20EA6E15" w14:textId="77777777" w:rsidR="00AF5D25" w:rsidRPr="00762A2E" w:rsidRDefault="00AF5D25" w:rsidP="00141ABA">
            <w:pPr>
              <w:spacing w:after="0" w:line="240" w:lineRule="auto"/>
              <w:rPr>
                <w:rFonts w:ascii="Calibri" w:eastAsia="Times New Roman" w:hAnsi="Calibri" w:cs="Arial"/>
                <w:i/>
                <w:iCs/>
                <w:color w:val="000000"/>
                <w:sz w:val="18"/>
                <w:szCs w:val="18"/>
              </w:rPr>
            </w:pPr>
            <w:r w:rsidRPr="00762A2E">
              <w:rPr>
                <w:rFonts w:ascii="Calibri" w:eastAsia="Times New Roman" w:hAnsi="Calibri" w:cs="Arial"/>
                <w:i/>
                <w:iCs/>
                <w:color w:val="000000"/>
                <w:sz w:val="18"/>
                <w:szCs w:val="18"/>
              </w:rPr>
              <w:t>GATA2</w:t>
            </w:r>
          </w:p>
          <w:p w14:paraId="5C8DCF7A" w14:textId="77777777" w:rsidR="00AF5D25" w:rsidRPr="00762A2E" w:rsidRDefault="00AF5D25" w:rsidP="00141ABA">
            <w:pPr>
              <w:spacing w:after="0" w:line="240" w:lineRule="auto"/>
              <w:rPr>
                <w:rFonts w:ascii="Calibri" w:eastAsia="Times New Roman" w:hAnsi="Calibri" w:cs="Arial"/>
                <w:i/>
                <w:iCs/>
                <w:color w:val="000000"/>
                <w:sz w:val="18"/>
                <w:szCs w:val="18"/>
              </w:rPr>
            </w:pPr>
            <w:r w:rsidRPr="00762A2E">
              <w:rPr>
                <w:rFonts w:ascii="Calibri" w:eastAsia="Times New Roman" w:hAnsi="Calibri" w:cs="Arial"/>
                <w:color w:val="000000"/>
                <w:sz w:val="18"/>
                <w:szCs w:val="18"/>
              </w:rPr>
              <w:t>NM_032638.4</w:t>
            </w:r>
          </w:p>
        </w:tc>
        <w:tc>
          <w:tcPr>
            <w:tcW w:w="1190" w:type="dxa"/>
            <w:tcBorders>
              <w:top w:val="nil"/>
              <w:left w:val="nil"/>
              <w:bottom w:val="single" w:sz="2" w:space="0" w:color="A6A6A6" w:themeColor="background1" w:themeShade="A6"/>
              <w:right w:val="nil"/>
            </w:tcBorders>
            <w:shd w:val="clear" w:color="000000" w:fill="FFFFFF"/>
            <w:noWrap/>
            <w:hideMark/>
          </w:tcPr>
          <w:p w14:paraId="475D6FD5"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c.351C&gt;G</w:t>
            </w:r>
          </w:p>
          <w:p w14:paraId="66982986"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p.T177T</w:t>
            </w:r>
          </w:p>
        </w:tc>
        <w:tc>
          <w:tcPr>
            <w:tcW w:w="618" w:type="dxa"/>
            <w:tcBorders>
              <w:top w:val="nil"/>
              <w:left w:val="nil"/>
              <w:bottom w:val="single" w:sz="2" w:space="0" w:color="A6A6A6" w:themeColor="background1" w:themeShade="A6"/>
              <w:right w:val="nil"/>
            </w:tcBorders>
            <w:shd w:val="clear" w:color="000000" w:fill="FFFFFF"/>
            <w:noWrap/>
            <w:hideMark/>
          </w:tcPr>
          <w:p w14:paraId="767DF023"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het</w:t>
            </w:r>
          </w:p>
        </w:tc>
        <w:tc>
          <w:tcPr>
            <w:tcW w:w="1169" w:type="dxa"/>
            <w:tcBorders>
              <w:top w:val="nil"/>
              <w:left w:val="nil"/>
              <w:bottom w:val="single" w:sz="2" w:space="0" w:color="A6A6A6" w:themeColor="background1" w:themeShade="A6"/>
              <w:right w:val="nil"/>
            </w:tcBorders>
            <w:shd w:val="clear" w:color="000000" w:fill="FFFFFF"/>
            <w:noWrap/>
            <w:hideMark/>
          </w:tcPr>
          <w:p w14:paraId="58727596" w14:textId="5BC33B55" w:rsidR="00AF5D25" w:rsidRPr="00762A2E" w:rsidRDefault="00AF5D25" w:rsidP="00F02804">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50%/ 160</w:t>
            </w:r>
          </w:p>
        </w:tc>
        <w:tc>
          <w:tcPr>
            <w:tcW w:w="1417" w:type="dxa"/>
            <w:tcBorders>
              <w:top w:val="nil"/>
              <w:left w:val="nil"/>
              <w:bottom w:val="single" w:sz="2" w:space="0" w:color="A6A6A6" w:themeColor="background1" w:themeShade="A6"/>
              <w:right w:val="nil"/>
            </w:tcBorders>
            <w:shd w:val="clear" w:color="000000" w:fill="FFFFFF"/>
          </w:tcPr>
          <w:p w14:paraId="3A15D389"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none</w:t>
            </w:r>
          </w:p>
        </w:tc>
        <w:tc>
          <w:tcPr>
            <w:tcW w:w="851" w:type="dxa"/>
            <w:tcBorders>
              <w:top w:val="nil"/>
              <w:left w:val="nil"/>
              <w:bottom w:val="single" w:sz="2" w:space="0" w:color="A6A6A6" w:themeColor="background1" w:themeShade="A6"/>
              <w:right w:val="nil"/>
            </w:tcBorders>
            <w:shd w:val="clear" w:color="000000" w:fill="FFFFFF"/>
            <w:noWrap/>
            <w:hideMark/>
          </w:tcPr>
          <w:p w14:paraId="7260F2A7" w14:textId="409E53EF" w:rsidR="00AF5D25" w:rsidRPr="00762A2E" w:rsidRDefault="00AF5D25" w:rsidP="00514284">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10.</w:t>
            </w:r>
            <w:r w:rsidR="00514284" w:rsidRPr="00762A2E">
              <w:rPr>
                <w:rFonts w:ascii="Calibri" w:eastAsia="Times New Roman" w:hAnsi="Calibri" w:cs="Arial"/>
                <w:color w:val="000000"/>
                <w:sz w:val="18"/>
                <w:szCs w:val="18"/>
              </w:rPr>
              <w:t>5</w:t>
            </w:r>
            <w:r w:rsidR="00F02804" w:rsidRPr="00762A2E">
              <w:rPr>
                <w:rFonts w:ascii="Calibri" w:eastAsia="Times New Roman" w:hAnsi="Calibri" w:cs="Arial"/>
                <w:color w:val="000000"/>
                <w:sz w:val="18"/>
                <w:szCs w:val="18"/>
              </w:rPr>
              <w:t xml:space="preserve">/ </w:t>
            </w:r>
            <w:r w:rsidR="00F02804" w:rsidRPr="00762A2E">
              <w:rPr>
                <w:rFonts w:ascii="Calibri" w:eastAsia="Times New Roman" w:hAnsi="Calibri" w:cs="Arial"/>
                <w:color w:val="000000"/>
                <w:sz w:val="18"/>
                <w:szCs w:val="18"/>
              </w:rPr>
              <w:br/>
              <w:t>B</w:t>
            </w:r>
          </w:p>
        </w:tc>
        <w:tc>
          <w:tcPr>
            <w:tcW w:w="6379" w:type="dxa"/>
            <w:tcBorders>
              <w:top w:val="nil"/>
              <w:left w:val="nil"/>
              <w:bottom w:val="single" w:sz="2" w:space="0" w:color="A6A6A6" w:themeColor="background1" w:themeShade="A6"/>
              <w:right w:val="nil"/>
            </w:tcBorders>
            <w:shd w:val="clear" w:color="000000" w:fill="FFFFFF"/>
            <w:hideMark/>
          </w:tcPr>
          <w:p w14:paraId="0C49E03D" w14:textId="2E372B06"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 xml:space="preserve">Causes monoallelic </w:t>
            </w:r>
            <w:r w:rsidRPr="00762A2E">
              <w:rPr>
                <w:rFonts w:ascii="Calibri" w:eastAsia="Times New Roman" w:hAnsi="Calibri" w:cs="Arial"/>
                <w:i/>
                <w:color w:val="000000"/>
                <w:sz w:val="18"/>
                <w:szCs w:val="18"/>
              </w:rPr>
              <w:t>GATA2</w:t>
            </w:r>
            <w:r w:rsidRPr="00762A2E">
              <w:rPr>
                <w:rFonts w:ascii="Calibri" w:eastAsia="Times New Roman" w:hAnsi="Calibri" w:cs="Arial"/>
                <w:color w:val="000000"/>
                <w:sz w:val="18"/>
                <w:szCs w:val="18"/>
              </w:rPr>
              <w:t xml:space="preserve"> RNA degradation</w:t>
            </w:r>
            <w:r w:rsidR="00241F46" w:rsidRPr="00762A2E">
              <w:rPr>
                <w:rFonts w:ascii="Calibri" w:eastAsia="Times New Roman" w:hAnsi="Calibri" w:cs="Arial"/>
                <w:color w:val="000000"/>
                <w:sz w:val="18"/>
                <w:szCs w:val="18"/>
              </w:rPr>
              <w:t xml:space="preserve"> (shown here)</w:t>
            </w:r>
          </w:p>
        </w:tc>
      </w:tr>
      <w:tr w:rsidR="00AF5D25" w:rsidRPr="00762A2E" w14:paraId="55F19017" w14:textId="77777777" w:rsidTr="00141ABA">
        <w:trPr>
          <w:trHeight w:val="557"/>
        </w:trPr>
        <w:tc>
          <w:tcPr>
            <w:tcW w:w="757" w:type="dxa"/>
            <w:vMerge/>
            <w:tcBorders>
              <w:top w:val="nil"/>
              <w:left w:val="nil"/>
              <w:bottom w:val="single" w:sz="4" w:space="0" w:color="000000"/>
              <w:right w:val="nil"/>
            </w:tcBorders>
            <w:vAlign w:val="center"/>
            <w:hideMark/>
          </w:tcPr>
          <w:p w14:paraId="030B5B1C" w14:textId="77777777" w:rsidR="00AF5D25" w:rsidRPr="00762A2E" w:rsidRDefault="00AF5D25" w:rsidP="00141ABA">
            <w:pPr>
              <w:spacing w:after="0" w:line="240" w:lineRule="auto"/>
              <w:rPr>
                <w:rFonts w:ascii="Calibri" w:eastAsia="Times New Roman" w:hAnsi="Calibri" w:cs="Arial"/>
                <w:color w:val="000000"/>
                <w:sz w:val="18"/>
                <w:szCs w:val="18"/>
              </w:rPr>
            </w:pPr>
          </w:p>
        </w:tc>
        <w:tc>
          <w:tcPr>
            <w:tcW w:w="1408" w:type="dxa"/>
            <w:tcBorders>
              <w:top w:val="single" w:sz="2" w:space="0" w:color="A6A6A6" w:themeColor="background1" w:themeShade="A6"/>
              <w:left w:val="nil"/>
              <w:bottom w:val="single" w:sz="4" w:space="0" w:color="auto"/>
              <w:right w:val="nil"/>
            </w:tcBorders>
            <w:shd w:val="clear" w:color="000000" w:fill="FFFFFF"/>
            <w:noWrap/>
            <w:hideMark/>
          </w:tcPr>
          <w:p w14:paraId="65B304D5" w14:textId="77777777" w:rsidR="00AF5D25" w:rsidRPr="00762A2E" w:rsidRDefault="00AF5D25" w:rsidP="00141ABA">
            <w:pPr>
              <w:spacing w:after="0" w:line="240" w:lineRule="auto"/>
              <w:ind w:right="-108"/>
              <w:rPr>
                <w:rFonts w:ascii="Calibri" w:eastAsia="Times New Roman" w:hAnsi="Calibri" w:cs="Arial"/>
                <w:i/>
                <w:iCs/>
                <w:color w:val="000000"/>
                <w:sz w:val="18"/>
                <w:szCs w:val="18"/>
              </w:rPr>
            </w:pPr>
            <w:r w:rsidRPr="00762A2E">
              <w:rPr>
                <w:rFonts w:ascii="Calibri" w:eastAsia="Times New Roman" w:hAnsi="Calibri" w:cs="Arial"/>
                <w:i/>
                <w:iCs/>
                <w:color w:val="000000"/>
                <w:sz w:val="18"/>
                <w:szCs w:val="18"/>
              </w:rPr>
              <w:t>FANCD1 (BRCA2)</w:t>
            </w:r>
          </w:p>
          <w:p w14:paraId="1FCD3A0C" w14:textId="77777777" w:rsidR="00AF5D25" w:rsidRPr="00762A2E" w:rsidRDefault="00AF5D25" w:rsidP="00141ABA">
            <w:pPr>
              <w:spacing w:after="0" w:line="240" w:lineRule="auto"/>
              <w:rPr>
                <w:rFonts w:ascii="Calibri" w:eastAsia="Times New Roman" w:hAnsi="Calibri" w:cs="Arial"/>
                <w:i/>
                <w:iCs/>
                <w:color w:val="000000"/>
                <w:sz w:val="18"/>
                <w:szCs w:val="18"/>
              </w:rPr>
            </w:pPr>
            <w:r w:rsidRPr="00762A2E">
              <w:rPr>
                <w:rFonts w:ascii="Calibri" w:eastAsia="Times New Roman" w:hAnsi="Calibri" w:cs="Arial"/>
                <w:color w:val="000000"/>
                <w:sz w:val="18"/>
                <w:szCs w:val="18"/>
              </w:rPr>
              <w:t>NM_000059</w:t>
            </w:r>
          </w:p>
        </w:tc>
        <w:tc>
          <w:tcPr>
            <w:tcW w:w="1190" w:type="dxa"/>
            <w:tcBorders>
              <w:top w:val="single" w:sz="2" w:space="0" w:color="A6A6A6" w:themeColor="background1" w:themeShade="A6"/>
              <w:left w:val="nil"/>
              <w:bottom w:val="single" w:sz="4" w:space="0" w:color="auto"/>
              <w:right w:val="nil"/>
            </w:tcBorders>
            <w:shd w:val="clear" w:color="000000" w:fill="FFFFFF"/>
            <w:noWrap/>
            <w:hideMark/>
          </w:tcPr>
          <w:p w14:paraId="1F38A099"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c.7863T&gt;A</w:t>
            </w:r>
          </w:p>
          <w:p w14:paraId="5A75D6EF"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p.Y2621X</w:t>
            </w:r>
          </w:p>
        </w:tc>
        <w:tc>
          <w:tcPr>
            <w:tcW w:w="618" w:type="dxa"/>
            <w:tcBorders>
              <w:top w:val="single" w:sz="2" w:space="0" w:color="A6A6A6" w:themeColor="background1" w:themeShade="A6"/>
              <w:left w:val="nil"/>
              <w:bottom w:val="single" w:sz="4" w:space="0" w:color="auto"/>
              <w:right w:val="nil"/>
            </w:tcBorders>
            <w:shd w:val="clear" w:color="000000" w:fill="FFFFFF"/>
            <w:noWrap/>
            <w:hideMark/>
          </w:tcPr>
          <w:p w14:paraId="75C3885B"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het</w:t>
            </w:r>
          </w:p>
        </w:tc>
        <w:tc>
          <w:tcPr>
            <w:tcW w:w="1169" w:type="dxa"/>
            <w:tcBorders>
              <w:top w:val="single" w:sz="2" w:space="0" w:color="A6A6A6" w:themeColor="background1" w:themeShade="A6"/>
              <w:left w:val="nil"/>
              <w:bottom w:val="single" w:sz="4" w:space="0" w:color="auto"/>
              <w:right w:val="nil"/>
            </w:tcBorders>
            <w:shd w:val="clear" w:color="000000" w:fill="FFFFFF"/>
            <w:noWrap/>
            <w:hideMark/>
          </w:tcPr>
          <w:p w14:paraId="6952FCB9" w14:textId="6BC80E8F" w:rsidR="00AF5D25" w:rsidRPr="00762A2E" w:rsidRDefault="00AF5D25" w:rsidP="00F02804">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44%/ 61</w:t>
            </w:r>
          </w:p>
        </w:tc>
        <w:tc>
          <w:tcPr>
            <w:tcW w:w="1417" w:type="dxa"/>
            <w:tcBorders>
              <w:top w:val="single" w:sz="2" w:space="0" w:color="A6A6A6" w:themeColor="background1" w:themeShade="A6"/>
              <w:left w:val="nil"/>
              <w:bottom w:val="single" w:sz="4" w:space="0" w:color="auto"/>
              <w:right w:val="nil"/>
            </w:tcBorders>
            <w:shd w:val="clear" w:color="000000" w:fill="FFFFFF"/>
          </w:tcPr>
          <w:p w14:paraId="2FB6342D"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none</w:t>
            </w:r>
          </w:p>
        </w:tc>
        <w:tc>
          <w:tcPr>
            <w:tcW w:w="851" w:type="dxa"/>
            <w:tcBorders>
              <w:top w:val="single" w:sz="2" w:space="0" w:color="A6A6A6" w:themeColor="background1" w:themeShade="A6"/>
              <w:left w:val="nil"/>
              <w:bottom w:val="single" w:sz="4" w:space="0" w:color="auto"/>
              <w:right w:val="nil"/>
            </w:tcBorders>
            <w:shd w:val="clear" w:color="000000" w:fill="FFFFFF"/>
            <w:noWrap/>
            <w:hideMark/>
          </w:tcPr>
          <w:p w14:paraId="7BFC7C8F" w14:textId="1506D7BC"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40</w:t>
            </w:r>
            <w:r w:rsidR="00F02804" w:rsidRPr="00762A2E">
              <w:rPr>
                <w:rFonts w:ascii="Calibri" w:eastAsia="Times New Roman" w:hAnsi="Calibri" w:cs="Arial"/>
                <w:color w:val="000000"/>
                <w:sz w:val="18"/>
                <w:szCs w:val="18"/>
              </w:rPr>
              <w:t xml:space="preserve">/ </w:t>
            </w:r>
            <w:r w:rsidR="00F02804" w:rsidRPr="00762A2E">
              <w:rPr>
                <w:rFonts w:ascii="Calibri" w:eastAsia="Times New Roman" w:hAnsi="Calibri" w:cs="Arial"/>
                <w:color w:val="000000"/>
                <w:sz w:val="18"/>
                <w:szCs w:val="18"/>
              </w:rPr>
              <w:br/>
              <w:t>LP, C4</w:t>
            </w:r>
          </w:p>
        </w:tc>
        <w:tc>
          <w:tcPr>
            <w:tcW w:w="6379" w:type="dxa"/>
            <w:tcBorders>
              <w:top w:val="single" w:sz="2" w:space="0" w:color="A6A6A6" w:themeColor="background1" w:themeShade="A6"/>
              <w:left w:val="nil"/>
              <w:bottom w:val="single" w:sz="4" w:space="0" w:color="auto"/>
              <w:right w:val="nil"/>
            </w:tcBorders>
            <w:shd w:val="clear" w:color="000000" w:fill="FFFFFF"/>
            <w:hideMark/>
          </w:tcPr>
          <w:p w14:paraId="0691E3D7" w14:textId="77777777" w:rsidR="00241F46"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 xml:space="preserve">Biallelic mutations cause FA; </w:t>
            </w:r>
          </w:p>
          <w:p w14:paraId="20436E77" w14:textId="603E9520" w:rsidR="00AF5D25" w:rsidRPr="00762A2E" w:rsidRDefault="00241F46"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 xml:space="preserve">heterozygous </w:t>
            </w:r>
            <w:r w:rsidR="00AF5D25" w:rsidRPr="00762A2E">
              <w:rPr>
                <w:rFonts w:ascii="Calibri" w:eastAsia="Times New Roman" w:hAnsi="Calibri" w:cs="Arial"/>
                <w:color w:val="000000"/>
                <w:sz w:val="18"/>
                <w:szCs w:val="18"/>
              </w:rPr>
              <w:t>VUS not considered disease-causing in this patient</w:t>
            </w:r>
          </w:p>
        </w:tc>
      </w:tr>
      <w:tr w:rsidR="00AF5D25" w:rsidRPr="00762A2E" w14:paraId="2724CB7D" w14:textId="77777777" w:rsidTr="00141ABA">
        <w:trPr>
          <w:trHeight w:val="510"/>
        </w:trPr>
        <w:tc>
          <w:tcPr>
            <w:tcW w:w="757" w:type="dxa"/>
            <w:tcBorders>
              <w:top w:val="nil"/>
              <w:left w:val="nil"/>
              <w:bottom w:val="single" w:sz="4" w:space="0" w:color="000000"/>
              <w:right w:val="nil"/>
            </w:tcBorders>
            <w:shd w:val="clear" w:color="000000" w:fill="FFFFFF"/>
            <w:noWrap/>
            <w:hideMark/>
          </w:tcPr>
          <w:p w14:paraId="2F31996C"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P3</w:t>
            </w:r>
          </w:p>
        </w:tc>
        <w:tc>
          <w:tcPr>
            <w:tcW w:w="1408" w:type="dxa"/>
            <w:tcBorders>
              <w:top w:val="nil"/>
              <w:left w:val="nil"/>
              <w:bottom w:val="single" w:sz="2" w:space="0" w:color="A6A6A6" w:themeColor="background1" w:themeShade="A6"/>
              <w:right w:val="nil"/>
            </w:tcBorders>
            <w:shd w:val="clear" w:color="000000" w:fill="FFFFFF"/>
            <w:noWrap/>
            <w:hideMark/>
          </w:tcPr>
          <w:p w14:paraId="1CD7A0A0" w14:textId="77777777" w:rsidR="00AF5D25" w:rsidRPr="00762A2E" w:rsidRDefault="00AF5D25" w:rsidP="00141ABA">
            <w:pPr>
              <w:spacing w:after="0" w:line="240" w:lineRule="auto"/>
              <w:rPr>
                <w:rFonts w:ascii="Calibri" w:eastAsia="Times New Roman" w:hAnsi="Calibri" w:cs="Arial"/>
                <w:i/>
                <w:iCs/>
                <w:color w:val="000000"/>
                <w:sz w:val="18"/>
                <w:szCs w:val="18"/>
              </w:rPr>
            </w:pPr>
            <w:r w:rsidRPr="00762A2E">
              <w:rPr>
                <w:rFonts w:ascii="Calibri" w:eastAsia="Times New Roman" w:hAnsi="Calibri" w:cs="Arial"/>
                <w:i/>
                <w:iCs/>
                <w:color w:val="000000"/>
                <w:sz w:val="18"/>
                <w:szCs w:val="18"/>
              </w:rPr>
              <w:t>GATA2</w:t>
            </w:r>
          </w:p>
          <w:p w14:paraId="1739CC2E" w14:textId="77777777" w:rsidR="00AF5D25" w:rsidRPr="00762A2E" w:rsidRDefault="00AF5D25" w:rsidP="00141ABA">
            <w:pPr>
              <w:spacing w:after="0" w:line="240" w:lineRule="auto"/>
              <w:rPr>
                <w:rFonts w:ascii="Calibri" w:eastAsia="Times New Roman" w:hAnsi="Calibri" w:cs="Arial"/>
                <w:i/>
                <w:iCs/>
                <w:color w:val="000000"/>
                <w:sz w:val="18"/>
                <w:szCs w:val="18"/>
              </w:rPr>
            </w:pPr>
            <w:r w:rsidRPr="00762A2E">
              <w:rPr>
                <w:rFonts w:ascii="Calibri" w:eastAsia="Times New Roman" w:hAnsi="Calibri" w:cs="Arial"/>
                <w:color w:val="000000"/>
                <w:sz w:val="18"/>
                <w:szCs w:val="18"/>
              </w:rPr>
              <w:t>NM_032638.4</w:t>
            </w:r>
          </w:p>
        </w:tc>
        <w:tc>
          <w:tcPr>
            <w:tcW w:w="1190" w:type="dxa"/>
            <w:tcBorders>
              <w:top w:val="nil"/>
              <w:left w:val="nil"/>
              <w:bottom w:val="single" w:sz="2" w:space="0" w:color="A6A6A6" w:themeColor="background1" w:themeShade="A6"/>
              <w:right w:val="nil"/>
            </w:tcBorders>
            <w:shd w:val="clear" w:color="000000" w:fill="FFFFFF"/>
            <w:noWrap/>
            <w:hideMark/>
          </w:tcPr>
          <w:p w14:paraId="1F5AC114"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c.351C&gt;G</w:t>
            </w:r>
          </w:p>
          <w:p w14:paraId="77ADD0DD"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p.T177T</w:t>
            </w:r>
          </w:p>
        </w:tc>
        <w:tc>
          <w:tcPr>
            <w:tcW w:w="618" w:type="dxa"/>
            <w:tcBorders>
              <w:top w:val="nil"/>
              <w:left w:val="nil"/>
              <w:bottom w:val="single" w:sz="2" w:space="0" w:color="A6A6A6" w:themeColor="background1" w:themeShade="A6"/>
              <w:right w:val="nil"/>
            </w:tcBorders>
            <w:shd w:val="clear" w:color="000000" w:fill="FFFFFF"/>
            <w:noWrap/>
            <w:hideMark/>
          </w:tcPr>
          <w:p w14:paraId="62329BC1"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het</w:t>
            </w:r>
          </w:p>
        </w:tc>
        <w:tc>
          <w:tcPr>
            <w:tcW w:w="1169" w:type="dxa"/>
            <w:tcBorders>
              <w:top w:val="nil"/>
              <w:left w:val="nil"/>
              <w:bottom w:val="single" w:sz="2" w:space="0" w:color="A6A6A6" w:themeColor="background1" w:themeShade="A6"/>
              <w:right w:val="nil"/>
            </w:tcBorders>
            <w:shd w:val="clear" w:color="000000" w:fill="FFFFFF"/>
            <w:noWrap/>
            <w:hideMark/>
          </w:tcPr>
          <w:p w14:paraId="4A8E237D" w14:textId="74E36641" w:rsidR="00AF5D25" w:rsidRPr="00762A2E" w:rsidRDefault="00AF5D25" w:rsidP="00F02804">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47%/ 130</w:t>
            </w:r>
          </w:p>
        </w:tc>
        <w:tc>
          <w:tcPr>
            <w:tcW w:w="1417" w:type="dxa"/>
            <w:tcBorders>
              <w:top w:val="nil"/>
              <w:left w:val="nil"/>
              <w:bottom w:val="single" w:sz="2" w:space="0" w:color="A6A6A6" w:themeColor="background1" w:themeShade="A6"/>
              <w:right w:val="nil"/>
            </w:tcBorders>
            <w:shd w:val="clear" w:color="000000" w:fill="FFFFFF"/>
          </w:tcPr>
          <w:p w14:paraId="49F44D39"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none</w:t>
            </w:r>
          </w:p>
        </w:tc>
        <w:tc>
          <w:tcPr>
            <w:tcW w:w="851" w:type="dxa"/>
            <w:tcBorders>
              <w:top w:val="nil"/>
              <w:left w:val="nil"/>
              <w:bottom w:val="single" w:sz="2" w:space="0" w:color="A6A6A6" w:themeColor="background1" w:themeShade="A6"/>
              <w:right w:val="nil"/>
            </w:tcBorders>
            <w:shd w:val="clear" w:color="000000" w:fill="FFFFFF"/>
            <w:noWrap/>
            <w:hideMark/>
          </w:tcPr>
          <w:p w14:paraId="3C43633E" w14:textId="1C650561" w:rsidR="00AF5D25" w:rsidRPr="00762A2E" w:rsidRDefault="00AF5D25" w:rsidP="00F02804">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10.</w:t>
            </w:r>
            <w:r w:rsidR="00514284" w:rsidRPr="00762A2E">
              <w:rPr>
                <w:rFonts w:ascii="Calibri" w:eastAsia="Times New Roman" w:hAnsi="Calibri" w:cs="Arial"/>
                <w:color w:val="000000"/>
                <w:sz w:val="18"/>
                <w:szCs w:val="18"/>
              </w:rPr>
              <w:t>5</w:t>
            </w:r>
            <w:r w:rsidR="00F02804" w:rsidRPr="00762A2E">
              <w:rPr>
                <w:rFonts w:ascii="Calibri" w:eastAsia="Times New Roman" w:hAnsi="Calibri" w:cs="Arial"/>
                <w:color w:val="000000"/>
                <w:sz w:val="18"/>
                <w:szCs w:val="18"/>
              </w:rPr>
              <w:t>/</w:t>
            </w:r>
            <w:r w:rsidR="00F02804" w:rsidRPr="00762A2E">
              <w:rPr>
                <w:rFonts w:ascii="Calibri" w:eastAsia="Times New Roman" w:hAnsi="Calibri" w:cs="Arial"/>
                <w:color w:val="000000"/>
                <w:sz w:val="18"/>
                <w:szCs w:val="18"/>
              </w:rPr>
              <w:br/>
              <w:t>B</w:t>
            </w:r>
          </w:p>
        </w:tc>
        <w:tc>
          <w:tcPr>
            <w:tcW w:w="6379" w:type="dxa"/>
            <w:tcBorders>
              <w:top w:val="nil"/>
              <w:left w:val="nil"/>
              <w:bottom w:val="single" w:sz="2" w:space="0" w:color="A6A6A6" w:themeColor="background1" w:themeShade="A6"/>
              <w:right w:val="nil"/>
            </w:tcBorders>
            <w:shd w:val="clear" w:color="000000" w:fill="FFFFFF"/>
            <w:hideMark/>
          </w:tcPr>
          <w:p w14:paraId="00430BB5" w14:textId="2593388E"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 xml:space="preserve">Causes monoallelic </w:t>
            </w:r>
            <w:r w:rsidRPr="00762A2E">
              <w:rPr>
                <w:rFonts w:ascii="Calibri" w:eastAsia="Times New Roman" w:hAnsi="Calibri" w:cs="Arial"/>
                <w:i/>
                <w:color w:val="000000"/>
                <w:sz w:val="18"/>
                <w:szCs w:val="18"/>
              </w:rPr>
              <w:t>GATA2</w:t>
            </w:r>
            <w:r w:rsidRPr="00762A2E">
              <w:rPr>
                <w:rFonts w:ascii="Calibri" w:eastAsia="Times New Roman" w:hAnsi="Calibri" w:cs="Arial"/>
                <w:color w:val="000000"/>
                <w:sz w:val="18"/>
                <w:szCs w:val="18"/>
              </w:rPr>
              <w:t xml:space="preserve"> RNA degradation</w:t>
            </w:r>
            <w:r w:rsidR="00241F46" w:rsidRPr="00762A2E">
              <w:rPr>
                <w:rFonts w:ascii="Calibri" w:eastAsia="Times New Roman" w:hAnsi="Calibri" w:cs="Arial"/>
                <w:color w:val="000000"/>
                <w:sz w:val="18"/>
                <w:szCs w:val="18"/>
              </w:rPr>
              <w:t xml:space="preserve"> (shown here)</w:t>
            </w:r>
          </w:p>
        </w:tc>
      </w:tr>
      <w:tr w:rsidR="00AF5D25" w:rsidRPr="00762A2E" w14:paraId="1421B386" w14:textId="77777777" w:rsidTr="00141ABA">
        <w:trPr>
          <w:trHeight w:val="510"/>
        </w:trPr>
        <w:tc>
          <w:tcPr>
            <w:tcW w:w="757" w:type="dxa"/>
            <w:vMerge w:val="restart"/>
            <w:tcBorders>
              <w:top w:val="nil"/>
              <w:left w:val="nil"/>
              <w:bottom w:val="single" w:sz="4" w:space="0" w:color="000000"/>
              <w:right w:val="nil"/>
            </w:tcBorders>
            <w:shd w:val="clear" w:color="000000" w:fill="FFFFFF"/>
            <w:noWrap/>
            <w:hideMark/>
          </w:tcPr>
          <w:p w14:paraId="499F3EBF"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P4</w:t>
            </w:r>
          </w:p>
        </w:tc>
        <w:tc>
          <w:tcPr>
            <w:tcW w:w="1408" w:type="dxa"/>
            <w:tcBorders>
              <w:top w:val="single" w:sz="4" w:space="0" w:color="auto"/>
              <w:left w:val="nil"/>
              <w:bottom w:val="single" w:sz="2" w:space="0" w:color="A6A6A6" w:themeColor="background1" w:themeShade="A6"/>
              <w:right w:val="nil"/>
            </w:tcBorders>
            <w:shd w:val="clear" w:color="000000" w:fill="FFFFFF"/>
            <w:noWrap/>
            <w:hideMark/>
          </w:tcPr>
          <w:p w14:paraId="7D37006C" w14:textId="77777777" w:rsidR="00AF5D25" w:rsidRPr="00762A2E" w:rsidRDefault="00AF5D25" w:rsidP="00141ABA">
            <w:pPr>
              <w:spacing w:after="0" w:line="240" w:lineRule="auto"/>
              <w:rPr>
                <w:rFonts w:ascii="Calibri" w:eastAsia="Times New Roman" w:hAnsi="Calibri" w:cs="Arial"/>
                <w:i/>
                <w:iCs/>
                <w:color w:val="000000"/>
                <w:sz w:val="18"/>
                <w:szCs w:val="18"/>
              </w:rPr>
            </w:pPr>
            <w:r w:rsidRPr="00762A2E">
              <w:rPr>
                <w:rFonts w:ascii="Calibri" w:eastAsia="Times New Roman" w:hAnsi="Calibri" w:cs="Arial"/>
                <w:i/>
                <w:iCs/>
                <w:color w:val="000000"/>
                <w:sz w:val="18"/>
                <w:szCs w:val="18"/>
              </w:rPr>
              <w:t>GATA2</w:t>
            </w:r>
          </w:p>
          <w:p w14:paraId="421823AC" w14:textId="77777777" w:rsidR="00AF5D25" w:rsidRPr="00762A2E" w:rsidRDefault="00AF5D25" w:rsidP="00141ABA">
            <w:pPr>
              <w:spacing w:after="0" w:line="240" w:lineRule="auto"/>
              <w:rPr>
                <w:rFonts w:ascii="Calibri" w:eastAsia="Times New Roman" w:hAnsi="Calibri" w:cs="Arial"/>
                <w:i/>
                <w:iCs/>
                <w:color w:val="000000"/>
                <w:sz w:val="18"/>
                <w:szCs w:val="18"/>
              </w:rPr>
            </w:pPr>
            <w:r w:rsidRPr="00762A2E">
              <w:rPr>
                <w:rFonts w:ascii="Calibri" w:eastAsia="Times New Roman" w:hAnsi="Calibri" w:cs="Arial"/>
                <w:color w:val="000000"/>
                <w:sz w:val="18"/>
                <w:szCs w:val="18"/>
              </w:rPr>
              <w:t>NM_032638.4</w:t>
            </w:r>
          </w:p>
        </w:tc>
        <w:tc>
          <w:tcPr>
            <w:tcW w:w="1190" w:type="dxa"/>
            <w:tcBorders>
              <w:top w:val="single" w:sz="4" w:space="0" w:color="auto"/>
              <w:left w:val="nil"/>
              <w:bottom w:val="single" w:sz="2" w:space="0" w:color="A6A6A6" w:themeColor="background1" w:themeShade="A6"/>
              <w:right w:val="nil"/>
            </w:tcBorders>
            <w:shd w:val="clear" w:color="000000" w:fill="FFFFFF"/>
            <w:noWrap/>
            <w:hideMark/>
          </w:tcPr>
          <w:p w14:paraId="331D61D1"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c.649C&gt;T</w:t>
            </w:r>
          </w:p>
          <w:p w14:paraId="093E4AB9"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p.L217L</w:t>
            </w:r>
          </w:p>
        </w:tc>
        <w:tc>
          <w:tcPr>
            <w:tcW w:w="618" w:type="dxa"/>
            <w:tcBorders>
              <w:top w:val="single" w:sz="4" w:space="0" w:color="auto"/>
              <w:left w:val="nil"/>
              <w:bottom w:val="single" w:sz="2" w:space="0" w:color="A6A6A6" w:themeColor="background1" w:themeShade="A6"/>
              <w:right w:val="nil"/>
            </w:tcBorders>
            <w:shd w:val="clear" w:color="000000" w:fill="FFFFFF"/>
            <w:noWrap/>
            <w:hideMark/>
          </w:tcPr>
          <w:p w14:paraId="35C54CBC"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het</w:t>
            </w:r>
          </w:p>
        </w:tc>
        <w:tc>
          <w:tcPr>
            <w:tcW w:w="1169" w:type="dxa"/>
            <w:tcBorders>
              <w:top w:val="single" w:sz="4" w:space="0" w:color="auto"/>
              <w:left w:val="nil"/>
              <w:bottom w:val="single" w:sz="2" w:space="0" w:color="A6A6A6" w:themeColor="background1" w:themeShade="A6"/>
              <w:right w:val="nil"/>
            </w:tcBorders>
            <w:shd w:val="clear" w:color="000000" w:fill="FFFFFF"/>
            <w:noWrap/>
            <w:hideMark/>
          </w:tcPr>
          <w:p w14:paraId="6D1DA49B" w14:textId="52D6B171" w:rsidR="00AF5D25" w:rsidRPr="00762A2E" w:rsidRDefault="00AF5D25" w:rsidP="00F02804">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48%/ 196</w:t>
            </w:r>
          </w:p>
        </w:tc>
        <w:tc>
          <w:tcPr>
            <w:tcW w:w="1417" w:type="dxa"/>
            <w:tcBorders>
              <w:top w:val="single" w:sz="4" w:space="0" w:color="auto"/>
              <w:left w:val="nil"/>
              <w:bottom w:val="single" w:sz="2" w:space="0" w:color="A6A6A6" w:themeColor="background1" w:themeShade="A6"/>
              <w:right w:val="nil"/>
            </w:tcBorders>
            <w:shd w:val="clear" w:color="000000" w:fill="FFFFFF"/>
          </w:tcPr>
          <w:p w14:paraId="2540C61F" w14:textId="2F1FA66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0.001%</w:t>
            </w:r>
          </w:p>
          <w:p w14:paraId="40FD57D2"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(2/246096)</w:t>
            </w:r>
          </w:p>
        </w:tc>
        <w:tc>
          <w:tcPr>
            <w:tcW w:w="851" w:type="dxa"/>
            <w:tcBorders>
              <w:top w:val="single" w:sz="4" w:space="0" w:color="auto"/>
              <w:left w:val="nil"/>
              <w:bottom w:val="single" w:sz="2" w:space="0" w:color="A6A6A6" w:themeColor="background1" w:themeShade="A6"/>
              <w:right w:val="nil"/>
            </w:tcBorders>
            <w:shd w:val="clear" w:color="000000" w:fill="FFFFFF"/>
            <w:noWrap/>
            <w:hideMark/>
          </w:tcPr>
          <w:p w14:paraId="521EF4D8" w14:textId="6A8C12CF" w:rsidR="00AF5D25" w:rsidRPr="00762A2E" w:rsidRDefault="00AF5D25" w:rsidP="00514284">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10.7</w:t>
            </w:r>
            <w:r w:rsidR="00F02804" w:rsidRPr="00762A2E">
              <w:rPr>
                <w:rFonts w:ascii="Calibri" w:eastAsia="Times New Roman" w:hAnsi="Calibri" w:cs="Arial"/>
                <w:color w:val="000000"/>
                <w:sz w:val="18"/>
                <w:szCs w:val="18"/>
              </w:rPr>
              <w:t>/</w:t>
            </w:r>
            <w:r w:rsidR="00F02804" w:rsidRPr="00762A2E">
              <w:rPr>
                <w:rFonts w:ascii="Calibri" w:eastAsia="Times New Roman" w:hAnsi="Calibri" w:cs="Arial"/>
                <w:color w:val="000000"/>
                <w:sz w:val="18"/>
                <w:szCs w:val="18"/>
              </w:rPr>
              <w:br/>
              <w:t>B</w:t>
            </w:r>
          </w:p>
        </w:tc>
        <w:tc>
          <w:tcPr>
            <w:tcW w:w="6379" w:type="dxa"/>
            <w:tcBorders>
              <w:top w:val="single" w:sz="4" w:space="0" w:color="auto"/>
              <w:left w:val="nil"/>
              <w:bottom w:val="single" w:sz="2" w:space="0" w:color="A6A6A6" w:themeColor="background1" w:themeShade="A6"/>
              <w:right w:val="nil"/>
            </w:tcBorders>
            <w:shd w:val="clear" w:color="000000" w:fill="FFFFFF"/>
            <w:hideMark/>
          </w:tcPr>
          <w:p w14:paraId="08A3EF58" w14:textId="1D451EB9"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 xml:space="preserve">Causes partial </w:t>
            </w:r>
            <w:r w:rsidRPr="00762A2E">
              <w:rPr>
                <w:rFonts w:ascii="Calibri" w:eastAsia="Times New Roman" w:hAnsi="Calibri" w:cs="Arial"/>
                <w:i/>
                <w:color w:val="000000"/>
                <w:sz w:val="18"/>
                <w:szCs w:val="18"/>
              </w:rPr>
              <w:t>GATA2</w:t>
            </w:r>
            <w:r w:rsidRPr="00762A2E">
              <w:rPr>
                <w:rFonts w:ascii="Calibri" w:eastAsia="Times New Roman" w:hAnsi="Calibri" w:cs="Arial"/>
                <w:color w:val="000000"/>
                <w:sz w:val="18"/>
                <w:szCs w:val="18"/>
              </w:rPr>
              <w:t xml:space="preserve"> RNA degradation</w:t>
            </w:r>
            <w:r w:rsidR="00241F46" w:rsidRPr="00762A2E">
              <w:rPr>
                <w:rFonts w:ascii="Calibri" w:eastAsia="Times New Roman" w:hAnsi="Calibri" w:cs="Arial"/>
                <w:color w:val="000000"/>
                <w:sz w:val="18"/>
                <w:szCs w:val="18"/>
              </w:rPr>
              <w:t xml:space="preserve"> (shown here)</w:t>
            </w:r>
          </w:p>
        </w:tc>
      </w:tr>
      <w:tr w:rsidR="00AF5D25" w:rsidRPr="00762A2E" w14:paraId="24BFBC67" w14:textId="77777777" w:rsidTr="00141ABA">
        <w:trPr>
          <w:trHeight w:val="591"/>
        </w:trPr>
        <w:tc>
          <w:tcPr>
            <w:tcW w:w="757" w:type="dxa"/>
            <w:vMerge/>
            <w:tcBorders>
              <w:top w:val="nil"/>
              <w:left w:val="nil"/>
              <w:bottom w:val="single" w:sz="4" w:space="0" w:color="000000"/>
              <w:right w:val="nil"/>
            </w:tcBorders>
            <w:vAlign w:val="center"/>
            <w:hideMark/>
          </w:tcPr>
          <w:p w14:paraId="6BF0EA21" w14:textId="77777777" w:rsidR="00AF5D25" w:rsidRPr="00762A2E" w:rsidRDefault="00AF5D25" w:rsidP="00141ABA">
            <w:pPr>
              <w:spacing w:after="0" w:line="240" w:lineRule="auto"/>
              <w:rPr>
                <w:rFonts w:ascii="Calibri" w:eastAsia="Times New Roman" w:hAnsi="Calibri" w:cs="Arial"/>
                <w:color w:val="000000"/>
                <w:sz w:val="18"/>
                <w:szCs w:val="18"/>
              </w:rPr>
            </w:pPr>
          </w:p>
        </w:tc>
        <w:tc>
          <w:tcPr>
            <w:tcW w:w="1408" w:type="dxa"/>
            <w:tcBorders>
              <w:top w:val="single" w:sz="2" w:space="0" w:color="A6A6A6" w:themeColor="background1" w:themeShade="A6"/>
              <w:left w:val="nil"/>
              <w:bottom w:val="single" w:sz="4" w:space="0" w:color="auto"/>
              <w:right w:val="nil"/>
            </w:tcBorders>
            <w:shd w:val="clear" w:color="000000" w:fill="FFFFFF"/>
            <w:noWrap/>
            <w:hideMark/>
          </w:tcPr>
          <w:p w14:paraId="1452D4A6" w14:textId="77777777" w:rsidR="00AF5D25" w:rsidRPr="00762A2E" w:rsidRDefault="00AF5D25" w:rsidP="00141ABA">
            <w:pPr>
              <w:spacing w:after="0" w:line="240" w:lineRule="auto"/>
              <w:rPr>
                <w:rFonts w:ascii="Calibri" w:eastAsia="Times New Roman" w:hAnsi="Calibri" w:cs="Arial"/>
                <w:i/>
                <w:iCs/>
                <w:color w:val="000000"/>
                <w:sz w:val="18"/>
                <w:szCs w:val="18"/>
              </w:rPr>
            </w:pPr>
            <w:r w:rsidRPr="00762A2E">
              <w:rPr>
                <w:rFonts w:ascii="Calibri" w:eastAsia="Times New Roman" w:hAnsi="Calibri" w:cs="Arial"/>
                <w:i/>
                <w:iCs/>
                <w:color w:val="000000"/>
                <w:sz w:val="18"/>
                <w:szCs w:val="18"/>
              </w:rPr>
              <w:t>MAP2K1</w:t>
            </w:r>
          </w:p>
          <w:p w14:paraId="48B4A412" w14:textId="77777777" w:rsidR="00AF5D25" w:rsidRPr="00762A2E" w:rsidRDefault="00AF5D25" w:rsidP="00141ABA">
            <w:pPr>
              <w:spacing w:after="0" w:line="240" w:lineRule="auto"/>
              <w:rPr>
                <w:rFonts w:ascii="Calibri" w:eastAsia="Times New Roman" w:hAnsi="Calibri" w:cs="Arial"/>
                <w:iCs/>
                <w:color w:val="000000"/>
                <w:sz w:val="18"/>
                <w:szCs w:val="18"/>
              </w:rPr>
            </w:pPr>
            <w:r w:rsidRPr="00762A2E">
              <w:rPr>
                <w:rFonts w:ascii="Calibri" w:eastAsia="Times New Roman" w:hAnsi="Calibri" w:cs="Arial"/>
                <w:iCs/>
                <w:color w:val="000000"/>
                <w:sz w:val="18"/>
                <w:szCs w:val="18"/>
              </w:rPr>
              <w:t>NM_002755</w:t>
            </w:r>
          </w:p>
        </w:tc>
        <w:tc>
          <w:tcPr>
            <w:tcW w:w="1190" w:type="dxa"/>
            <w:tcBorders>
              <w:top w:val="single" w:sz="2" w:space="0" w:color="A6A6A6" w:themeColor="background1" w:themeShade="A6"/>
              <w:left w:val="nil"/>
              <w:bottom w:val="single" w:sz="4" w:space="0" w:color="auto"/>
              <w:right w:val="nil"/>
            </w:tcBorders>
            <w:shd w:val="clear" w:color="000000" w:fill="FFFFFF"/>
            <w:noWrap/>
            <w:hideMark/>
          </w:tcPr>
          <w:p w14:paraId="5507101E"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c.65G&gt;T</w:t>
            </w:r>
          </w:p>
          <w:p w14:paraId="0B0236FA"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p.G22V</w:t>
            </w:r>
          </w:p>
        </w:tc>
        <w:tc>
          <w:tcPr>
            <w:tcW w:w="618" w:type="dxa"/>
            <w:tcBorders>
              <w:top w:val="single" w:sz="2" w:space="0" w:color="A6A6A6" w:themeColor="background1" w:themeShade="A6"/>
              <w:left w:val="nil"/>
              <w:bottom w:val="single" w:sz="4" w:space="0" w:color="auto"/>
              <w:right w:val="nil"/>
            </w:tcBorders>
            <w:shd w:val="clear" w:color="000000" w:fill="FFFFFF"/>
            <w:noWrap/>
            <w:hideMark/>
          </w:tcPr>
          <w:p w14:paraId="6F03D3C2"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het</w:t>
            </w:r>
          </w:p>
        </w:tc>
        <w:tc>
          <w:tcPr>
            <w:tcW w:w="1169" w:type="dxa"/>
            <w:tcBorders>
              <w:top w:val="single" w:sz="2" w:space="0" w:color="A6A6A6" w:themeColor="background1" w:themeShade="A6"/>
              <w:left w:val="nil"/>
              <w:bottom w:val="single" w:sz="4" w:space="0" w:color="auto"/>
              <w:right w:val="nil"/>
            </w:tcBorders>
            <w:shd w:val="clear" w:color="000000" w:fill="FFFFFF"/>
            <w:noWrap/>
            <w:hideMark/>
          </w:tcPr>
          <w:p w14:paraId="00DFA980" w14:textId="7235A132" w:rsidR="00AF5D25" w:rsidRPr="00762A2E" w:rsidRDefault="00AF5D25" w:rsidP="00F02804">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45%/ 300</w:t>
            </w:r>
          </w:p>
        </w:tc>
        <w:tc>
          <w:tcPr>
            <w:tcW w:w="1417" w:type="dxa"/>
            <w:tcBorders>
              <w:top w:val="single" w:sz="2" w:space="0" w:color="A6A6A6" w:themeColor="background1" w:themeShade="A6"/>
              <w:left w:val="nil"/>
              <w:bottom w:val="single" w:sz="4" w:space="0" w:color="auto"/>
              <w:right w:val="nil"/>
            </w:tcBorders>
            <w:shd w:val="clear" w:color="000000" w:fill="FFFFFF"/>
          </w:tcPr>
          <w:p w14:paraId="1F7635E5"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none</w:t>
            </w:r>
          </w:p>
        </w:tc>
        <w:tc>
          <w:tcPr>
            <w:tcW w:w="851" w:type="dxa"/>
            <w:tcBorders>
              <w:top w:val="single" w:sz="2" w:space="0" w:color="A6A6A6" w:themeColor="background1" w:themeShade="A6"/>
              <w:left w:val="nil"/>
              <w:bottom w:val="single" w:sz="4" w:space="0" w:color="auto"/>
              <w:right w:val="nil"/>
            </w:tcBorders>
            <w:shd w:val="clear" w:color="000000" w:fill="FFFFFF"/>
            <w:noWrap/>
            <w:hideMark/>
          </w:tcPr>
          <w:p w14:paraId="14FE53FC" w14:textId="1ABA6E5C"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22.4</w:t>
            </w:r>
            <w:r w:rsidR="00F02804" w:rsidRPr="00762A2E">
              <w:rPr>
                <w:rFonts w:ascii="Calibri" w:eastAsia="Times New Roman" w:hAnsi="Calibri" w:cs="Arial"/>
                <w:color w:val="000000"/>
                <w:sz w:val="18"/>
                <w:szCs w:val="18"/>
              </w:rPr>
              <w:t>/</w:t>
            </w:r>
            <w:r w:rsidR="00F02804" w:rsidRPr="00762A2E">
              <w:rPr>
                <w:rFonts w:ascii="Calibri" w:eastAsia="Times New Roman" w:hAnsi="Calibri" w:cs="Arial"/>
                <w:color w:val="000000"/>
                <w:sz w:val="18"/>
                <w:szCs w:val="18"/>
              </w:rPr>
              <w:br/>
              <w:t>LP, C1</w:t>
            </w:r>
          </w:p>
        </w:tc>
        <w:tc>
          <w:tcPr>
            <w:tcW w:w="6379" w:type="dxa"/>
            <w:tcBorders>
              <w:top w:val="single" w:sz="2" w:space="0" w:color="A6A6A6" w:themeColor="background1" w:themeShade="A6"/>
              <w:left w:val="nil"/>
              <w:bottom w:val="single" w:sz="4" w:space="0" w:color="auto"/>
              <w:right w:val="nil"/>
            </w:tcBorders>
            <w:shd w:val="clear" w:color="000000" w:fill="FFFFFF"/>
            <w:hideMark/>
          </w:tcPr>
          <w:p w14:paraId="7BE89597" w14:textId="006D432A"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 xml:space="preserve">Monoallelic mutations in the MEK functional domain (starting at amino acid 62) cause Noonan/CFC syndrome; VUS found here is outside of </w:t>
            </w:r>
            <w:r w:rsidR="001D7ECD" w:rsidRPr="00762A2E">
              <w:rPr>
                <w:rFonts w:ascii="Calibri" w:eastAsia="Times New Roman" w:hAnsi="Calibri" w:cs="Arial"/>
                <w:color w:val="000000"/>
                <w:sz w:val="18"/>
                <w:szCs w:val="18"/>
              </w:rPr>
              <w:t xml:space="preserve">a </w:t>
            </w:r>
            <w:r w:rsidRPr="00762A2E">
              <w:rPr>
                <w:rFonts w:ascii="Calibri" w:eastAsia="Times New Roman" w:hAnsi="Calibri" w:cs="Arial"/>
                <w:color w:val="000000"/>
                <w:sz w:val="18"/>
                <w:szCs w:val="18"/>
              </w:rPr>
              <w:t>functional domain and not considered disease-causing in this patient</w:t>
            </w:r>
          </w:p>
        </w:tc>
      </w:tr>
      <w:tr w:rsidR="00AF5D25" w:rsidRPr="00762A2E" w14:paraId="39C999D9" w14:textId="77777777" w:rsidTr="00141ABA">
        <w:trPr>
          <w:trHeight w:val="510"/>
        </w:trPr>
        <w:tc>
          <w:tcPr>
            <w:tcW w:w="757" w:type="dxa"/>
            <w:vMerge w:val="restart"/>
            <w:tcBorders>
              <w:top w:val="nil"/>
              <w:left w:val="nil"/>
              <w:bottom w:val="single" w:sz="4" w:space="0" w:color="000000"/>
              <w:right w:val="nil"/>
            </w:tcBorders>
            <w:shd w:val="clear" w:color="000000" w:fill="FFFFFF"/>
            <w:noWrap/>
            <w:hideMark/>
          </w:tcPr>
          <w:p w14:paraId="6AAB84EC"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P5</w:t>
            </w:r>
          </w:p>
        </w:tc>
        <w:tc>
          <w:tcPr>
            <w:tcW w:w="1408" w:type="dxa"/>
            <w:tcBorders>
              <w:top w:val="single" w:sz="4" w:space="0" w:color="auto"/>
              <w:left w:val="nil"/>
              <w:bottom w:val="single" w:sz="2" w:space="0" w:color="A6A6A6" w:themeColor="background1" w:themeShade="A6"/>
              <w:right w:val="nil"/>
            </w:tcBorders>
            <w:shd w:val="clear" w:color="000000" w:fill="FFFFFF"/>
            <w:noWrap/>
            <w:hideMark/>
          </w:tcPr>
          <w:p w14:paraId="511732D7" w14:textId="77777777" w:rsidR="00AF5D25" w:rsidRPr="00762A2E" w:rsidRDefault="00AF5D25" w:rsidP="00141ABA">
            <w:pPr>
              <w:spacing w:after="0" w:line="240" w:lineRule="auto"/>
              <w:rPr>
                <w:rFonts w:ascii="Calibri" w:eastAsia="Times New Roman" w:hAnsi="Calibri" w:cs="Arial"/>
                <w:i/>
                <w:iCs/>
                <w:color w:val="000000"/>
                <w:sz w:val="18"/>
                <w:szCs w:val="18"/>
              </w:rPr>
            </w:pPr>
            <w:r w:rsidRPr="00762A2E">
              <w:rPr>
                <w:rFonts w:ascii="Calibri" w:eastAsia="Times New Roman" w:hAnsi="Calibri" w:cs="Arial"/>
                <w:i/>
                <w:iCs/>
                <w:color w:val="000000"/>
                <w:sz w:val="18"/>
                <w:szCs w:val="18"/>
              </w:rPr>
              <w:t>GATA2</w:t>
            </w:r>
          </w:p>
          <w:p w14:paraId="02064B89" w14:textId="77777777" w:rsidR="00AF5D25" w:rsidRPr="00762A2E" w:rsidRDefault="00AF5D25" w:rsidP="00141ABA">
            <w:pPr>
              <w:spacing w:after="0" w:line="240" w:lineRule="auto"/>
              <w:rPr>
                <w:rFonts w:ascii="Calibri" w:eastAsia="Times New Roman" w:hAnsi="Calibri" w:cs="Arial"/>
                <w:i/>
                <w:iCs/>
                <w:color w:val="000000"/>
                <w:sz w:val="18"/>
                <w:szCs w:val="18"/>
              </w:rPr>
            </w:pPr>
            <w:r w:rsidRPr="00762A2E">
              <w:rPr>
                <w:rFonts w:ascii="Calibri" w:eastAsia="Times New Roman" w:hAnsi="Calibri" w:cs="Arial"/>
                <w:color w:val="000000"/>
                <w:sz w:val="18"/>
                <w:szCs w:val="18"/>
              </w:rPr>
              <w:t>NM_032638.4</w:t>
            </w:r>
          </w:p>
        </w:tc>
        <w:tc>
          <w:tcPr>
            <w:tcW w:w="1190" w:type="dxa"/>
            <w:tcBorders>
              <w:top w:val="single" w:sz="4" w:space="0" w:color="auto"/>
              <w:left w:val="nil"/>
              <w:bottom w:val="single" w:sz="2" w:space="0" w:color="A6A6A6" w:themeColor="background1" w:themeShade="A6"/>
              <w:right w:val="nil"/>
            </w:tcBorders>
            <w:shd w:val="clear" w:color="000000" w:fill="FFFFFF"/>
            <w:noWrap/>
            <w:hideMark/>
          </w:tcPr>
          <w:p w14:paraId="468C69B0"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c.981G&gt;A</w:t>
            </w:r>
          </w:p>
          <w:p w14:paraId="13BF5125"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p.G327G</w:t>
            </w:r>
          </w:p>
        </w:tc>
        <w:tc>
          <w:tcPr>
            <w:tcW w:w="618" w:type="dxa"/>
            <w:tcBorders>
              <w:top w:val="single" w:sz="4" w:space="0" w:color="auto"/>
              <w:left w:val="nil"/>
              <w:bottom w:val="single" w:sz="2" w:space="0" w:color="A6A6A6" w:themeColor="background1" w:themeShade="A6"/>
              <w:right w:val="nil"/>
            </w:tcBorders>
            <w:shd w:val="clear" w:color="000000" w:fill="FFFFFF"/>
            <w:noWrap/>
            <w:hideMark/>
          </w:tcPr>
          <w:p w14:paraId="2D98B882"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het</w:t>
            </w:r>
          </w:p>
        </w:tc>
        <w:tc>
          <w:tcPr>
            <w:tcW w:w="1169" w:type="dxa"/>
            <w:tcBorders>
              <w:top w:val="single" w:sz="4" w:space="0" w:color="auto"/>
              <w:left w:val="nil"/>
              <w:bottom w:val="single" w:sz="2" w:space="0" w:color="A6A6A6" w:themeColor="background1" w:themeShade="A6"/>
              <w:right w:val="nil"/>
            </w:tcBorders>
            <w:shd w:val="clear" w:color="000000" w:fill="FFFFFF"/>
            <w:noWrap/>
            <w:hideMark/>
          </w:tcPr>
          <w:p w14:paraId="56EB1251" w14:textId="070E19DF" w:rsidR="00AF5D25" w:rsidRPr="00762A2E" w:rsidRDefault="00AF5D25" w:rsidP="00F02804">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52%/</w:t>
            </w:r>
            <w:r w:rsidR="00F02804" w:rsidRPr="00762A2E">
              <w:rPr>
                <w:rFonts w:ascii="Calibri" w:eastAsia="Times New Roman" w:hAnsi="Calibri" w:cs="Arial"/>
                <w:color w:val="000000"/>
                <w:sz w:val="18"/>
                <w:szCs w:val="18"/>
              </w:rPr>
              <w:t xml:space="preserve"> </w:t>
            </w:r>
            <w:r w:rsidRPr="00762A2E">
              <w:rPr>
                <w:rFonts w:ascii="Calibri" w:eastAsia="Times New Roman" w:hAnsi="Calibri" w:cs="Arial"/>
                <w:color w:val="000000"/>
                <w:sz w:val="18"/>
                <w:szCs w:val="18"/>
              </w:rPr>
              <w:t>156</w:t>
            </w:r>
          </w:p>
        </w:tc>
        <w:tc>
          <w:tcPr>
            <w:tcW w:w="1417" w:type="dxa"/>
            <w:tcBorders>
              <w:top w:val="single" w:sz="4" w:space="0" w:color="auto"/>
              <w:left w:val="nil"/>
              <w:bottom w:val="single" w:sz="2" w:space="0" w:color="A6A6A6" w:themeColor="background1" w:themeShade="A6"/>
              <w:right w:val="nil"/>
            </w:tcBorders>
            <w:shd w:val="clear" w:color="000000" w:fill="FFFFFF"/>
          </w:tcPr>
          <w:p w14:paraId="132A8505"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none</w:t>
            </w:r>
          </w:p>
        </w:tc>
        <w:tc>
          <w:tcPr>
            <w:tcW w:w="851" w:type="dxa"/>
            <w:tcBorders>
              <w:top w:val="single" w:sz="4" w:space="0" w:color="auto"/>
              <w:left w:val="nil"/>
              <w:bottom w:val="single" w:sz="2" w:space="0" w:color="A6A6A6" w:themeColor="background1" w:themeShade="A6"/>
              <w:right w:val="nil"/>
            </w:tcBorders>
            <w:shd w:val="clear" w:color="000000" w:fill="FFFFFF"/>
            <w:noWrap/>
            <w:hideMark/>
          </w:tcPr>
          <w:p w14:paraId="613DD141" w14:textId="7D288D1E"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18.5</w:t>
            </w:r>
            <w:r w:rsidR="00F02804" w:rsidRPr="00762A2E">
              <w:rPr>
                <w:rFonts w:ascii="Calibri" w:eastAsia="Times New Roman" w:hAnsi="Calibri" w:cs="Arial"/>
                <w:color w:val="000000"/>
                <w:sz w:val="18"/>
                <w:szCs w:val="18"/>
              </w:rPr>
              <w:t>/</w:t>
            </w:r>
            <w:r w:rsidR="00F02804" w:rsidRPr="00762A2E">
              <w:rPr>
                <w:rFonts w:ascii="Calibri" w:eastAsia="Times New Roman" w:hAnsi="Calibri" w:cs="Arial"/>
                <w:color w:val="000000"/>
                <w:sz w:val="18"/>
                <w:szCs w:val="18"/>
              </w:rPr>
              <w:br/>
              <w:t>B</w:t>
            </w:r>
          </w:p>
        </w:tc>
        <w:tc>
          <w:tcPr>
            <w:tcW w:w="6379" w:type="dxa"/>
            <w:tcBorders>
              <w:top w:val="single" w:sz="4" w:space="0" w:color="auto"/>
              <w:left w:val="nil"/>
              <w:bottom w:val="single" w:sz="2" w:space="0" w:color="A6A6A6" w:themeColor="background1" w:themeShade="A6"/>
              <w:right w:val="nil"/>
            </w:tcBorders>
            <w:shd w:val="clear" w:color="000000" w:fill="FFFFFF"/>
            <w:hideMark/>
          </w:tcPr>
          <w:p w14:paraId="1B918C8C"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 xml:space="preserve">Causes monoallelic </w:t>
            </w:r>
            <w:r w:rsidRPr="00762A2E">
              <w:rPr>
                <w:rFonts w:ascii="Calibri" w:eastAsia="Times New Roman" w:hAnsi="Calibri" w:cs="Arial"/>
                <w:i/>
                <w:color w:val="000000"/>
                <w:sz w:val="18"/>
                <w:szCs w:val="18"/>
              </w:rPr>
              <w:t>GATA2</w:t>
            </w:r>
            <w:r w:rsidRPr="00762A2E">
              <w:rPr>
                <w:rFonts w:ascii="Calibri" w:eastAsia="Times New Roman" w:hAnsi="Calibri" w:cs="Arial"/>
                <w:color w:val="000000"/>
                <w:sz w:val="18"/>
                <w:szCs w:val="18"/>
              </w:rPr>
              <w:t xml:space="preserve"> RNA degradation</w:t>
            </w:r>
          </w:p>
        </w:tc>
      </w:tr>
      <w:tr w:rsidR="00AF5D25" w:rsidRPr="00762A2E" w14:paraId="32C20E8D" w14:textId="77777777" w:rsidTr="00141ABA">
        <w:trPr>
          <w:trHeight w:val="547"/>
        </w:trPr>
        <w:tc>
          <w:tcPr>
            <w:tcW w:w="757" w:type="dxa"/>
            <w:vMerge/>
            <w:tcBorders>
              <w:top w:val="nil"/>
              <w:left w:val="nil"/>
              <w:bottom w:val="single" w:sz="4" w:space="0" w:color="000000"/>
              <w:right w:val="nil"/>
            </w:tcBorders>
            <w:vAlign w:val="center"/>
          </w:tcPr>
          <w:p w14:paraId="061FDC26" w14:textId="77777777" w:rsidR="00AF5D25" w:rsidRPr="00762A2E" w:rsidRDefault="00AF5D25" w:rsidP="00141ABA">
            <w:pPr>
              <w:spacing w:after="0" w:line="240" w:lineRule="auto"/>
              <w:rPr>
                <w:rFonts w:ascii="Calibri" w:eastAsia="Times New Roman" w:hAnsi="Calibri" w:cs="Arial"/>
                <w:color w:val="000000"/>
                <w:sz w:val="18"/>
                <w:szCs w:val="18"/>
              </w:rPr>
            </w:pPr>
          </w:p>
        </w:tc>
        <w:tc>
          <w:tcPr>
            <w:tcW w:w="1408" w:type="dxa"/>
            <w:tcBorders>
              <w:top w:val="single" w:sz="2" w:space="0" w:color="A6A6A6" w:themeColor="background1" w:themeShade="A6"/>
              <w:left w:val="nil"/>
              <w:bottom w:val="single" w:sz="4" w:space="0" w:color="auto"/>
              <w:right w:val="nil"/>
            </w:tcBorders>
            <w:shd w:val="clear" w:color="000000" w:fill="FFFFFF"/>
            <w:noWrap/>
          </w:tcPr>
          <w:p w14:paraId="0F4D47C5" w14:textId="77777777" w:rsidR="00AF5D25" w:rsidRPr="00762A2E" w:rsidRDefault="00AF5D25" w:rsidP="00141ABA">
            <w:pPr>
              <w:spacing w:after="0" w:line="240" w:lineRule="auto"/>
              <w:rPr>
                <w:rFonts w:ascii="Calibri" w:eastAsia="Times New Roman" w:hAnsi="Calibri" w:cs="Arial"/>
                <w:i/>
                <w:iCs/>
                <w:color w:val="000000"/>
                <w:sz w:val="18"/>
                <w:szCs w:val="18"/>
              </w:rPr>
            </w:pPr>
            <w:r w:rsidRPr="00762A2E">
              <w:rPr>
                <w:rFonts w:ascii="Calibri" w:eastAsia="Times New Roman" w:hAnsi="Calibri" w:cs="Arial"/>
                <w:i/>
                <w:iCs/>
                <w:color w:val="000000"/>
                <w:sz w:val="18"/>
                <w:szCs w:val="18"/>
              </w:rPr>
              <w:t>PIGT</w:t>
            </w:r>
          </w:p>
          <w:p w14:paraId="22C6F941" w14:textId="77777777" w:rsidR="00AF5D25" w:rsidRPr="00762A2E" w:rsidRDefault="00AF5D25" w:rsidP="00141ABA">
            <w:pPr>
              <w:spacing w:after="0" w:line="240" w:lineRule="auto"/>
              <w:rPr>
                <w:rFonts w:ascii="Calibri" w:eastAsia="Times New Roman" w:hAnsi="Calibri" w:cs="Arial"/>
                <w:iCs/>
                <w:color w:val="000000"/>
                <w:sz w:val="18"/>
                <w:szCs w:val="18"/>
              </w:rPr>
            </w:pPr>
            <w:r w:rsidRPr="00762A2E">
              <w:rPr>
                <w:rFonts w:ascii="Calibri" w:eastAsia="Times New Roman" w:hAnsi="Calibri" w:cs="Arial"/>
                <w:iCs/>
                <w:color w:val="000000"/>
                <w:sz w:val="18"/>
                <w:szCs w:val="18"/>
              </w:rPr>
              <w:t>NM_015937</w:t>
            </w:r>
          </w:p>
        </w:tc>
        <w:tc>
          <w:tcPr>
            <w:tcW w:w="1190" w:type="dxa"/>
            <w:tcBorders>
              <w:top w:val="single" w:sz="2" w:space="0" w:color="A6A6A6" w:themeColor="background1" w:themeShade="A6"/>
              <w:left w:val="nil"/>
              <w:bottom w:val="single" w:sz="4" w:space="0" w:color="auto"/>
              <w:right w:val="nil"/>
            </w:tcBorders>
            <w:shd w:val="clear" w:color="000000" w:fill="FFFFFF"/>
            <w:noWrap/>
          </w:tcPr>
          <w:p w14:paraId="4654FE4A"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c.514C&gt;T</w:t>
            </w:r>
          </w:p>
          <w:p w14:paraId="45AC4841"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p.R172C</w:t>
            </w:r>
          </w:p>
        </w:tc>
        <w:tc>
          <w:tcPr>
            <w:tcW w:w="618" w:type="dxa"/>
            <w:tcBorders>
              <w:top w:val="single" w:sz="2" w:space="0" w:color="A6A6A6" w:themeColor="background1" w:themeShade="A6"/>
              <w:left w:val="nil"/>
              <w:bottom w:val="single" w:sz="4" w:space="0" w:color="auto"/>
              <w:right w:val="nil"/>
            </w:tcBorders>
            <w:shd w:val="clear" w:color="000000" w:fill="FFFFFF"/>
            <w:noWrap/>
          </w:tcPr>
          <w:p w14:paraId="7D5CCA9D"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het</w:t>
            </w:r>
          </w:p>
        </w:tc>
        <w:tc>
          <w:tcPr>
            <w:tcW w:w="1169" w:type="dxa"/>
            <w:tcBorders>
              <w:top w:val="single" w:sz="2" w:space="0" w:color="A6A6A6" w:themeColor="background1" w:themeShade="A6"/>
              <w:left w:val="nil"/>
              <w:bottom w:val="single" w:sz="4" w:space="0" w:color="auto"/>
              <w:right w:val="nil"/>
            </w:tcBorders>
            <w:shd w:val="clear" w:color="000000" w:fill="FFFFFF"/>
            <w:noWrap/>
          </w:tcPr>
          <w:p w14:paraId="6BD5E38A" w14:textId="43032686" w:rsidR="00AF5D25" w:rsidRPr="00762A2E" w:rsidRDefault="00AF5D25" w:rsidP="00F02804">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47%</w:t>
            </w:r>
            <w:r w:rsidR="00F02804" w:rsidRPr="00762A2E">
              <w:rPr>
                <w:rFonts w:ascii="Calibri" w:eastAsia="Times New Roman" w:hAnsi="Calibri" w:cs="Arial"/>
                <w:color w:val="000000"/>
                <w:sz w:val="18"/>
                <w:szCs w:val="18"/>
              </w:rPr>
              <w:t xml:space="preserve">/ </w:t>
            </w:r>
            <w:r w:rsidRPr="00762A2E">
              <w:rPr>
                <w:rFonts w:ascii="Calibri" w:eastAsia="Times New Roman" w:hAnsi="Calibri" w:cs="Arial"/>
                <w:color w:val="000000"/>
                <w:sz w:val="18"/>
                <w:szCs w:val="18"/>
              </w:rPr>
              <w:t>177</w:t>
            </w:r>
          </w:p>
        </w:tc>
        <w:tc>
          <w:tcPr>
            <w:tcW w:w="1417" w:type="dxa"/>
            <w:tcBorders>
              <w:top w:val="single" w:sz="2" w:space="0" w:color="A6A6A6" w:themeColor="background1" w:themeShade="A6"/>
              <w:left w:val="nil"/>
              <w:bottom w:val="single" w:sz="4" w:space="0" w:color="auto"/>
              <w:right w:val="nil"/>
            </w:tcBorders>
            <w:shd w:val="clear" w:color="000000" w:fill="FFFFFF"/>
          </w:tcPr>
          <w:p w14:paraId="078724BD"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0.001% (3/245988)</w:t>
            </w:r>
          </w:p>
        </w:tc>
        <w:tc>
          <w:tcPr>
            <w:tcW w:w="851" w:type="dxa"/>
            <w:tcBorders>
              <w:top w:val="single" w:sz="2" w:space="0" w:color="A6A6A6" w:themeColor="background1" w:themeShade="A6"/>
              <w:left w:val="nil"/>
              <w:bottom w:val="single" w:sz="4" w:space="0" w:color="auto"/>
              <w:right w:val="nil"/>
            </w:tcBorders>
            <w:shd w:val="clear" w:color="000000" w:fill="FFFFFF"/>
            <w:noWrap/>
          </w:tcPr>
          <w:p w14:paraId="66992706" w14:textId="73495730"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35</w:t>
            </w:r>
            <w:r w:rsidR="00F02804" w:rsidRPr="00762A2E">
              <w:rPr>
                <w:rFonts w:ascii="Calibri" w:eastAsia="Times New Roman" w:hAnsi="Calibri" w:cs="Arial"/>
                <w:color w:val="000000"/>
                <w:sz w:val="18"/>
                <w:szCs w:val="18"/>
              </w:rPr>
              <w:t>/</w:t>
            </w:r>
            <w:r w:rsidR="00F02804" w:rsidRPr="00762A2E">
              <w:rPr>
                <w:rFonts w:ascii="Calibri" w:eastAsia="Times New Roman" w:hAnsi="Calibri" w:cs="Arial"/>
                <w:color w:val="000000"/>
                <w:sz w:val="18"/>
                <w:szCs w:val="18"/>
              </w:rPr>
              <w:br/>
              <w:t>LP, C4</w:t>
            </w:r>
          </w:p>
        </w:tc>
        <w:tc>
          <w:tcPr>
            <w:tcW w:w="6379" w:type="dxa"/>
            <w:tcBorders>
              <w:top w:val="single" w:sz="2" w:space="0" w:color="A6A6A6" w:themeColor="background1" w:themeShade="A6"/>
              <w:left w:val="nil"/>
              <w:bottom w:val="single" w:sz="4" w:space="0" w:color="auto"/>
              <w:right w:val="nil"/>
            </w:tcBorders>
            <w:shd w:val="clear" w:color="000000" w:fill="FFFFFF"/>
          </w:tcPr>
          <w:p w14:paraId="60B58DCD" w14:textId="77777777" w:rsidR="00241F46"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 xml:space="preserve">Monoallelic germline splice site mutation in </w:t>
            </w:r>
            <w:r w:rsidRPr="00762A2E">
              <w:rPr>
                <w:rFonts w:ascii="Calibri" w:eastAsia="Times New Roman" w:hAnsi="Calibri" w:cs="Arial"/>
                <w:i/>
                <w:color w:val="000000"/>
                <w:sz w:val="18"/>
                <w:szCs w:val="18"/>
              </w:rPr>
              <w:t>PIGT</w:t>
            </w:r>
            <w:r w:rsidRPr="00762A2E">
              <w:rPr>
                <w:rFonts w:ascii="Calibri" w:eastAsia="Times New Roman" w:hAnsi="Calibri" w:cs="Arial"/>
                <w:color w:val="000000"/>
                <w:sz w:val="18"/>
                <w:szCs w:val="18"/>
              </w:rPr>
              <w:t xml:space="preserve"> has been reported in a single patient with PNH</w:t>
            </w:r>
            <w:r w:rsidR="00D84EFE" w:rsidRPr="00762A2E">
              <w:rPr>
                <w:rFonts w:ascii="Calibri" w:eastAsia="Times New Roman" w:hAnsi="Calibri" w:cs="Arial"/>
                <w:color w:val="000000"/>
                <w:sz w:val="18"/>
                <w:szCs w:val="18"/>
              </w:rPr>
              <w:t>-</w:t>
            </w:r>
            <w:r w:rsidRPr="00762A2E">
              <w:rPr>
                <w:rFonts w:ascii="Calibri" w:eastAsia="Times New Roman" w:hAnsi="Calibri" w:cs="Arial"/>
                <w:color w:val="000000"/>
                <w:sz w:val="18"/>
                <w:szCs w:val="18"/>
              </w:rPr>
              <w:t xml:space="preserve">2 disease presenting with severe hemolysis; </w:t>
            </w:r>
          </w:p>
          <w:p w14:paraId="1C7AEC25" w14:textId="04C21B05" w:rsidR="00AF5D25" w:rsidRPr="00762A2E" w:rsidRDefault="00241F46"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 xml:space="preserve">heterozygous </w:t>
            </w:r>
            <w:r w:rsidR="00AF5D25" w:rsidRPr="00762A2E">
              <w:rPr>
                <w:rFonts w:ascii="Calibri" w:eastAsia="Times New Roman" w:hAnsi="Calibri" w:cs="Arial"/>
                <w:color w:val="000000"/>
                <w:sz w:val="18"/>
                <w:szCs w:val="18"/>
              </w:rPr>
              <w:t>VUS not considered disease-causing in this patient</w:t>
            </w:r>
          </w:p>
        </w:tc>
      </w:tr>
      <w:tr w:rsidR="00AF5D25" w:rsidRPr="00762A2E" w14:paraId="3F9D9171" w14:textId="77777777" w:rsidTr="00141ABA">
        <w:trPr>
          <w:trHeight w:val="510"/>
        </w:trPr>
        <w:tc>
          <w:tcPr>
            <w:tcW w:w="757" w:type="dxa"/>
            <w:vMerge w:val="restart"/>
            <w:tcBorders>
              <w:top w:val="nil"/>
              <w:left w:val="nil"/>
              <w:bottom w:val="single" w:sz="4" w:space="0" w:color="000000"/>
              <w:right w:val="nil"/>
            </w:tcBorders>
            <w:shd w:val="clear" w:color="000000" w:fill="FFFFFF"/>
            <w:noWrap/>
            <w:hideMark/>
          </w:tcPr>
          <w:p w14:paraId="59B4F929"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P6</w:t>
            </w:r>
          </w:p>
        </w:tc>
        <w:tc>
          <w:tcPr>
            <w:tcW w:w="1408" w:type="dxa"/>
            <w:tcBorders>
              <w:top w:val="nil"/>
              <w:left w:val="nil"/>
              <w:bottom w:val="single" w:sz="2" w:space="0" w:color="A6A6A6" w:themeColor="background1" w:themeShade="A6"/>
              <w:right w:val="nil"/>
            </w:tcBorders>
            <w:shd w:val="clear" w:color="000000" w:fill="FFFFFF"/>
            <w:noWrap/>
            <w:hideMark/>
          </w:tcPr>
          <w:p w14:paraId="0EC76DBE" w14:textId="77777777" w:rsidR="00AF5D25" w:rsidRPr="00762A2E" w:rsidRDefault="00AF5D25" w:rsidP="00141ABA">
            <w:pPr>
              <w:spacing w:after="0" w:line="240" w:lineRule="auto"/>
              <w:rPr>
                <w:rFonts w:ascii="Calibri" w:eastAsia="Times New Roman" w:hAnsi="Calibri" w:cs="Arial"/>
                <w:i/>
                <w:iCs/>
                <w:color w:val="000000"/>
                <w:sz w:val="18"/>
                <w:szCs w:val="18"/>
              </w:rPr>
            </w:pPr>
            <w:r w:rsidRPr="00762A2E">
              <w:rPr>
                <w:rFonts w:ascii="Calibri" w:eastAsia="Times New Roman" w:hAnsi="Calibri" w:cs="Arial"/>
                <w:i/>
                <w:iCs/>
                <w:color w:val="000000"/>
                <w:sz w:val="18"/>
                <w:szCs w:val="18"/>
              </w:rPr>
              <w:t>GATA2</w:t>
            </w:r>
          </w:p>
          <w:p w14:paraId="13C9CF51" w14:textId="77777777" w:rsidR="00AF5D25" w:rsidRPr="00762A2E" w:rsidRDefault="00AF5D25" w:rsidP="00141ABA">
            <w:pPr>
              <w:spacing w:after="0" w:line="240" w:lineRule="auto"/>
              <w:rPr>
                <w:rFonts w:ascii="Calibri" w:eastAsia="Times New Roman" w:hAnsi="Calibri" w:cs="Arial"/>
                <w:i/>
                <w:iCs/>
                <w:color w:val="000000"/>
                <w:sz w:val="18"/>
                <w:szCs w:val="18"/>
              </w:rPr>
            </w:pPr>
            <w:r w:rsidRPr="00762A2E">
              <w:rPr>
                <w:rFonts w:ascii="Calibri" w:eastAsia="Times New Roman" w:hAnsi="Calibri" w:cs="Arial"/>
                <w:color w:val="000000"/>
                <w:sz w:val="18"/>
                <w:szCs w:val="18"/>
              </w:rPr>
              <w:t>NM_032638.4</w:t>
            </w:r>
          </w:p>
        </w:tc>
        <w:tc>
          <w:tcPr>
            <w:tcW w:w="1190" w:type="dxa"/>
            <w:tcBorders>
              <w:top w:val="nil"/>
              <w:left w:val="nil"/>
              <w:bottom w:val="single" w:sz="2" w:space="0" w:color="A6A6A6" w:themeColor="background1" w:themeShade="A6"/>
              <w:right w:val="nil"/>
            </w:tcBorders>
            <w:shd w:val="clear" w:color="000000" w:fill="FFFFFF"/>
            <w:noWrap/>
            <w:hideMark/>
          </w:tcPr>
          <w:p w14:paraId="4023203B"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c.1023C&gt;T</w:t>
            </w:r>
          </w:p>
          <w:p w14:paraId="1E984E0E"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p.A341A</w:t>
            </w:r>
          </w:p>
        </w:tc>
        <w:tc>
          <w:tcPr>
            <w:tcW w:w="618" w:type="dxa"/>
            <w:tcBorders>
              <w:top w:val="nil"/>
              <w:left w:val="nil"/>
              <w:bottom w:val="single" w:sz="2" w:space="0" w:color="A6A6A6" w:themeColor="background1" w:themeShade="A6"/>
              <w:right w:val="nil"/>
            </w:tcBorders>
            <w:shd w:val="clear" w:color="000000" w:fill="FFFFFF"/>
            <w:noWrap/>
            <w:hideMark/>
          </w:tcPr>
          <w:p w14:paraId="53F721A9"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het</w:t>
            </w:r>
          </w:p>
        </w:tc>
        <w:tc>
          <w:tcPr>
            <w:tcW w:w="1169" w:type="dxa"/>
            <w:tcBorders>
              <w:top w:val="nil"/>
              <w:left w:val="nil"/>
              <w:bottom w:val="single" w:sz="2" w:space="0" w:color="A6A6A6" w:themeColor="background1" w:themeShade="A6"/>
              <w:right w:val="nil"/>
            </w:tcBorders>
            <w:shd w:val="clear" w:color="000000" w:fill="FFFFFF"/>
            <w:noWrap/>
            <w:hideMark/>
          </w:tcPr>
          <w:p w14:paraId="4AD34189" w14:textId="36EBB1F7" w:rsidR="00AF5D25" w:rsidRPr="00762A2E" w:rsidRDefault="00F02804"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47%</w:t>
            </w:r>
            <w:r w:rsidR="00AF5D25" w:rsidRPr="00762A2E">
              <w:rPr>
                <w:rFonts w:ascii="Calibri" w:eastAsia="Times New Roman" w:hAnsi="Calibri" w:cs="Arial"/>
                <w:color w:val="000000"/>
                <w:sz w:val="18"/>
                <w:szCs w:val="18"/>
              </w:rPr>
              <w:t>/</w:t>
            </w:r>
            <w:r w:rsidRPr="00762A2E">
              <w:rPr>
                <w:rFonts w:ascii="Calibri" w:eastAsia="Times New Roman" w:hAnsi="Calibri" w:cs="Arial"/>
                <w:color w:val="000000"/>
                <w:sz w:val="18"/>
                <w:szCs w:val="18"/>
              </w:rPr>
              <w:t xml:space="preserve"> </w:t>
            </w:r>
            <w:r w:rsidR="00AF5D25" w:rsidRPr="00762A2E">
              <w:rPr>
                <w:rFonts w:ascii="Calibri" w:eastAsia="Times New Roman" w:hAnsi="Calibri" w:cs="Arial"/>
                <w:color w:val="000000"/>
                <w:sz w:val="18"/>
                <w:szCs w:val="18"/>
              </w:rPr>
              <w:t>296</w:t>
            </w:r>
          </w:p>
        </w:tc>
        <w:tc>
          <w:tcPr>
            <w:tcW w:w="1417" w:type="dxa"/>
            <w:tcBorders>
              <w:top w:val="nil"/>
              <w:left w:val="nil"/>
              <w:bottom w:val="single" w:sz="2" w:space="0" w:color="A6A6A6" w:themeColor="background1" w:themeShade="A6"/>
              <w:right w:val="nil"/>
            </w:tcBorders>
            <w:shd w:val="clear" w:color="000000" w:fill="FFFFFF"/>
          </w:tcPr>
          <w:p w14:paraId="25860940"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0.002%                (6/275438)</w:t>
            </w:r>
          </w:p>
        </w:tc>
        <w:tc>
          <w:tcPr>
            <w:tcW w:w="851" w:type="dxa"/>
            <w:tcBorders>
              <w:top w:val="nil"/>
              <w:left w:val="nil"/>
              <w:bottom w:val="single" w:sz="2" w:space="0" w:color="A6A6A6" w:themeColor="background1" w:themeShade="A6"/>
              <w:right w:val="nil"/>
            </w:tcBorders>
            <w:shd w:val="clear" w:color="000000" w:fill="FFFFFF"/>
            <w:noWrap/>
            <w:hideMark/>
          </w:tcPr>
          <w:p w14:paraId="221DA5FB" w14:textId="5FA2D10F" w:rsidR="00AF5D25" w:rsidRPr="00762A2E" w:rsidRDefault="00AF5D25" w:rsidP="00514284">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15.4</w:t>
            </w:r>
            <w:r w:rsidR="00F02804" w:rsidRPr="00762A2E">
              <w:rPr>
                <w:rFonts w:ascii="Calibri" w:eastAsia="Times New Roman" w:hAnsi="Calibri" w:cs="Arial"/>
                <w:color w:val="000000"/>
                <w:sz w:val="18"/>
                <w:szCs w:val="18"/>
              </w:rPr>
              <w:t>/</w:t>
            </w:r>
            <w:r w:rsidR="00F02804" w:rsidRPr="00762A2E">
              <w:rPr>
                <w:rFonts w:ascii="Calibri" w:eastAsia="Times New Roman" w:hAnsi="Calibri" w:cs="Arial"/>
                <w:color w:val="000000"/>
                <w:sz w:val="18"/>
                <w:szCs w:val="18"/>
              </w:rPr>
              <w:br/>
              <w:t>B</w:t>
            </w:r>
          </w:p>
        </w:tc>
        <w:tc>
          <w:tcPr>
            <w:tcW w:w="6379" w:type="dxa"/>
            <w:tcBorders>
              <w:top w:val="nil"/>
              <w:left w:val="nil"/>
              <w:bottom w:val="single" w:sz="2" w:space="0" w:color="A6A6A6" w:themeColor="background1" w:themeShade="A6"/>
              <w:right w:val="nil"/>
            </w:tcBorders>
            <w:shd w:val="clear" w:color="000000" w:fill="FFFFFF"/>
            <w:hideMark/>
          </w:tcPr>
          <w:p w14:paraId="66755DD5"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 xml:space="preserve">Causes monoallelic </w:t>
            </w:r>
            <w:r w:rsidRPr="00762A2E">
              <w:rPr>
                <w:rFonts w:ascii="Calibri" w:eastAsia="Times New Roman" w:hAnsi="Calibri" w:cs="Arial"/>
                <w:i/>
                <w:color w:val="000000"/>
                <w:sz w:val="18"/>
                <w:szCs w:val="18"/>
              </w:rPr>
              <w:t>GATA2</w:t>
            </w:r>
            <w:r w:rsidRPr="00762A2E">
              <w:rPr>
                <w:rFonts w:ascii="Calibri" w:eastAsia="Times New Roman" w:hAnsi="Calibri" w:cs="Arial"/>
                <w:color w:val="000000"/>
                <w:sz w:val="18"/>
                <w:szCs w:val="18"/>
              </w:rPr>
              <w:t xml:space="preserve"> RNA degradation</w:t>
            </w:r>
          </w:p>
        </w:tc>
      </w:tr>
      <w:tr w:rsidR="00AF5D25" w:rsidRPr="00762A2E" w14:paraId="4A96A056" w14:textId="77777777" w:rsidTr="00141ABA">
        <w:trPr>
          <w:trHeight w:val="510"/>
        </w:trPr>
        <w:tc>
          <w:tcPr>
            <w:tcW w:w="757" w:type="dxa"/>
            <w:vMerge/>
            <w:tcBorders>
              <w:top w:val="nil"/>
              <w:left w:val="nil"/>
              <w:bottom w:val="single" w:sz="4" w:space="0" w:color="000000"/>
              <w:right w:val="nil"/>
            </w:tcBorders>
            <w:vAlign w:val="center"/>
            <w:hideMark/>
          </w:tcPr>
          <w:p w14:paraId="1AE16675" w14:textId="77777777" w:rsidR="00AF5D25" w:rsidRPr="00762A2E" w:rsidRDefault="00AF5D25" w:rsidP="00141ABA">
            <w:pPr>
              <w:spacing w:after="0" w:line="240" w:lineRule="auto"/>
              <w:rPr>
                <w:rFonts w:ascii="Calibri" w:eastAsia="Times New Roman" w:hAnsi="Calibri" w:cs="Arial"/>
                <w:color w:val="000000"/>
                <w:sz w:val="18"/>
                <w:szCs w:val="18"/>
              </w:rPr>
            </w:pPr>
          </w:p>
        </w:tc>
        <w:tc>
          <w:tcPr>
            <w:tcW w:w="1408" w:type="dxa"/>
            <w:tcBorders>
              <w:top w:val="single" w:sz="2" w:space="0" w:color="A6A6A6" w:themeColor="background1" w:themeShade="A6"/>
              <w:left w:val="nil"/>
              <w:bottom w:val="single" w:sz="2" w:space="0" w:color="A6A6A6" w:themeColor="background1" w:themeShade="A6"/>
              <w:right w:val="nil"/>
            </w:tcBorders>
            <w:shd w:val="clear" w:color="000000" w:fill="FFFFFF"/>
            <w:noWrap/>
            <w:hideMark/>
          </w:tcPr>
          <w:p w14:paraId="54245824" w14:textId="77777777" w:rsidR="00AF5D25" w:rsidRPr="00762A2E" w:rsidRDefault="00AF5D25" w:rsidP="00141ABA">
            <w:pPr>
              <w:spacing w:after="0" w:line="240" w:lineRule="auto"/>
              <w:rPr>
                <w:rFonts w:ascii="Calibri" w:eastAsia="Times New Roman" w:hAnsi="Calibri" w:cs="Arial"/>
                <w:i/>
                <w:iCs/>
                <w:color w:val="000000"/>
                <w:sz w:val="18"/>
                <w:szCs w:val="18"/>
              </w:rPr>
            </w:pPr>
            <w:r w:rsidRPr="00762A2E">
              <w:rPr>
                <w:rFonts w:ascii="Calibri" w:eastAsia="Times New Roman" w:hAnsi="Calibri" w:cs="Arial"/>
                <w:i/>
                <w:iCs/>
                <w:color w:val="000000"/>
                <w:sz w:val="18"/>
                <w:szCs w:val="18"/>
              </w:rPr>
              <w:t>SAMD9</w:t>
            </w:r>
          </w:p>
          <w:p w14:paraId="11563B6B" w14:textId="77777777" w:rsidR="00AF5D25" w:rsidRPr="00762A2E" w:rsidRDefault="00AF5D25" w:rsidP="00141ABA">
            <w:pPr>
              <w:spacing w:after="0" w:line="240" w:lineRule="auto"/>
              <w:rPr>
                <w:rFonts w:ascii="Calibri" w:eastAsia="Times New Roman" w:hAnsi="Calibri" w:cs="Arial"/>
                <w:i/>
                <w:iCs/>
                <w:color w:val="000000"/>
                <w:sz w:val="18"/>
                <w:szCs w:val="18"/>
              </w:rPr>
            </w:pPr>
            <w:r w:rsidRPr="00762A2E">
              <w:rPr>
                <w:rFonts w:ascii="Calibri" w:eastAsia="Times New Roman" w:hAnsi="Calibri" w:cs="Arial"/>
                <w:color w:val="000000"/>
                <w:sz w:val="18"/>
                <w:szCs w:val="18"/>
              </w:rPr>
              <w:t>NM_001193307</w:t>
            </w:r>
          </w:p>
        </w:tc>
        <w:tc>
          <w:tcPr>
            <w:tcW w:w="1190" w:type="dxa"/>
            <w:tcBorders>
              <w:top w:val="single" w:sz="2" w:space="0" w:color="A6A6A6" w:themeColor="background1" w:themeShade="A6"/>
              <w:left w:val="nil"/>
              <w:bottom w:val="single" w:sz="2" w:space="0" w:color="A6A6A6" w:themeColor="background1" w:themeShade="A6"/>
              <w:right w:val="nil"/>
            </w:tcBorders>
            <w:shd w:val="clear" w:color="000000" w:fill="FFFFFF"/>
            <w:noWrap/>
            <w:hideMark/>
          </w:tcPr>
          <w:p w14:paraId="34321F49"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c.1098delT</w:t>
            </w:r>
          </w:p>
          <w:p w14:paraId="01E6FBD4"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p.F366LfsX33</w:t>
            </w:r>
          </w:p>
        </w:tc>
        <w:tc>
          <w:tcPr>
            <w:tcW w:w="618" w:type="dxa"/>
            <w:tcBorders>
              <w:top w:val="single" w:sz="2" w:space="0" w:color="A6A6A6" w:themeColor="background1" w:themeShade="A6"/>
              <w:left w:val="nil"/>
              <w:bottom w:val="single" w:sz="2" w:space="0" w:color="A6A6A6" w:themeColor="background1" w:themeShade="A6"/>
              <w:right w:val="nil"/>
            </w:tcBorders>
            <w:shd w:val="clear" w:color="000000" w:fill="FFFFFF"/>
            <w:noWrap/>
            <w:hideMark/>
          </w:tcPr>
          <w:p w14:paraId="1557B25C"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het</w:t>
            </w:r>
          </w:p>
        </w:tc>
        <w:tc>
          <w:tcPr>
            <w:tcW w:w="1169" w:type="dxa"/>
            <w:tcBorders>
              <w:top w:val="single" w:sz="2" w:space="0" w:color="A6A6A6" w:themeColor="background1" w:themeShade="A6"/>
              <w:left w:val="nil"/>
              <w:bottom w:val="single" w:sz="2" w:space="0" w:color="A6A6A6" w:themeColor="background1" w:themeShade="A6"/>
              <w:right w:val="nil"/>
            </w:tcBorders>
            <w:shd w:val="clear" w:color="000000" w:fill="FFFFFF"/>
            <w:noWrap/>
            <w:hideMark/>
          </w:tcPr>
          <w:p w14:paraId="60622BB2" w14:textId="0B1717EA" w:rsidR="00AF5D25" w:rsidRPr="00762A2E" w:rsidRDefault="00AF5D25" w:rsidP="00F02804">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29%/ 52</w:t>
            </w:r>
          </w:p>
        </w:tc>
        <w:tc>
          <w:tcPr>
            <w:tcW w:w="1417" w:type="dxa"/>
            <w:tcBorders>
              <w:top w:val="single" w:sz="2" w:space="0" w:color="A6A6A6" w:themeColor="background1" w:themeShade="A6"/>
              <w:left w:val="nil"/>
              <w:bottom w:val="single" w:sz="2" w:space="0" w:color="A6A6A6" w:themeColor="background1" w:themeShade="A6"/>
              <w:right w:val="nil"/>
            </w:tcBorders>
            <w:shd w:val="clear" w:color="000000" w:fill="FFFFFF"/>
          </w:tcPr>
          <w:p w14:paraId="313325F4"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none</w:t>
            </w:r>
          </w:p>
        </w:tc>
        <w:tc>
          <w:tcPr>
            <w:tcW w:w="851" w:type="dxa"/>
            <w:tcBorders>
              <w:top w:val="single" w:sz="2" w:space="0" w:color="A6A6A6" w:themeColor="background1" w:themeShade="A6"/>
              <w:left w:val="nil"/>
              <w:bottom w:val="single" w:sz="2" w:space="0" w:color="A6A6A6" w:themeColor="background1" w:themeShade="A6"/>
              <w:right w:val="nil"/>
            </w:tcBorders>
            <w:shd w:val="clear" w:color="000000" w:fill="FFFFFF"/>
            <w:noWrap/>
            <w:hideMark/>
          </w:tcPr>
          <w:p w14:paraId="1243D6C3" w14:textId="043B19A0"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 xml:space="preserve"> -</w:t>
            </w:r>
            <w:r w:rsidR="00F02804" w:rsidRPr="00762A2E">
              <w:rPr>
                <w:rFonts w:ascii="Calibri" w:eastAsia="Times New Roman" w:hAnsi="Calibri" w:cs="Arial"/>
                <w:color w:val="000000"/>
                <w:sz w:val="18"/>
                <w:szCs w:val="18"/>
              </w:rPr>
              <w:t>/ -</w:t>
            </w:r>
          </w:p>
        </w:tc>
        <w:tc>
          <w:tcPr>
            <w:tcW w:w="6379" w:type="dxa"/>
            <w:tcBorders>
              <w:top w:val="single" w:sz="2" w:space="0" w:color="A6A6A6" w:themeColor="background1" w:themeShade="A6"/>
              <w:left w:val="nil"/>
              <w:bottom w:val="single" w:sz="2" w:space="0" w:color="A6A6A6" w:themeColor="background1" w:themeShade="A6"/>
              <w:right w:val="nil"/>
            </w:tcBorders>
            <w:shd w:val="clear" w:color="000000" w:fill="FFFFFF"/>
            <w:hideMark/>
          </w:tcPr>
          <w:p w14:paraId="4F92B781" w14:textId="0E0BB146" w:rsidR="00AF5D25" w:rsidRPr="00762A2E" w:rsidRDefault="00AF5D25" w:rsidP="00141ABA">
            <w:pPr>
              <w:spacing w:after="0" w:line="240" w:lineRule="auto"/>
              <w:rPr>
                <w:rFonts w:ascii="Calibri" w:eastAsia="Times New Roman" w:hAnsi="Calibri" w:cs="Arial"/>
                <w:color w:val="000000"/>
                <w:sz w:val="18"/>
                <w:szCs w:val="18"/>
                <w:lang w:val="fr-FR"/>
              </w:rPr>
            </w:pPr>
            <w:r w:rsidRPr="00762A2E">
              <w:rPr>
                <w:rFonts w:ascii="Calibri" w:eastAsia="Times New Roman" w:hAnsi="Calibri" w:cs="Arial"/>
                <w:color w:val="000000"/>
                <w:sz w:val="18"/>
                <w:szCs w:val="18"/>
                <w:lang w:val="fr-FR"/>
              </w:rPr>
              <w:t>Monoallelic mutations cause MIRAGE syndrome/familial MDS</w:t>
            </w:r>
          </w:p>
        </w:tc>
      </w:tr>
      <w:tr w:rsidR="00AF5D25" w:rsidRPr="00762A2E" w14:paraId="46C3557D" w14:textId="77777777" w:rsidTr="00141ABA">
        <w:trPr>
          <w:trHeight w:val="510"/>
        </w:trPr>
        <w:tc>
          <w:tcPr>
            <w:tcW w:w="757" w:type="dxa"/>
            <w:vMerge/>
            <w:tcBorders>
              <w:top w:val="nil"/>
              <w:left w:val="nil"/>
              <w:bottom w:val="single" w:sz="4" w:space="0" w:color="000000"/>
              <w:right w:val="nil"/>
            </w:tcBorders>
            <w:vAlign w:val="center"/>
            <w:hideMark/>
          </w:tcPr>
          <w:p w14:paraId="0F91E03B" w14:textId="77777777" w:rsidR="00AF5D25" w:rsidRPr="00762A2E" w:rsidRDefault="00AF5D25" w:rsidP="00141ABA">
            <w:pPr>
              <w:spacing w:after="0" w:line="240" w:lineRule="auto"/>
              <w:rPr>
                <w:rFonts w:ascii="Calibri" w:eastAsia="Times New Roman" w:hAnsi="Calibri" w:cs="Arial"/>
                <w:color w:val="000000"/>
                <w:sz w:val="18"/>
                <w:szCs w:val="18"/>
                <w:lang w:val="fr-FR"/>
              </w:rPr>
            </w:pPr>
          </w:p>
        </w:tc>
        <w:tc>
          <w:tcPr>
            <w:tcW w:w="1408" w:type="dxa"/>
            <w:tcBorders>
              <w:top w:val="single" w:sz="2" w:space="0" w:color="A6A6A6" w:themeColor="background1" w:themeShade="A6"/>
              <w:left w:val="nil"/>
              <w:bottom w:val="single" w:sz="2" w:space="0" w:color="A6A6A6" w:themeColor="background1" w:themeShade="A6"/>
              <w:right w:val="nil"/>
            </w:tcBorders>
            <w:shd w:val="clear" w:color="000000" w:fill="FFFFFF"/>
            <w:noWrap/>
            <w:hideMark/>
          </w:tcPr>
          <w:p w14:paraId="6A53FADE" w14:textId="77777777" w:rsidR="00AF5D25" w:rsidRPr="00762A2E" w:rsidRDefault="00AF5D25" w:rsidP="00141ABA">
            <w:pPr>
              <w:spacing w:after="0" w:line="240" w:lineRule="auto"/>
              <w:rPr>
                <w:rFonts w:ascii="Calibri" w:eastAsia="Times New Roman" w:hAnsi="Calibri" w:cs="Arial"/>
                <w:i/>
                <w:iCs/>
                <w:color w:val="000000"/>
                <w:sz w:val="18"/>
                <w:szCs w:val="18"/>
              </w:rPr>
            </w:pPr>
            <w:r w:rsidRPr="00762A2E">
              <w:rPr>
                <w:rFonts w:ascii="Calibri" w:eastAsia="Times New Roman" w:hAnsi="Calibri" w:cs="Arial"/>
                <w:i/>
                <w:iCs/>
                <w:color w:val="000000"/>
                <w:sz w:val="18"/>
                <w:szCs w:val="18"/>
              </w:rPr>
              <w:t>SAMD9</w:t>
            </w:r>
          </w:p>
          <w:p w14:paraId="32CC02C5" w14:textId="77777777" w:rsidR="00AF5D25" w:rsidRPr="00762A2E" w:rsidRDefault="00AF5D25" w:rsidP="00141ABA">
            <w:pPr>
              <w:spacing w:after="0" w:line="240" w:lineRule="auto"/>
              <w:rPr>
                <w:rFonts w:ascii="Calibri" w:eastAsia="Times New Roman" w:hAnsi="Calibri" w:cs="Arial"/>
                <w:i/>
                <w:iCs/>
                <w:color w:val="000000"/>
                <w:sz w:val="18"/>
                <w:szCs w:val="18"/>
              </w:rPr>
            </w:pPr>
            <w:r w:rsidRPr="00762A2E">
              <w:rPr>
                <w:rFonts w:ascii="Calibri" w:eastAsia="Times New Roman" w:hAnsi="Calibri" w:cs="Arial"/>
                <w:color w:val="000000"/>
                <w:sz w:val="18"/>
                <w:szCs w:val="18"/>
              </w:rPr>
              <w:t>NM_001193307</w:t>
            </w:r>
          </w:p>
        </w:tc>
        <w:tc>
          <w:tcPr>
            <w:tcW w:w="1190" w:type="dxa"/>
            <w:tcBorders>
              <w:top w:val="single" w:sz="2" w:space="0" w:color="A6A6A6" w:themeColor="background1" w:themeShade="A6"/>
              <w:left w:val="nil"/>
              <w:bottom w:val="single" w:sz="2" w:space="0" w:color="A6A6A6" w:themeColor="background1" w:themeShade="A6"/>
              <w:right w:val="nil"/>
            </w:tcBorders>
            <w:shd w:val="clear" w:color="000000" w:fill="FFFFFF"/>
            <w:noWrap/>
            <w:hideMark/>
          </w:tcPr>
          <w:p w14:paraId="57931D86"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c.2629A&gt;G</w:t>
            </w:r>
          </w:p>
          <w:p w14:paraId="41E09557"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p.K877E</w:t>
            </w:r>
          </w:p>
        </w:tc>
        <w:tc>
          <w:tcPr>
            <w:tcW w:w="618" w:type="dxa"/>
            <w:tcBorders>
              <w:top w:val="single" w:sz="2" w:space="0" w:color="A6A6A6" w:themeColor="background1" w:themeShade="A6"/>
              <w:left w:val="nil"/>
              <w:bottom w:val="single" w:sz="2" w:space="0" w:color="A6A6A6" w:themeColor="background1" w:themeShade="A6"/>
              <w:right w:val="nil"/>
            </w:tcBorders>
            <w:shd w:val="clear" w:color="000000" w:fill="FFFFFF"/>
            <w:noWrap/>
            <w:hideMark/>
          </w:tcPr>
          <w:p w14:paraId="5FCE0784"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het</w:t>
            </w:r>
          </w:p>
        </w:tc>
        <w:tc>
          <w:tcPr>
            <w:tcW w:w="1169" w:type="dxa"/>
            <w:tcBorders>
              <w:top w:val="single" w:sz="2" w:space="0" w:color="A6A6A6" w:themeColor="background1" w:themeShade="A6"/>
              <w:left w:val="nil"/>
              <w:bottom w:val="single" w:sz="2" w:space="0" w:color="A6A6A6" w:themeColor="background1" w:themeShade="A6"/>
              <w:right w:val="nil"/>
            </w:tcBorders>
            <w:shd w:val="clear" w:color="000000" w:fill="FFFFFF"/>
            <w:noWrap/>
            <w:hideMark/>
          </w:tcPr>
          <w:p w14:paraId="7E0335C8" w14:textId="7FE3C4BA" w:rsidR="00AF5D25" w:rsidRPr="00762A2E" w:rsidRDefault="00F02804"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32%</w:t>
            </w:r>
            <w:r w:rsidR="00AF5D25" w:rsidRPr="00762A2E">
              <w:rPr>
                <w:rFonts w:ascii="Calibri" w:eastAsia="Times New Roman" w:hAnsi="Calibri" w:cs="Arial"/>
                <w:color w:val="000000"/>
                <w:sz w:val="18"/>
                <w:szCs w:val="18"/>
              </w:rPr>
              <w:t>/ 41</w:t>
            </w:r>
          </w:p>
        </w:tc>
        <w:tc>
          <w:tcPr>
            <w:tcW w:w="1417" w:type="dxa"/>
            <w:tcBorders>
              <w:top w:val="single" w:sz="2" w:space="0" w:color="A6A6A6" w:themeColor="background1" w:themeShade="A6"/>
              <w:left w:val="nil"/>
              <w:bottom w:val="single" w:sz="2" w:space="0" w:color="A6A6A6" w:themeColor="background1" w:themeShade="A6"/>
              <w:right w:val="nil"/>
            </w:tcBorders>
            <w:shd w:val="clear" w:color="000000" w:fill="FFFFFF"/>
          </w:tcPr>
          <w:p w14:paraId="5C3329E6"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none</w:t>
            </w:r>
          </w:p>
        </w:tc>
        <w:tc>
          <w:tcPr>
            <w:tcW w:w="851" w:type="dxa"/>
            <w:tcBorders>
              <w:top w:val="single" w:sz="2" w:space="0" w:color="A6A6A6" w:themeColor="background1" w:themeShade="A6"/>
              <w:left w:val="nil"/>
              <w:bottom w:val="single" w:sz="2" w:space="0" w:color="A6A6A6" w:themeColor="background1" w:themeShade="A6"/>
              <w:right w:val="nil"/>
            </w:tcBorders>
            <w:shd w:val="clear" w:color="000000" w:fill="FFFFFF"/>
            <w:noWrap/>
            <w:hideMark/>
          </w:tcPr>
          <w:p w14:paraId="31DB3A4B" w14:textId="6A52B530" w:rsidR="00AF5D25" w:rsidRPr="00762A2E" w:rsidRDefault="00AF5D25" w:rsidP="00514284">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7.6</w:t>
            </w:r>
            <w:r w:rsidR="00F02804" w:rsidRPr="00762A2E">
              <w:rPr>
                <w:rFonts w:ascii="Calibri" w:eastAsia="Times New Roman" w:hAnsi="Calibri" w:cs="Arial"/>
                <w:color w:val="000000"/>
                <w:sz w:val="18"/>
                <w:szCs w:val="18"/>
              </w:rPr>
              <w:t>/ -</w:t>
            </w:r>
          </w:p>
        </w:tc>
        <w:tc>
          <w:tcPr>
            <w:tcW w:w="6379" w:type="dxa"/>
            <w:tcBorders>
              <w:top w:val="single" w:sz="2" w:space="0" w:color="A6A6A6" w:themeColor="background1" w:themeShade="A6"/>
              <w:left w:val="nil"/>
              <w:bottom w:val="single" w:sz="2" w:space="0" w:color="A6A6A6" w:themeColor="background1" w:themeShade="A6"/>
              <w:right w:val="nil"/>
            </w:tcBorders>
            <w:shd w:val="clear" w:color="000000" w:fill="FFFFFF"/>
            <w:hideMark/>
          </w:tcPr>
          <w:p w14:paraId="42580BA3"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 xml:space="preserve">see above </w:t>
            </w:r>
          </w:p>
        </w:tc>
      </w:tr>
      <w:tr w:rsidR="00AF5D25" w:rsidRPr="00762A2E" w14:paraId="078D0CBC" w14:textId="77777777" w:rsidTr="00141ABA">
        <w:trPr>
          <w:trHeight w:val="569"/>
        </w:trPr>
        <w:tc>
          <w:tcPr>
            <w:tcW w:w="757" w:type="dxa"/>
            <w:vMerge/>
            <w:tcBorders>
              <w:top w:val="nil"/>
              <w:left w:val="nil"/>
              <w:bottom w:val="single" w:sz="4" w:space="0" w:color="000000"/>
              <w:right w:val="nil"/>
            </w:tcBorders>
            <w:vAlign w:val="center"/>
            <w:hideMark/>
          </w:tcPr>
          <w:p w14:paraId="4EB37E1E" w14:textId="77777777" w:rsidR="00AF5D25" w:rsidRPr="00762A2E" w:rsidRDefault="00AF5D25" w:rsidP="00141ABA">
            <w:pPr>
              <w:spacing w:after="0" w:line="240" w:lineRule="auto"/>
              <w:rPr>
                <w:rFonts w:ascii="Calibri" w:eastAsia="Times New Roman" w:hAnsi="Calibri" w:cs="Arial"/>
                <w:color w:val="000000"/>
                <w:sz w:val="18"/>
                <w:szCs w:val="18"/>
              </w:rPr>
            </w:pPr>
          </w:p>
        </w:tc>
        <w:tc>
          <w:tcPr>
            <w:tcW w:w="1408" w:type="dxa"/>
            <w:tcBorders>
              <w:top w:val="single" w:sz="2" w:space="0" w:color="A6A6A6" w:themeColor="background1" w:themeShade="A6"/>
              <w:left w:val="nil"/>
              <w:bottom w:val="single" w:sz="4" w:space="0" w:color="auto"/>
              <w:right w:val="nil"/>
            </w:tcBorders>
            <w:shd w:val="clear" w:color="000000" w:fill="FFFFFF"/>
            <w:noWrap/>
            <w:hideMark/>
          </w:tcPr>
          <w:p w14:paraId="56FA1957" w14:textId="77777777" w:rsidR="00AF5D25" w:rsidRPr="00762A2E" w:rsidRDefault="00AF5D25" w:rsidP="00141ABA">
            <w:pPr>
              <w:spacing w:after="0" w:line="240" w:lineRule="auto"/>
              <w:rPr>
                <w:rFonts w:ascii="Calibri" w:eastAsia="Times New Roman" w:hAnsi="Calibri" w:cs="Arial"/>
                <w:i/>
                <w:iCs/>
                <w:color w:val="000000"/>
                <w:sz w:val="18"/>
                <w:szCs w:val="18"/>
              </w:rPr>
            </w:pPr>
            <w:r w:rsidRPr="00762A2E">
              <w:rPr>
                <w:rFonts w:ascii="Calibri" w:eastAsia="Times New Roman" w:hAnsi="Calibri" w:cs="Arial"/>
                <w:i/>
                <w:iCs/>
                <w:color w:val="000000"/>
                <w:sz w:val="18"/>
                <w:szCs w:val="18"/>
              </w:rPr>
              <w:t>FANCD2</w:t>
            </w:r>
          </w:p>
          <w:p w14:paraId="53AB13A5" w14:textId="77777777" w:rsidR="00AF5D25" w:rsidRPr="00762A2E" w:rsidRDefault="00AF5D25" w:rsidP="00141ABA">
            <w:pPr>
              <w:spacing w:after="0" w:line="240" w:lineRule="auto"/>
              <w:rPr>
                <w:rFonts w:ascii="Calibri" w:eastAsia="Times New Roman" w:hAnsi="Calibri" w:cs="Arial"/>
                <w:i/>
                <w:iCs/>
                <w:color w:val="000000"/>
                <w:sz w:val="18"/>
                <w:szCs w:val="18"/>
              </w:rPr>
            </w:pPr>
            <w:r w:rsidRPr="00762A2E">
              <w:rPr>
                <w:rFonts w:ascii="Calibri" w:eastAsia="Times New Roman" w:hAnsi="Calibri" w:cs="Arial"/>
                <w:color w:val="000000"/>
                <w:sz w:val="18"/>
                <w:szCs w:val="18"/>
              </w:rPr>
              <w:t>NM_001018115</w:t>
            </w:r>
          </w:p>
        </w:tc>
        <w:tc>
          <w:tcPr>
            <w:tcW w:w="1190" w:type="dxa"/>
            <w:tcBorders>
              <w:top w:val="single" w:sz="2" w:space="0" w:color="A6A6A6" w:themeColor="background1" w:themeShade="A6"/>
              <w:left w:val="nil"/>
              <w:bottom w:val="single" w:sz="4" w:space="0" w:color="auto"/>
              <w:right w:val="nil"/>
            </w:tcBorders>
            <w:shd w:val="clear" w:color="000000" w:fill="FFFFFF"/>
            <w:noWrap/>
            <w:hideMark/>
          </w:tcPr>
          <w:p w14:paraId="651D7024"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c.3371G&gt;A</w:t>
            </w:r>
          </w:p>
          <w:p w14:paraId="3563EEB1"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p.S1124N</w:t>
            </w:r>
          </w:p>
        </w:tc>
        <w:tc>
          <w:tcPr>
            <w:tcW w:w="618" w:type="dxa"/>
            <w:tcBorders>
              <w:top w:val="single" w:sz="2" w:space="0" w:color="A6A6A6" w:themeColor="background1" w:themeShade="A6"/>
              <w:left w:val="nil"/>
              <w:bottom w:val="single" w:sz="4" w:space="0" w:color="auto"/>
              <w:right w:val="nil"/>
            </w:tcBorders>
            <w:shd w:val="clear" w:color="000000" w:fill="FFFFFF"/>
            <w:noWrap/>
            <w:hideMark/>
          </w:tcPr>
          <w:p w14:paraId="55C8DF6E"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het</w:t>
            </w:r>
          </w:p>
        </w:tc>
        <w:tc>
          <w:tcPr>
            <w:tcW w:w="1169" w:type="dxa"/>
            <w:tcBorders>
              <w:top w:val="single" w:sz="2" w:space="0" w:color="A6A6A6" w:themeColor="background1" w:themeShade="A6"/>
              <w:left w:val="nil"/>
              <w:bottom w:val="single" w:sz="4" w:space="0" w:color="auto"/>
              <w:right w:val="nil"/>
            </w:tcBorders>
            <w:shd w:val="clear" w:color="000000" w:fill="FFFFFF"/>
            <w:noWrap/>
            <w:hideMark/>
          </w:tcPr>
          <w:p w14:paraId="163064B7" w14:textId="5FFF1DF6" w:rsidR="00AF5D25" w:rsidRPr="00762A2E" w:rsidRDefault="00AF5D25" w:rsidP="00F02804">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57%/ 68</w:t>
            </w:r>
          </w:p>
        </w:tc>
        <w:tc>
          <w:tcPr>
            <w:tcW w:w="1417" w:type="dxa"/>
            <w:tcBorders>
              <w:top w:val="single" w:sz="2" w:space="0" w:color="A6A6A6" w:themeColor="background1" w:themeShade="A6"/>
              <w:left w:val="nil"/>
              <w:bottom w:val="single" w:sz="4" w:space="0" w:color="auto"/>
              <w:right w:val="nil"/>
            </w:tcBorders>
            <w:shd w:val="clear" w:color="000000" w:fill="FFFFFF"/>
          </w:tcPr>
          <w:p w14:paraId="59948D95"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none</w:t>
            </w:r>
          </w:p>
        </w:tc>
        <w:tc>
          <w:tcPr>
            <w:tcW w:w="851" w:type="dxa"/>
            <w:tcBorders>
              <w:top w:val="single" w:sz="2" w:space="0" w:color="A6A6A6" w:themeColor="background1" w:themeShade="A6"/>
              <w:left w:val="nil"/>
              <w:bottom w:val="single" w:sz="4" w:space="0" w:color="auto"/>
              <w:right w:val="nil"/>
            </w:tcBorders>
            <w:shd w:val="clear" w:color="000000" w:fill="FFFFFF"/>
            <w:noWrap/>
            <w:hideMark/>
          </w:tcPr>
          <w:p w14:paraId="33086373" w14:textId="01FDD6C5"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23.1</w:t>
            </w:r>
            <w:r w:rsidR="00F02804" w:rsidRPr="00762A2E">
              <w:rPr>
                <w:rFonts w:ascii="Calibri" w:eastAsia="Times New Roman" w:hAnsi="Calibri" w:cs="Arial"/>
                <w:color w:val="000000"/>
                <w:sz w:val="18"/>
                <w:szCs w:val="18"/>
              </w:rPr>
              <w:t>/</w:t>
            </w:r>
            <w:r w:rsidR="00F02804" w:rsidRPr="00762A2E">
              <w:rPr>
                <w:rFonts w:ascii="Calibri" w:eastAsia="Times New Roman" w:hAnsi="Calibri" w:cs="Arial"/>
                <w:color w:val="000000"/>
                <w:sz w:val="18"/>
                <w:szCs w:val="18"/>
              </w:rPr>
              <w:br/>
              <w:t>LP, C4</w:t>
            </w:r>
          </w:p>
        </w:tc>
        <w:tc>
          <w:tcPr>
            <w:tcW w:w="6379" w:type="dxa"/>
            <w:tcBorders>
              <w:top w:val="single" w:sz="2" w:space="0" w:color="A6A6A6" w:themeColor="background1" w:themeShade="A6"/>
              <w:left w:val="nil"/>
              <w:bottom w:val="single" w:sz="4" w:space="0" w:color="auto"/>
              <w:right w:val="nil"/>
            </w:tcBorders>
            <w:shd w:val="clear" w:color="000000" w:fill="FFFFFF"/>
            <w:hideMark/>
          </w:tcPr>
          <w:p w14:paraId="1EBEBA9D" w14:textId="77777777" w:rsidR="00241F46"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 xml:space="preserve">Biallelic mutations cause FA; </w:t>
            </w:r>
          </w:p>
          <w:p w14:paraId="63DBEFD8" w14:textId="47440B9F" w:rsidR="00AF5D25" w:rsidRPr="00762A2E" w:rsidRDefault="00241F46"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 xml:space="preserve">heterozygous </w:t>
            </w:r>
            <w:r w:rsidR="00AF5D25" w:rsidRPr="00762A2E">
              <w:rPr>
                <w:rFonts w:ascii="Calibri" w:eastAsia="Times New Roman" w:hAnsi="Calibri" w:cs="Arial"/>
                <w:color w:val="000000"/>
                <w:sz w:val="18"/>
                <w:szCs w:val="18"/>
              </w:rPr>
              <w:t>VUS not considered disease-causing in this patient</w:t>
            </w:r>
          </w:p>
        </w:tc>
      </w:tr>
      <w:tr w:rsidR="00AF5D25" w:rsidRPr="00762A2E" w14:paraId="2DEC478E" w14:textId="77777777" w:rsidTr="00141ABA">
        <w:trPr>
          <w:trHeight w:val="510"/>
        </w:trPr>
        <w:tc>
          <w:tcPr>
            <w:tcW w:w="757" w:type="dxa"/>
            <w:tcBorders>
              <w:top w:val="nil"/>
              <w:left w:val="nil"/>
              <w:bottom w:val="nil"/>
              <w:right w:val="nil"/>
            </w:tcBorders>
            <w:shd w:val="clear" w:color="000000" w:fill="FFFFFF"/>
            <w:noWrap/>
            <w:hideMark/>
          </w:tcPr>
          <w:p w14:paraId="492E44EA"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P7</w:t>
            </w:r>
          </w:p>
        </w:tc>
        <w:tc>
          <w:tcPr>
            <w:tcW w:w="1408" w:type="dxa"/>
            <w:tcBorders>
              <w:top w:val="single" w:sz="4" w:space="0" w:color="auto"/>
              <w:left w:val="nil"/>
              <w:bottom w:val="single" w:sz="2" w:space="0" w:color="A6A6A6" w:themeColor="background1" w:themeShade="A6"/>
              <w:right w:val="nil"/>
            </w:tcBorders>
            <w:shd w:val="clear" w:color="000000" w:fill="FFFFFF"/>
            <w:noWrap/>
            <w:hideMark/>
          </w:tcPr>
          <w:p w14:paraId="0F169CD4" w14:textId="77777777" w:rsidR="00AF5D25" w:rsidRPr="00762A2E" w:rsidRDefault="00AF5D25" w:rsidP="00141ABA">
            <w:pPr>
              <w:spacing w:after="0" w:line="240" w:lineRule="auto"/>
              <w:rPr>
                <w:rFonts w:ascii="Calibri" w:eastAsia="Times New Roman" w:hAnsi="Calibri" w:cs="Arial"/>
                <w:i/>
                <w:iCs/>
                <w:color w:val="000000"/>
                <w:sz w:val="18"/>
                <w:szCs w:val="18"/>
              </w:rPr>
            </w:pPr>
            <w:r w:rsidRPr="00762A2E">
              <w:rPr>
                <w:rFonts w:ascii="Calibri" w:eastAsia="Times New Roman" w:hAnsi="Calibri" w:cs="Arial"/>
                <w:i/>
                <w:iCs/>
                <w:color w:val="000000"/>
                <w:sz w:val="18"/>
                <w:szCs w:val="18"/>
              </w:rPr>
              <w:t>GATA2</w:t>
            </w:r>
          </w:p>
          <w:p w14:paraId="718B1FFE" w14:textId="77777777" w:rsidR="00AF5D25" w:rsidRPr="00762A2E" w:rsidRDefault="00AF5D25" w:rsidP="00141ABA">
            <w:pPr>
              <w:spacing w:after="0" w:line="240" w:lineRule="auto"/>
              <w:rPr>
                <w:rFonts w:ascii="Calibri" w:eastAsia="Times New Roman" w:hAnsi="Calibri" w:cs="Arial"/>
                <w:i/>
                <w:iCs/>
                <w:color w:val="000000"/>
                <w:sz w:val="18"/>
                <w:szCs w:val="18"/>
              </w:rPr>
            </w:pPr>
            <w:r w:rsidRPr="00762A2E">
              <w:rPr>
                <w:rFonts w:ascii="Calibri" w:eastAsia="Times New Roman" w:hAnsi="Calibri" w:cs="Arial"/>
                <w:color w:val="000000"/>
                <w:sz w:val="18"/>
                <w:szCs w:val="18"/>
              </w:rPr>
              <w:t>NM_032638.4</w:t>
            </w:r>
          </w:p>
        </w:tc>
        <w:tc>
          <w:tcPr>
            <w:tcW w:w="1190" w:type="dxa"/>
            <w:tcBorders>
              <w:top w:val="single" w:sz="4" w:space="0" w:color="auto"/>
              <w:left w:val="nil"/>
              <w:bottom w:val="single" w:sz="2" w:space="0" w:color="A6A6A6" w:themeColor="background1" w:themeShade="A6"/>
              <w:right w:val="nil"/>
            </w:tcBorders>
            <w:shd w:val="clear" w:color="000000" w:fill="FFFFFF"/>
            <w:noWrap/>
            <w:hideMark/>
          </w:tcPr>
          <w:p w14:paraId="01574F36"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c.1416G&gt;A</w:t>
            </w:r>
          </w:p>
          <w:p w14:paraId="0D866884"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p.P472P</w:t>
            </w:r>
          </w:p>
        </w:tc>
        <w:tc>
          <w:tcPr>
            <w:tcW w:w="618" w:type="dxa"/>
            <w:tcBorders>
              <w:top w:val="single" w:sz="4" w:space="0" w:color="auto"/>
              <w:left w:val="nil"/>
              <w:bottom w:val="single" w:sz="2" w:space="0" w:color="A6A6A6" w:themeColor="background1" w:themeShade="A6"/>
              <w:right w:val="nil"/>
            </w:tcBorders>
            <w:shd w:val="clear" w:color="000000" w:fill="FFFFFF"/>
            <w:noWrap/>
            <w:hideMark/>
          </w:tcPr>
          <w:p w14:paraId="786455A2"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het</w:t>
            </w:r>
          </w:p>
        </w:tc>
        <w:tc>
          <w:tcPr>
            <w:tcW w:w="1169" w:type="dxa"/>
            <w:tcBorders>
              <w:top w:val="single" w:sz="4" w:space="0" w:color="auto"/>
              <w:left w:val="nil"/>
              <w:bottom w:val="single" w:sz="2" w:space="0" w:color="A6A6A6" w:themeColor="background1" w:themeShade="A6"/>
              <w:right w:val="nil"/>
            </w:tcBorders>
            <w:shd w:val="clear" w:color="000000" w:fill="FFFFFF"/>
            <w:noWrap/>
            <w:hideMark/>
          </w:tcPr>
          <w:p w14:paraId="3C3630B5" w14:textId="592D5316" w:rsidR="00AF5D25" w:rsidRPr="00762A2E" w:rsidRDefault="00AF5D25" w:rsidP="00F02804">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49%/ 63</w:t>
            </w:r>
          </w:p>
        </w:tc>
        <w:tc>
          <w:tcPr>
            <w:tcW w:w="1417" w:type="dxa"/>
            <w:tcBorders>
              <w:top w:val="single" w:sz="4" w:space="0" w:color="auto"/>
              <w:left w:val="nil"/>
              <w:bottom w:val="single" w:sz="2" w:space="0" w:color="A6A6A6" w:themeColor="background1" w:themeShade="A6"/>
              <w:right w:val="nil"/>
            </w:tcBorders>
            <w:shd w:val="clear" w:color="000000" w:fill="FFFFFF"/>
          </w:tcPr>
          <w:p w14:paraId="05F773F0"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0.027%                (70/256322)</w:t>
            </w:r>
          </w:p>
        </w:tc>
        <w:tc>
          <w:tcPr>
            <w:tcW w:w="851" w:type="dxa"/>
            <w:tcBorders>
              <w:top w:val="single" w:sz="4" w:space="0" w:color="auto"/>
              <w:left w:val="nil"/>
              <w:bottom w:val="single" w:sz="2" w:space="0" w:color="A6A6A6" w:themeColor="background1" w:themeShade="A6"/>
              <w:right w:val="nil"/>
            </w:tcBorders>
            <w:shd w:val="clear" w:color="000000" w:fill="FFFFFF"/>
            <w:noWrap/>
            <w:hideMark/>
          </w:tcPr>
          <w:p w14:paraId="01276C0C" w14:textId="5580B79D" w:rsidR="00AF5D25" w:rsidRPr="00762A2E" w:rsidRDefault="00AF5D25" w:rsidP="00514284">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12.4</w:t>
            </w:r>
            <w:r w:rsidR="00F02804" w:rsidRPr="00762A2E">
              <w:rPr>
                <w:rFonts w:ascii="Calibri" w:eastAsia="Times New Roman" w:hAnsi="Calibri" w:cs="Arial"/>
                <w:color w:val="000000"/>
                <w:sz w:val="18"/>
                <w:szCs w:val="18"/>
              </w:rPr>
              <w:t>/</w:t>
            </w:r>
            <w:r w:rsidR="00F02804" w:rsidRPr="00762A2E">
              <w:rPr>
                <w:rFonts w:ascii="Calibri" w:eastAsia="Times New Roman" w:hAnsi="Calibri" w:cs="Arial"/>
                <w:color w:val="000000"/>
                <w:sz w:val="18"/>
                <w:szCs w:val="18"/>
              </w:rPr>
              <w:br/>
              <w:t>B</w:t>
            </w:r>
          </w:p>
        </w:tc>
        <w:tc>
          <w:tcPr>
            <w:tcW w:w="6379" w:type="dxa"/>
            <w:tcBorders>
              <w:top w:val="single" w:sz="4" w:space="0" w:color="auto"/>
              <w:left w:val="nil"/>
              <w:bottom w:val="single" w:sz="2" w:space="0" w:color="A6A6A6" w:themeColor="background1" w:themeShade="A6"/>
              <w:right w:val="nil"/>
            </w:tcBorders>
            <w:shd w:val="clear" w:color="000000" w:fill="FFFFFF"/>
            <w:hideMark/>
          </w:tcPr>
          <w:p w14:paraId="6068C221" w14:textId="187EB884"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 xml:space="preserve">Causes monoallelic </w:t>
            </w:r>
            <w:r w:rsidRPr="00762A2E">
              <w:rPr>
                <w:rFonts w:ascii="Calibri" w:eastAsia="Times New Roman" w:hAnsi="Calibri" w:cs="Arial"/>
                <w:i/>
                <w:color w:val="000000"/>
                <w:sz w:val="18"/>
                <w:szCs w:val="18"/>
              </w:rPr>
              <w:t>GATA2</w:t>
            </w:r>
            <w:r w:rsidRPr="00762A2E">
              <w:rPr>
                <w:rFonts w:ascii="Calibri" w:eastAsia="Times New Roman" w:hAnsi="Calibri" w:cs="Arial"/>
                <w:color w:val="000000"/>
                <w:sz w:val="18"/>
                <w:szCs w:val="18"/>
              </w:rPr>
              <w:t xml:space="preserve"> RNA degradation</w:t>
            </w:r>
            <w:r w:rsidR="00241F46" w:rsidRPr="00762A2E">
              <w:rPr>
                <w:rFonts w:ascii="Calibri" w:eastAsia="Times New Roman" w:hAnsi="Calibri" w:cs="Arial"/>
                <w:color w:val="000000"/>
                <w:sz w:val="18"/>
                <w:szCs w:val="18"/>
              </w:rPr>
              <w:t xml:space="preserve"> (shown here)</w:t>
            </w:r>
          </w:p>
        </w:tc>
      </w:tr>
      <w:tr w:rsidR="00AF5D25" w:rsidRPr="00762A2E" w14:paraId="7386457E" w14:textId="77777777" w:rsidTr="00900C2D">
        <w:trPr>
          <w:trHeight w:val="476"/>
        </w:trPr>
        <w:tc>
          <w:tcPr>
            <w:tcW w:w="757" w:type="dxa"/>
            <w:tcBorders>
              <w:top w:val="nil"/>
              <w:left w:val="nil"/>
              <w:bottom w:val="single" w:sz="4" w:space="0" w:color="auto"/>
              <w:right w:val="nil"/>
            </w:tcBorders>
            <w:shd w:val="clear" w:color="000000" w:fill="FFFFFF"/>
            <w:noWrap/>
            <w:hideMark/>
          </w:tcPr>
          <w:p w14:paraId="5C81D02D"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 </w:t>
            </w:r>
          </w:p>
        </w:tc>
        <w:tc>
          <w:tcPr>
            <w:tcW w:w="1408" w:type="dxa"/>
            <w:tcBorders>
              <w:top w:val="single" w:sz="2" w:space="0" w:color="A6A6A6" w:themeColor="background1" w:themeShade="A6"/>
              <w:left w:val="nil"/>
              <w:bottom w:val="single" w:sz="4" w:space="0" w:color="auto"/>
              <w:right w:val="nil"/>
            </w:tcBorders>
            <w:shd w:val="clear" w:color="000000" w:fill="FFFFFF"/>
            <w:noWrap/>
            <w:hideMark/>
          </w:tcPr>
          <w:p w14:paraId="7B1C3406" w14:textId="77777777" w:rsidR="00AF5D25" w:rsidRPr="00762A2E" w:rsidRDefault="00AF5D25" w:rsidP="00141ABA">
            <w:pPr>
              <w:spacing w:after="0" w:line="240" w:lineRule="auto"/>
              <w:rPr>
                <w:rFonts w:ascii="Calibri" w:eastAsia="Times New Roman" w:hAnsi="Calibri" w:cs="Arial"/>
                <w:i/>
                <w:iCs/>
                <w:color w:val="000000"/>
                <w:sz w:val="18"/>
                <w:szCs w:val="18"/>
              </w:rPr>
            </w:pPr>
            <w:r w:rsidRPr="00762A2E">
              <w:rPr>
                <w:rFonts w:ascii="Calibri" w:eastAsia="Times New Roman" w:hAnsi="Calibri" w:cs="Arial"/>
                <w:i/>
                <w:iCs/>
                <w:color w:val="000000"/>
                <w:sz w:val="18"/>
                <w:szCs w:val="18"/>
              </w:rPr>
              <w:t>FANCS (BRCA1)</w:t>
            </w:r>
          </w:p>
          <w:p w14:paraId="0404B6AE" w14:textId="77777777" w:rsidR="00AF5D25" w:rsidRPr="00762A2E" w:rsidRDefault="00AF5D25" w:rsidP="00141ABA">
            <w:pPr>
              <w:spacing w:after="0" w:line="240" w:lineRule="auto"/>
              <w:rPr>
                <w:rFonts w:ascii="Calibri" w:eastAsia="Times New Roman" w:hAnsi="Calibri" w:cs="Arial"/>
                <w:iCs/>
                <w:color w:val="000000"/>
                <w:sz w:val="18"/>
                <w:szCs w:val="18"/>
              </w:rPr>
            </w:pPr>
            <w:r w:rsidRPr="00762A2E">
              <w:rPr>
                <w:rFonts w:ascii="Calibri" w:eastAsia="Times New Roman" w:hAnsi="Calibri" w:cs="Arial"/>
                <w:iCs/>
                <w:color w:val="000000"/>
                <w:sz w:val="18"/>
                <w:szCs w:val="18"/>
              </w:rPr>
              <w:t>NM_007294</w:t>
            </w:r>
          </w:p>
        </w:tc>
        <w:tc>
          <w:tcPr>
            <w:tcW w:w="1190" w:type="dxa"/>
            <w:tcBorders>
              <w:top w:val="single" w:sz="2" w:space="0" w:color="A6A6A6" w:themeColor="background1" w:themeShade="A6"/>
              <w:left w:val="nil"/>
              <w:bottom w:val="single" w:sz="4" w:space="0" w:color="auto"/>
              <w:right w:val="nil"/>
            </w:tcBorders>
            <w:shd w:val="clear" w:color="000000" w:fill="FFFFFF"/>
            <w:noWrap/>
            <w:hideMark/>
          </w:tcPr>
          <w:p w14:paraId="43E0E549"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c.2596C&gt;T</w:t>
            </w:r>
            <w:r w:rsidR="006F6533" w:rsidRPr="00762A2E">
              <w:rPr>
                <w:rFonts w:ascii="Calibri" w:eastAsia="Times New Roman" w:hAnsi="Calibri" w:cs="Arial"/>
                <w:color w:val="000000"/>
                <w:sz w:val="18"/>
                <w:szCs w:val="18"/>
              </w:rPr>
              <w:t>*</w:t>
            </w:r>
          </w:p>
          <w:p w14:paraId="25C90494" w14:textId="77777777" w:rsidR="00AF5D25" w:rsidRPr="00762A2E" w:rsidRDefault="00AF5D25" w:rsidP="006F6533">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p.R866C</w:t>
            </w:r>
          </w:p>
        </w:tc>
        <w:tc>
          <w:tcPr>
            <w:tcW w:w="618" w:type="dxa"/>
            <w:tcBorders>
              <w:top w:val="single" w:sz="2" w:space="0" w:color="A6A6A6" w:themeColor="background1" w:themeShade="A6"/>
              <w:left w:val="nil"/>
              <w:bottom w:val="single" w:sz="4" w:space="0" w:color="auto"/>
              <w:right w:val="nil"/>
            </w:tcBorders>
            <w:shd w:val="clear" w:color="000000" w:fill="FFFFFF"/>
            <w:noWrap/>
            <w:hideMark/>
          </w:tcPr>
          <w:p w14:paraId="2BC15A30"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het</w:t>
            </w:r>
          </w:p>
        </w:tc>
        <w:tc>
          <w:tcPr>
            <w:tcW w:w="1169" w:type="dxa"/>
            <w:tcBorders>
              <w:top w:val="single" w:sz="2" w:space="0" w:color="A6A6A6" w:themeColor="background1" w:themeShade="A6"/>
              <w:left w:val="nil"/>
              <w:bottom w:val="single" w:sz="4" w:space="0" w:color="auto"/>
              <w:right w:val="nil"/>
            </w:tcBorders>
            <w:shd w:val="clear" w:color="000000" w:fill="FFFFFF"/>
            <w:noWrap/>
            <w:hideMark/>
          </w:tcPr>
          <w:p w14:paraId="33ADB4A9" w14:textId="3AD96256" w:rsidR="00AF5D25" w:rsidRPr="00762A2E" w:rsidRDefault="00AF5D25" w:rsidP="00F02804">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51%/ 90</w:t>
            </w:r>
          </w:p>
        </w:tc>
        <w:tc>
          <w:tcPr>
            <w:tcW w:w="1417" w:type="dxa"/>
            <w:tcBorders>
              <w:top w:val="single" w:sz="2" w:space="0" w:color="A6A6A6" w:themeColor="background1" w:themeShade="A6"/>
              <w:left w:val="nil"/>
              <w:bottom w:val="single" w:sz="4" w:space="0" w:color="auto"/>
              <w:right w:val="nil"/>
            </w:tcBorders>
            <w:shd w:val="clear" w:color="000000" w:fill="FFFFFF"/>
          </w:tcPr>
          <w:p w14:paraId="29F88D57"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0.015%</w:t>
            </w:r>
          </w:p>
          <w:p w14:paraId="3F530332" w14:textId="77777777"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(36/245842)</w:t>
            </w:r>
          </w:p>
        </w:tc>
        <w:tc>
          <w:tcPr>
            <w:tcW w:w="851" w:type="dxa"/>
            <w:tcBorders>
              <w:top w:val="single" w:sz="2" w:space="0" w:color="A6A6A6" w:themeColor="background1" w:themeShade="A6"/>
              <w:left w:val="nil"/>
              <w:bottom w:val="single" w:sz="4" w:space="0" w:color="auto"/>
              <w:right w:val="nil"/>
            </w:tcBorders>
            <w:shd w:val="clear" w:color="000000" w:fill="FFFFFF"/>
            <w:noWrap/>
            <w:hideMark/>
          </w:tcPr>
          <w:p w14:paraId="6EAE5EAB" w14:textId="0F73F630" w:rsidR="00AF5D25"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33</w:t>
            </w:r>
            <w:r w:rsidR="00F02804" w:rsidRPr="00762A2E">
              <w:rPr>
                <w:rFonts w:ascii="Calibri" w:eastAsia="Times New Roman" w:hAnsi="Calibri" w:cs="Arial"/>
                <w:color w:val="000000"/>
                <w:sz w:val="18"/>
                <w:szCs w:val="18"/>
              </w:rPr>
              <w:t>/</w:t>
            </w:r>
            <w:r w:rsidR="00F02804" w:rsidRPr="00762A2E">
              <w:rPr>
                <w:rFonts w:ascii="Calibri" w:eastAsia="Times New Roman" w:hAnsi="Calibri" w:cs="Arial"/>
                <w:color w:val="000000"/>
                <w:sz w:val="18"/>
                <w:szCs w:val="18"/>
              </w:rPr>
              <w:br/>
              <w:t>LP, C4</w:t>
            </w:r>
          </w:p>
        </w:tc>
        <w:tc>
          <w:tcPr>
            <w:tcW w:w="6379" w:type="dxa"/>
            <w:tcBorders>
              <w:top w:val="single" w:sz="2" w:space="0" w:color="A6A6A6" w:themeColor="background1" w:themeShade="A6"/>
              <w:left w:val="nil"/>
              <w:bottom w:val="single" w:sz="4" w:space="0" w:color="auto"/>
              <w:right w:val="nil"/>
            </w:tcBorders>
            <w:shd w:val="clear" w:color="000000" w:fill="FFFFFF"/>
            <w:hideMark/>
          </w:tcPr>
          <w:p w14:paraId="5D598867" w14:textId="77777777" w:rsidR="00241F46" w:rsidRPr="00762A2E" w:rsidRDefault="00AF5D25"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 xml:space="preserve">Biallelic mutations cause FA; </w:t>
            </w:r>
          </w:p>
          <w:p w14:paraId="3272A73B" w14:textId="040DE071" w:rsidR="00AF5D25" w:rsidRPr="00762A2E" w:rsidRDefault="00241F46" w:rsidP="00141ABA">
            <w:pPr>
              <w:spacing w:after="0" w:line="240" w:lineRule="auto"/>
              <w:rPr>
                <w:rFonts w:ascii="Calibri" w:eastAsia="Times New Roman" w:hAnsi="Calibri" w:cs="Arial"/>
                <w:color w:val="000000"/>
                <w:sz w:val="18"/>
                <w:szCs w:val="18"/>
              </w:rPr>
            </w:pPr>
            <w:r w:rsidRPr="00762A2E">
              <w:rPr>
                <w:rFonts w:ascii="Calibri" w:eastAsia="Times New Roman" w:hAnsi="Calibri" w:cs="Arial"/>
                <w:color w:val="000000"/>
                <w:sz w:val="18"/>
                <w:szCs w:val="18"/>
              </w:rPr>
              <w:t xml:space="preserve">heterozygous </w:t>
            </w:r>
            <w:r w:rsidR="00AF5D25" w:rsidRPr="00762A2E">
              <w:rPr>
                <w:rFonts w:ascii="Calibri" w:eastAsia="Times New Roman" w:hAnsi="Calibri" w:cs="Arial"/>
                <w:color w:val="000000"/>
                <w:sz w:val="18"/>
                <w:szCs w:val="18"/>
              </w:rPr>
              <w:t>VUS not considered disease-causing in this patient</w:t>
            </w:r>
          </w:p>
        </w:tc>
      </w:tr>
    </w:tbl>
    <w:p w14:paraId="1FB10B73" w14:textId="0FEA791E" w:rsidR="007361E6" w:rsidRPr="00762A2E" w:rsidRDefault="00AF5D25" w:rsidP="006F6533">
      <w:pPr>
        <w:spacing w:line="240" w:lineRule="auto"/>
        <w:jc w:val="both"/>
        <w:rPr>
          <w:rFonts w:eastAsia="Times New Roman" w:cs="Arial"/>
          <w:color w:val="000000"/>
          <w:kern w:val="24"/>
          <w:sz w:val="16"/>
          <w:szCs w:val="20"/>
          <w:lang w:eastAsia="de-DE"/>
        </w:rPr>
      </w:pPr>
      <w:r w:rsidRPr="00762A2E">
        <w:fldChar w:fldCharType="end"/>
      </w:r>
      <w:r w:rsidRPr="00762A2E">
        <w:rPr>
          <w:sz w:val="16"/>
          <w:szCs w:val="20"/>
        </w:rPr>
        <w:t xml:space="preserve">All mutations are novel with the exception of FANCS </w:t>
      </w:r>
      <w:r w:rsidR="003B21B2" w:rsidRPr="00762A2E">
        <w:rPr>
          <w:sz w:val="16"/>
          <w:szCs w:val="20"/>
        </w:rPr>
        <w:t>(</w:t>
      </w:r>
      <w:r w:rsidRPr="00762A2E">
        <w:rPr>
          <w:sz w:val="16"/>
          <w:szCs w:val="20"/>
        </w:rPr>
        <w:t>*</w:t>
      </w:r>
      <w:r w:rsidR="003B21B2" w:rsidRPr="00762A2E">
        <w:rPr>
          <w:sz w:val="16"/>
          <w:szCs w:val="20"/>
        </w:rPr>
        <w:t>)</w:t>
      </w:r>
      <w:r w:rsidR="00705CB7" w:rsidRPr="00762A2E">
        <w:rPr>
          <w:sz w:val="16"/>
          <w:szCs w:val="20"/>
        </w:rPr>
        <w:t xml:space="preserve"> and some of the GATA2 variants</w:t>
      </w:r>
      <w:r w:rsidRPr="00762A2E">
        <w:rPr>
          <w:sz w:val="16"/>
          <w:szCs w:val="20"/>
        </w:rPr>
        <w:t>. Abbreviations: VAF, variant allelic frequency; MAF, minor allele frequency; AL</w:t>
      </w:r>
      <w:r w:rsidR="006F6533" w:rsidRPr="00762A2E">
        <w:rPr>
          <w:sz w:val="16"/>
          <w:szCs w:val="20"/>
        </w:rPr>
        <w:t>T</w:t>
      </w:r>
      <w:r w:rsidRPr="00762A2E">
        <w:rPr>
          <w:sz w:val="16"/>
          <w:szCs w:val="20"/>
        </w:rPr>
        <w:t xml:space="preserve">, alternative allele; CADD, </w:t>
      </w:r>
      <w:r w:rsidRPr="00762A2E">
        <w:rPr>
          <w:rFonts w:eastAsia="Times New Roman" w:cs="Arial"/>
          <w:color w:val="000000"/>
          <w:kern w:val="24"/>
          <w:sz w:val="16"/>
          <w:szCs w:val="20"/>
          <w:lang w:eastAsia="de-DE"/>
        </w:rPr>
        <w:t xml:space="preserve">Combined annotation-dependent depletion score; </w:t>
      </w:r>
      <w:r w:rsidR="000C4F2B" w:rsidRPr="00762A2E">
        <w:rPr>
          <w:rFonts w:eastAsia="Times New Roman" w:cs="Arial"/>
          <w:color w:val="000000"/>
          <w:kern w:val="24"/>
          <w:sz w:val="16"/>
          <w:szCs w:val="20"/>
          <w:lang w:eastAsia="de-DE"/>
        </w:rPr>
        <w:t xml:space="preserve">GAVIN, Gene-Aware Variant Interpretation; B, benign; LP, likely pathogenic; </w:t>
      </w:r>
      <w:r w:rsidRPr="00762A2E">
        <w:rPr>
          <w:rFonts w:eastAsia="Times New Roman" w:cs="Arial"/>
          <w:color w:val="000000"/>
          <w:kern w:val="24"/>
          <w:sz w:val="16"/>
          <w:szCs w:val="20"/>
          <w:lang w:eastAsia="de-DE"/>
        </w:rPr>
        <w:t xml:space="preserve">FA, Fanconi anemia; </w:t>
      </w:r>
      <w:r w:rsidR="00366A5A" w:rsidRPr="00762A2E">
        <w:rPr>
          <w:rFonts w:eastAsia="Times New Roman" w:cs="Arial"/>
          <w:color w:val="000000"/>
          <w:kern w:val="24"/>
          <w:sz w:val="16"/>
          <w:szCs w:val="20"/>
          <w:lang w:eastAsia="de-DE"/>
        </w:rPr>
        <w:t xml:space="preserve">VUS, variant of uncertain significance; </w:t>
      </w:r>
      <w:r w:rsidR="00B26004" w:rsidRPr="00762A2E">
        <w:rPr>
          <w:rFonts w:eastAsia="Times New Roman" w:cs="Arial"/>
          <w:color w:val="000000"/>
          <w:kern w:val="24"/>
          <w:sz w:val="16"/>
          <w:szCs w:val="20"/>
          <w:lang w:eastAsia="de-DE"/>
        </w:rPr>
        <w:t xml:space="preserve">MEK, </w:t>
      </w:r>
      <w:r w:rsidR="00B26004" w:rsidRPr="00762A2E">
        <w:rPr>
          <w:sz w:val="16"/>
          <w:szCs w:val="20"/>
        </w:rPr>
        <w:t xml:space="preserve">mitogen-activated protein kinase </w:t>
      </w:r>
      <w:proofErr w:type="spellStart"/>
      <w:r w:rsidR="00B26004" w:rsidRPr="00762A2E">
        <w:rPr>
          <w:sz w:val="16"/>
          <w:szCs w:val="20"/>
        </w:rPr>
        <w:t>kinase</w:t>
      </w:r>
      <w:proofErr w:type="spellEnd"/>
      <w:r w:rsidR="00B26004" w:rsidRPr="00762A2E">
        <w:rPr>
          <w:sz w:val="16"/>
          <w:szCs w:val="20"/>
        </w:rPr>
        <w:t xml:space="preserve">; </w:t>
      </w:r>
      <w:r w:rsidR="00B26004" w:rsidRPr="00762A2E">
        <w:rPr>
          <w:rFonts w:eastAsia="Times New Roman" w:cs="Arial"/>
          <w:color w:val="000000"/>
          <w:kern w:val="24"/>
          <w:sz w:val="16"/>
          <w:szCs w:val="20"/>
          <w:lang w:eastAsia="de-DE"/>
        </w:rPr>
        <w:t xml:space="preserve">CFC, </w:t>
      </w:r>
      <w:proofErr w:type="spellStart"/>
      <w:r w:rsidR="00B26004" w:rsidRPr="00762A2E">
        <w:rPr>
          <w:rFonts w:eastAsia="Times New Roman" w:cs="Arial"/>
          <w:color w:val="000000"/>
          <w:kern w:val="24"/>
          <w:sz w:val="16"/>
          <w:szCs w:val="20"/>
          <w:lang w:eastAsia="de-DE"/>
        </w:rPr>
        <w:t>Cardiofaciocutaneous</w:t>
      </w:r>
      <w:proofErr w:type="spellEnd"/>
      <w:r w:rsidR="00B26004" w:rsidRPr="00762A2E">
        <w:rPr>
          <w:rFonts w:eastAsia="Times New Roman" w:cs="Arial"/>
          <w:color w:val="000000"/>
          <w:kern w:val="24"/>
          <w:sz w:val="16"/>
          <w:szCs w:val="20"/>
          <w:lang w:eastAsia="de-DE"/>
        </w:rPr>
        <w:t xml:space="preserve"> syndrome; PNH</w:t>
      </w:r>
      <w:r w:rsidR="00D84EFE" w:rsidRPr="00762A2E">
        <w:rPr>
          <w:rFonts w:eastAsia="Times New Roman" w:cs="Arial"/>
          <w:color w:val="000000"/>
          <w:kern w:val="24"/>
          <w:sz w:val="16"/>
          <w:szCs w:val="20"/>
          <w:lang w:eastAsia="de-DE"/>
        </w:rPr>
        <w:t>-</w:t>
      </w:r>
      <w:r w:rsidR="00B26004" w:rsidRPr="00762A2E">
        <w:rPr>
          <w:rFonts w:eastAsia="Times New Roman" w:cs="Arial"/>
          <w:color w:val="000000"/>
          <w:kern w:val="24"/>
          <w:sz w:val="16"/>
          <w:szCs w:val="20"/>
          <w:lang w:eastAsia="de-DE"/>
        </w:rPr>
        <w:t xml:space="preserve">2, </w:t>
      </w:r>
      <w:r w:rsidR="00B26004" w:rsidRPr="00762A2E">
        <w:rPr>
          <w:rStyle w:val="mim-font"/>
          <w:sz w:val="16"/>
          <w:szCs w:val="20"/>
        </w:rPr>
        <w:t>Paroxysmal nocturnal hemoglobinuria 2;</w:t>
      </w:r>
      <w:r w:rsidR="00B26004" w:rsidRPr="00762A2E">
        <w:rPr>
          <w:rFonts w:eastAsia="Times New Roman" w:cs="Arial"/>
          <w:color w:val="000000"/>
          <w:kern w:val="24"/>
          <w:sz w:val="16"/>
          <w:szCs w:val="20"/>
          <w:lang w:eastAsia="de-DE"/>
        </w:rPr>
        <w:t xml:space="preserve"> </w:t>
      </w:r>
      <w:r w:rsidRPr="00762A2E">
        <w:rPr>
          <w:rFonts w:eastAsia="Times New Roman" w:cs="Arial"/>
          <w:color w:val="000000"/>
          <w:kern w:val="24"/>
          <w:sz w:val="16"/>
          <w:szCs w:val="20"/>
          <w:lang w:eastAsia="de-DE"/>
        </w:rPr>
        <w:t xml:space="preserve">MIRAGE, myelodysplasia, infection, restriction of growth, adrenal hypoplasia, genital phenotypes, and enteropathy. Variants with CADD-scores higher than the pathogenic threshold obtained from </w:t>
      </w:r>
      <w:r w:rsidR="007361E6" w:rsidRPr="00762A2E">
        <w:rPr>
          <w:rFonts w:eastAsia="Times New Roman" w:cs="Arial"/>
          <w:color w:val="000000"/>
          <w:kern w:val="24"/>
          <w:sz w:val="16"/>
          <w:szCs w:val="20"/>
          <w:lang w:eastAsia="de-DE"/>
        </w:rPr>
        <w:t xml:space="preserve">GAVIN were </w:t>
      </w:r>
      <w:r w:rsidRPr="00762A2E">
        <w:rPr>
          <w:rFonts w:eastAsia="Times New Roman" w:cs="Arial"/>
          <w:color w:val="000000"/>
          <w:kern w:val="24"/>
          <w:sz w:val="16"/>
          <w:szCs w:val="20"/>
          <w:lang w:eastAsia="de-DE"/>
        </w:rPr>
        <w:t>considered as likely pathogenic</w:t>
      </w:r>
      <w:r w:rsidR="00514284" w:rsidRPr="00762A2E">
        <w:rPr>
          <w:rFonts w:eastAsia="Times New Roman" w:cs="Arial"/>
          <w:color w:val="000000"/>
          <w:kern w:val="24"/>
          <w:sz w:val="16"/>
          <w:szCs w:val="20"/>
          <w:lang w:eastAsia="de-DE"/>
        </w:rPr>
        <w:t xml:space="preserve"> with the exception of </w:t>
      </w:r>
      <w:r w:rsidR="00514284" w:rsidRPr="00762A2E">
        <w:rPr>
          <w:rFonts w:eastAsia="Times New Roman" w:cs="Arial"/>
          <w:i/>
          <w:color w:val="000000"/>
          <w:kern w:val="24"/>
          <w:sz w:val="16"/>
          <w:szCs w:val="20"/>
          <w:lang w:eastAsia="de-DE"/>
        </w:rPr>
        <w:t>SAMD9</w:t>
      </w:r>
      <w:r w:rsidR="00514284" w:rsidRPr="00762A2E">
        <w:rPr>
          <w:rFonts w:eastAsia="Times New Roman" w:cs="Arial"/>
          <w:color w:val="000000"/>
          <w:kern w:val="24"/>
          <w:sz w:val="16"/>
          <w:szCs w:val="20"/>
          <w:lang w:eastAsia="de-DE"/>
        </w:rPr>
        <w:t xml:space="preserve"> and synonymous </w:t>
      </w:r>
      <w:r w:rsidR="00514284" w:rsidRPr="00762A2E">
        <w:rPr>
          <w:rFonts w:eastAsia="Times New Roman" w:cs="Arial"/>
          <w:i/>
          <w:color w:val="000000"/>
          <w:kern w:val="24"/>
          <w:sz w:val="16"/>
          <w:szCs w:val="20"/>
          <w:lang w:eastAsia="de-DE"/>
        </w:rPr>
        <w:t>GATA2</w:t>
      </w:r>
      <w:r w:rsidR="00514284" w:rsidRPr="00762A2E">
        <w:rPr>
          <w:rFonts w:eastAsia="Times New Roman" w:cs="Arial"/>
          <w:color w:val="000000"/>
          <w:kern w:val="24"/>
          <w:sz w:val="16"/>
          <w:szCs w:val="20"/>
          <w:lang w:eastAsia="de-DE"/>
        </w:rPr>
        <w:t xml:space="preserve"> mutations</w:t>
      </w:r>
      <w:r w:rsidRPr="00762A2E">
        <w:rPr>
          <w:rFonts w:eastAsia="Times New Roman" w:cs="Arial"/>
          <w:color w:val="000000"/>
          <w:kern w:val="24"/>
          <w:sz w:val="16"/>
          <w:szCs w:val="20"/>
          <w:lang w:eastAsia="de-DE"/>
        </w:rPr>
        <w:t>.</w:t>
      </w:r>
      <w:r w:rsidR="007361E6" w:rsidRPr="00762A2E">
        <w:rPr>
          <w:rFonts w:eastAsia="Times New Roman" w:cs="Arial"/>
          <w:color w:val="000000"/>
          <w:kern w:val="24"/>
          <w:sz w:val="16"/>
          <w:szCs w:val="20"/>
          <w:lang w:eastAsia="de-DE"/>
        </w:rPr>
        <w:t xml:space="preserve"> GAVIN 5.0 thresholds: </w:t>
      </w:r>
      <w:r w:rsidR="007361E6" w:rsidRPr="00762A2E">
        <w:rPr>
          <w:rFonts w:eastAsia="Times New Roman" w:cs="Arial"/>
          <w:i/>
          <w:color w:val="000000"/>
          <w:kern w:val="24"/>
          <w:sz w:val="16"/>
          <w:szCs w:val="20"/>
          <w:lang w:eastAsia="de-DE"/>
        </w:rPr>
        <w:t>GATA2</w:t>
      </w:r>
      <w:r w:rsidR="007361E6" w:rsidRPr="00762A2E">
        <w:rPr>
          <w:rFonts w:eastAsia="Times New Roman" w:cs="Arial"/>
          <w:color w:val="000000"/>
          <w:kern w:val="24"/>
          <w:sz w:val="16"/>
          <w:szCs w:val="20"/>
          <w:lang w:eastAsia="de-DE"/>
        </w:rPr>
        <w:t xml:space="preserve"> (pathogenic if CADD &gt; 26.03, benign if &lt; 19.23; C2), </w:t>
      </w:r>
      <w:r w:rsidR="007361E6" w:rsidRPr="00762A2E">
        <w:rPr>
          <w:rFonts w:eastAsia="Times New Roman" w:cs="Arial"/>
          <w:i/>
          <w:color w:val="000000"/>
          <w:kern w:val="24"/>
          <w:sz w:val="16"/>
          <w:szCs w:val="20"/>
          <w:lang w:eastAsia="de-DE"/>
        </w:rPr>
        <w:t>FANCD1</w:t>
      </w:r>
      <w:r w:rsidR="007361E6" w:rsidRPr="00762A2E">
        <w:rPr>
          <w:rFonts w:eastAsia="Times New Roman" w:cs="Arial"/>
          <w:color w:val="000000"/>
          <w:kern w:val="24"/>
          <w:sz w:val="16"/>
          <w:szCs w:val="20"/>
          <w:lang w:eastAsia="de-DE"/>
        </w:rPr>
        <w:t xml:space="preserve"> (pathogenic if CADD &gt; 32.6, benign if &lt; 16.47; C4), </w:t>
      </w:r>
      <w:r w:rsidR="007361E6" w:rsidRPr="00762A2E">
        <w:rPr>
          <w:rFonts w:eastAsia="Times New Roman" w:cs="Arial"/>
          <w:i/>
          <w:color w:val="000000"/>
          <w:kern w:val="24"/>
          <w:sz w:val="16"/>
          <w:szCs w:val="20"/>
          <w:lang w:eastAsia="de-DE"/>
        </w:rPr>
        <w:t>MAP2K1</w:t>
      </w:r>
      <w:r w:rsidR="007361E6" w:rsidRPr="00762A2E">
        <w:rPr>
          <w:rFonts w:eastAsia="Times New Roman" w:cs="Arial"/>
          <w:color w:val="000000"/>
          <w:kern w:val="24"/>
          <w:sz w:val="16"/>
          <w:szCs w:val="20"/>
          <w:lang w:eastAsia="de-DE"/>
        </w:rPr>
        <w:t xml:space="preserve"> (pathogenic if CADD &gt; 23.5, benign if &lt; 20.32; C1), </w:t>
      </w:r>
      <w:r w:rsidR="007361E6" w:rsidRPr="00762A2E">
        <w:rPr>
          <w:rFonts w:eastAsia="Times New Roman" w:cs="Arial"/>
          <w:i/>
          <w:color w:val="000000"/>
          <w:kern w:val="24"/>
          <w:sz w:val="16"/>
          <w:szCs w:val="20"/>
          <w:lang w:eastAsia="de-DE"/>
        </w:rPr>
        <w:t>PIGT</w:t>
      </w:r>
      <w:r w:rsidR="007361E6" w:rsidRPr="00762A2E">
        <w:rPr>
          <w:rFonts w:eastAsia="Times New Roman" w:cs="Arial"/>
          <w:color w:val="000000"/>
          <w:kern w:val="24"/>
          <w:sz w:val="16"/>
          <w:szCs w:val="20"/>
          <w:lang w:eastAsia="de-DE"/>
        </w:rPr>
        <w:t xml:space="preserve"> (pathogenic if CADD &gt; 36.6, benign if &lt; 20.14; C4), </w:t>
      </w:r>
      <w:r w:rsidR="007361E6" w:rsidRPr="00762A2E">
        <w:rPr>
          <w:rFonts w:eastAsia="Times New Roman" w:cs="Arial"/>
          <w:i/>
          <w:color w:val="000000"/>
          <w:kern w:val="24"/>
          <w:sz w:val="16"/>
          <w:szCs w:val="20"/>
          <w:lang w:eastAsia="de-DE"/>
        </w:rPr>
        <w:t>FANCD2</w:t>
      </w:r>
      <w:r w:rsidR="007361E6" w:rsidRPr="00762A2E">
        <w:rPr>
          <w:rFonts w:eastAsia="Times New Roman" w:cs="Arial"/>
          <w:color w:val="000000"/>
          <w:kern w:val="24"/>
          <w:sz w:val="16"/>
          <w:szCs w:val="20"/>
          <w:lang w:eastAsia="de-DE"/>
        </w:rPr>
        <w:t xml:space="preserve"> (pathogenic if CADD &gt; 34, benign if &lt; 10.23; C4), </w:t>
      </w:r>
      <w:r w:rsidR="007361E6" w:rsidRPr="00762A2E">
        <w:rPr>
          <w:rFonts w:eastAsia="Times New Roman" w:cs="Arial"/>
          <w:i/>
          <w:color w:val="000000"/>
          <w:kern w:val="24"/>
          <w:sz w:val="16"/>
          <w:szCs w:val="20"/>
          <w:lang w:eastAsia="de-DE"/>
        </w:rPr>
        <w:t>FANCS</w:t>
      </w:r>
      <w:r w:rsidR="007361E6" w:rsidRPr="00762A2E">
        <w:rPr>
          <w:rFonts w:eastAsia="Times New Roman" w:cs="Arial"/>
          <w:color w:val="000000"/>
          <w:kern w:val="24"/>
          <w:sz w:val="16"/>
          <w:szCs w:val="20"/>
          <w:lang w:eastAsia="de-DE"/>
        </w:rPr>
        <w:t xml:space="preserve"> (pathogenic if CADD &gt; 30, benign if &lt; 13.06; C4).  Explanation of GAVIN gene calibration categories: C1 = CADD scores highly significantly predictive for pathogenicity (</w:t>
      </w:r>
      <w:r w:rsidR="007361E6" w:rsidRPr="00762A2E">
        <w:rPr>
          <w:rFonts w:eastAsia="Times New Roman" w:cs="Arial"/>
          <w:i/>
          <w:color w:val="000000"/>
          <w:kern w:val="24"/>
          <w:sz w:val="16"/>
          <w:szCs w:val="20"/>
          <w:lang w:eastAsia="de-DE"/>
        </w:rPr>
        <w:t>p</w:t>
      </w:r>
      <w:r w:rsidR="007361E6" w:rsidRPr="00762A2E">
        <w:rPr>
          <w:rFonts w:eastAsia="Times New Roman" w:cs="Arial"/>
          <w:color w:val="000000"/>
          <w:kern w:val="24"/>
          <w:sz w:val="16"/>
          <w:szCs w:val="20"/>
          <w:lang w:eastAsia="de-DE"/>
        </w:rPr>
        <w:t xml:space="preserve"> &lt; 0.01); C2 = CADD scores significantly predictive for pathogenicity (</w:t>
      </w:r>
      <w:r w:rsidR="007361E6" w:rsidRPr="00762A2E">
        <w:rPr>
          <w:rFonts w:eastAsia="Times New Roman" w:cs="Arial"/>
          <w:i/>
          <w:color w:val="000000"/>
          <w:kern w:val="24"/>
          <w:sz w:val="16"/>
          <w:szCs w:val="20"/>
          <w:lang w:eastAsia="de-DE"/>
        </w:rPr>
        <w:t>p</w:t>
      </w:r>
      <w:r w:rsidR="007361E6" w:rsidRPr="00762A2E">
        <w:rPr>
          <w:rFonts w:eastAsia="Times New Roman" w:cs="Arial"/>
          <w:color w:val="000000"/>
          <w:kern w:val="24"/>
          <w:sz w:val="16"/>
          <w:szCs w:val="20"/>
          <w:lang w:eastAsia="de-DE"/>
        </w:rPr>
        <w:t xml:space="preserve"> &lt; 0.05); C3 = CADD scores may be predictive for pathogenicity (</w:t>
      </w:r>
      <w:r w:rsidR="007361E6" w:rsidRPr="00762A2E">
        <w:rPr>
          <w:rFonts w:eastAsia="Times New Roman" w:cs="Arial"/>
          <w:i/>
          <w:color w:val="000000"/>
          <w:kern w:val="24"/>
          <w:sz w:val="16"/>
          <w:szCs w:val="20"/>
          <w:lang w:eastAsia="de-DE"/>
        </w:rPr>
        <w:t>p</w:t>
      </w:r>
      <w:r w:rsidR="007361E6" w:rsidRPr="00762A2E">
        <w:rPr>
          <w:rFonts w:eastAsia="Times New Roman" w:cs="Arial"/>
          <w:color w:val="000000"/>
          <w:kern w:val="24"/>
          <w:sz w:val="16"/>
          <w:szCs w:val="20"/>
          <w:lang w:eastAsia="de-DE"/>
        </w:rPr>
        <w:t xml:space="preserve"> &gt; 0.05 but with few samples); C4 = CADD scores less predictive for pathogenicity (</w:t>
      </w:r>
      <w:r w:rsidR="007361E6" w:rsidRPr="00762A2E">
        <w:rPr>
          <w:rFonts w:eastAsia="Times New Roman" w:cs="Arial"/>
          <w:i/>
          <w:color w:val="000000"/>
          <w:kern w:val="24"/>
          <w:sz w:val="16"/>
          <w:szCs w:val="20"/>
          <w:lang w:eastAsia="de-DE"/>
        </w:rPr>
        <w:t>p</w:t>
      </w:r>
      <w:r w:rsidR="007361E6" w:rsidRPr="00762A2E">
        <w:rPr>
          <w:rFonts w:eastAsia="Times New Roman" w:cs="Arial"/>
          <w:color w:val="000000"/>
          <w:kern w:val="24"/>
          <w:sz w:val="16"/>
          <w:szCs w:val="20"/>
          <w:lang w:eastAsia="de-DE"/>
        </w:rPr>
        <w:t xml:space="preserve"> &gt; 0.05 with enough samples).</w:t>
      </w:r>
    </w:p>
    <w:p w14:paraId="644FA7A0" w14:textId="77777777" w:rsidR="007361E6" w:rsidRPr="00762A2E" w:rsidRDefault="007361E6" w:rsidP="006F6533">
      <w:pPr>
        <w:spacing w:line="240" w:lineRule="auto"/>
        <w:jc w:val="both"/>
        <w:rPr>
          <w:rFonts w:eastAsia="Times New Roman" w:cs="Arial"/>
          <w:color w:val="000000"/>
          <w:kern w:val="24"/>
          <w:sz w:val="20"/>
          <w:szCs w:val="20"/>
          <w:lang w:eastAsia="de-DE"/>
        </w:rPr>
        <w:sectPr w:rsidR="007361E6" w:rsidRPr="00762A2E" w:rsidSect="008F474D">
          <w:pgSz w:w="15840" w:h="12240" w:orient="landscape"/>
          <w:pgMar w:top="993" w:right="1418" w:bottom="709" w:left="1134" w:header="720" w:footer="720" w:gutter="0"/>
          <w:cols w:space="720"/>
          <w:docGrid w:linePitch="360"/>
        </w:sectPr>
      </w:pPr>
    </w:p>
    <w:p w14:paraId="7AFC3B11" w14:textId="673DC76F" w:rsidR="000125A4" w:rsidRPr="00762A2E" w:rsidRDefault="008F474D" w:rsidP="00974046">
      <w:pPr>
        <w:jc w:val="both"/>
        <w:rPr>
          <w:rFonts w:ascii="Calibri" w:hAnsi="Calibri"/>
        </w:rPr>
      </w:pPr>
      <w:r w:rsidRPr="00762A2E">
        <w:rPr>
          <w:rFonts w:ascii="Calibri" w:hAnsi="Calibri"/>
          <w:b/>
        </w:rPr>
        <w:lastRenderedPageBreak/>
        <w:t xml:space="preserve">Supplemental Table </w:t>
      </w:r>
      <w:r w:rsidR="00974046" w:rsidRPr="00762A2E">
        <w:rPr>
          <w:rFonts w:ascii="Calibri" w:hAnsi="Calibri"/>
          <w:b/>
        </w:rPr>
        <w:t>2</w:t>
      </w:r>
      <w:r w:rsidRPr="00762A2E">
        <w:rPr>
          <w:rFonts w:ascii="Calibri" w:hAnsi="Calibri"/>
          <w:b/>
        </w:rPr>
        <w:t xml:space="preserve">. </w:t>
      </w:r>
      <w:r w:rsidR="000125A4" w:rsidRPr="00762A2E">
        <w:rPr>
          <w:rFonts w:ascii="Calibri" w:hAnsi="Calibri"/>
        </w:rPr>
        <w:t xml:space="preserve">Sequence and position of </w:t>
      </w:r>
      <w:r w:rsidR="000125A4" w:rsidRPr="00762A2E">
        <w:rPr>
          <w:rFonts w:ascii="Calibri" w:hAnsi="Calibri"/>
          <w:i/>
        </w:rPr>
        <w:t>GATA2</w:t>
      </w:r>
      <w:r w:rsidR="000125A4" w:rsidRPr="00762A2E">
        <w:rPr>
          <w:rFonts w:ascii="Calibri" w:hAnsi="Calibri"/>
        </w:rPr>
        <w:t xml:space="preserve"> specific p</w:t>
      </w:r>
      <w:r w:rsidR="00A17DED" w:rsidRPr="00762A2E">
        <w:rPr>
          <w:rFonts w:ascii="Calibri" w:hAnsi="Calibri"/>
        </w:rPr>
        <w:t>rimers used for cDNA sequencing</w:t>
      </w:r>
      <w:r w:rsidR="00F66A77" w:rsidRPr="00762A2E">
        <w:rPr>
          <w:rFonts w:ascii="Calibri" w:hAnsi="Calibri"/>
        </w:rPr>
        <w:t>.</w:t>
      </w:r>
      <w:r w:rsidR="00614067" w:rsidRPr="00762A2E">
        <w:rPr>
          <w:rFonts w:ascii="Calibri" w:hAnsi="Calibri"/>
        </w:rPr>
        <w:t xml:space="preserve"> </w:t>
      </w:r>
      <w:r w:rsidR="00E12F3E" w:rsidRPr="00762A2E">
        <w:rPr>
          <w:rFonts w:ascii="Calibri" w:hAnsi="Calibri"/>
        </w:rPr>
        <w:t>For pr</w:t>
      </w:r>
      <w:r w:rsidR="00DA5F92" w:rsidRPr="00762A2E">
        <w:rPr>
          <w:rFonts w:ascii="Calibri" w:hAnsi="Calibri"/>
        </w:rPr>
        <w:t xml:space="preserve">imer design, binding sites were </w:t>
      </w:r>
      <w:r w:rsidR="00E12F3E" w:rsidRPr="00762A2E">
        <w:rPr>
          <w:rFonts w:ascii="Calibri" w:hAnsi="Calibri"/>
        </w:rPr>
        <w:t xml:space="preserve">selected that do not contain polymorphic sequence (single nucleotide variation and copy number variation). </w:t>
      </w:r>
    </w:p>
    <w:tbl>
      <w:tblPr>
        <w:tblpPr w:leftFromText="180" w:rightFromText="180" w:vertAnchor="text" w:horzAnchor="margin" w:tblpXSpec="center" w:tblpY="323"/>
        <w:tblW w:w="8010" w:type="dxa"/>
        <w:tblCellMar>
          <w:left w:w="0" w:type="dxa"/>
          <w:right w:w="0" w:type="dxa"/>
        </w:tblCellMar>
        <w:tblLook w:val="04A0" w:firstRow="1" w:lastRow="0" w:firstColumn="1" w:lastColumn="0" w:noHBand="0" w:noVBand="1"/>
      </w:tblPr>
      <w:tblGrid>
        <w:gridCol w:w="1542"/>
        <w:gridCol w:w="1428"/>
        <w:gridCol w:w="3060"/>
        <w:gridCol w:w="990"/>
        <w:gridCol w:w="990"/>
      </w:tblGrid>
      <w:tr w:rsidR="000125A4" w:rsidRPr="00762A2E" w14:paraId="34469324" w14:textId="77777777" w:rsidTr="0002245F">
        <w:tc>
          <w:tcPr>
            <w:tcW w:w="1542" w:type="dxa"/>
            <w:tcBorders>
              <w:top w:val="single" w:sz="8" w:space="0" w:color="000000"/>
              <w:left w:val="nil"/>
              <w:bottom w:val="single" w:sz="8" w:space="0" w:color="000000"/>
              <w:right w:val="nil"/>
            </w:tcBorders>
            <w:shd w:val="clear" w:color="auto" w:fill="auto"/>
            <w:tcMar>
              <w:top w:w="15" w:type="dxa"/>
              <w:left w:w="108" w:type="dxa"/>
              <w:bottom w:w="0" w:type="dxa"/>
              <w:right w:w="108" w:type="dxa"/>
            </w:tcMar>
            <w:vAlign w:val="center"/>
            <w:hideMark/>
          </w:tcPr>
          <w:p w14:paraId="3972ECFE" w14:textId="77777777" w:rsidR="000125A4" w:rsidRPr="00762A2E" w:rsidRDefault="000125A4" w:rsidP="007F14F0">
            <w:pPr>
              <w:spacing w:after="0" w:line="240" w:lineRule="auto"/>
              <w:rPr>
                <w:rFonts w:ascii="Arial" w:eastAsia="Times New Roman" w:hAnsi="Arial" w:cs="Arial"/>
                <w:sz w:val="20"/>
                <w:szCs w:val="20"/>
              </w:rPr>
            </w:pPr>
            <w:r w:rsidRPr="00762A2E">
              <w:rPr>
                <w:rFonts w:ascii="Calibri" w:hAnsi="Calibri" w:cs="Times New Roman"/>
                <w:b/>
                <w:bCs/>
                <w:color w:val="000000"/>
                <w:kern w:val="24"/>
                <w:sz w:val="20"/>
                <w:szCs w:val="20"/>
              </w:rPr>
              <w:t>Mutation</w:t>
            </w:r>
          </w:p>
        </w:tc>
        <w:tc>
          <w:tcPr>
            <w:tcW w:w="1428" w:type="dxa"/>
            <w:tcBorders>
              <w:top w:val="single" w:sz="8" w:space="0" w:color="000000"/>
              <w:left w:val="nil"/>
              <w:bottom w:val="single" w:sz="8" w:space="0" w:color="000000"/>
              <w:right w:val="nil"/>
            </w:tcBorders>
            <w:shd w:val="clear" w:color="auto" w:fill="auto"/>
            <w:tcMar>
              <w:top w:w="15" w:type="dxa"/>
              <w:left w:w="108" w:type="dxa"/>
              <w:bottom w:w="0" w:type="dxa"/>
              <w:right w:w="108" w:type="dxa"/>
            </w:tcMar>
            <w:vAlign w:val="center"/>
            <w:hideMark/>
          </w:tcPr>
          <w:p w14:paraId="08FAA2D2" w14:textId="77777777" w:rsidR="000125A4" w:rsidRPr="00762A2E" w:rsidRDefault="000125A4" w:rsidP="007F14F0">
            <w:pPr>
              <w:spacing w:after="0" w:line="240" w:lineRule="auto"/>
              <w:rPr>
                <w:rFonts w:ascii="Arial" w:eastAsia="Times New Roman" w:hAnsi="Arial" w:cs="Arial"/>
                <w:sz w:val="20"/>
                <w:szCs w:val="20"/>
              </w:rPr>
            </w:pPr>
            <w:r w:rsidRPr="00762A2E">
              <w:rPr>
                <w:rFonts w:ascii="Calibri" w:hAnsi="Calibri" w:cs="Times New Roman"/>
                <w:b/>
                <w:bCs/>
                <w:color w:val="000000"/>
                <w:kern w:val="24"/>
                <w:sz w:val="20"/>
                <w:szCs w:val="20"/>
              </w:rPr>
              <w:t>Primer pair</w:t>
            </w:r>
          </w:p>
        </w:tc>
        <w:tc>
          <w:tcPr>
            <w:tcW w:w="3060" w:type="dxa"/>
            <w:tcBorders>
              <w:top w:val="single" w:sz="8" w:space="0" w:color="000000"/>
              <w:left w:val="nil"/>
              <w:bottom w:val="single" w:sz="8" w:space="0" w:color="000000"/>
              <w:right w:val="nil"/>
            </w:tcBorders>
            <w:shd w:val="clear" w:color="auto" w:fill="auto"/>
            <w:tcMar>
              <w:top w:w="15" w:type="dxa"/>
              <w:left w:w="108" w:type="dxa"/>
              <w:bottom w:w="0" w:type="dxa"/>
              <w:right w:w="108" w:type="dxa"/>
            </w:tcMar>
            <w:vAlign w:val="center"/>
            <w:hideMark/>
          </w:tcPr>
          <w:p w14:paraId="1244FDE7" w14:textId="77777777" w:rsidR="000125A4" w:rsidRPr="00762A2E" w:rsidRDefault="000125A4" w:rsidP="007F14F0">
            <w:pPr>
              <w:spacing w:after="0" w:line="240" w:lineRule="auto"/>
              <w:rPr>
                <w:rFonts w:ascii="Arial" w:eastAsia="Times New Roman" w:hAnsi="Arial" w:cs="Arial"/>
                <w:sz w:val="20"/>
                <w:szCs w:val="20"/>
              </w:rPr>
            </w:pPr>
            <w:r w:rsidRPr="00762A2E">
              <w:rPr>
                <w:rFonts w:ascii="Calibri" w:hAnsi="Calibri" w:cs="Times New Roman"/>
                <w:b/>
                <w:bCs/>
                <w:color w:val="000000"/>
                <w:kern w:val="24"/>
                <w:sz w:val="20"/>
                <w:szCs w:val="20"/>
              </w:rPr>
              <w:t>Primer sequence</w:t>
            </w:r>
          </w:p>
        </w:tc>
        <w:tc>
          <w:tcPr>
            <w:tcW w:w="990" w:type="dxa"/>
            <w:tcBorders>
              <w:top w:val="single" w:sz="8" w:space="0" w:color="000000"/>
              <w:left w:val="nil"/>
              <w:bottom w:val="single" w:sz="8" w:space="0" w:color="000000"/>
              <w:right w:val="nil"/>
            </w:tcBorders>
            <w:shd w:val="clear" w:color="auto" w:fill="auto"/>
            <w:tcMar>
              <w:top w:w="15" w:type="dxa"/>
              <w:left w:w="108" w:type="dxa"/>
              <w:bottom w:w="0" w:type="dxa"/>
              <w:right w:w="108" w:type="dxa"/>
            </w:tcMar>
            <w:vAlign w:val="center"/>
            <w:hideMark/>
          </w:tcPr>
          <w:p w14:paraId="7BCD2F73" w14:textId="77777777" w:rsidR="000125A4" w:rsidRPr="00762A2E" w:rsidRDefault="000125A4" w:rsidP="007F14F0">
            <w:pPr>
              <w:spacing w:after="0" w:line="240" w:lineRule="auto"/>
              <w:rPr>
                <w:rFonts w:ascii="Arial" w:eastAsia="Times New Roman" w:hAnsi="Arial" w:cs="Arial"/>
                <w:sz w:val="20"/>
                <w:szCs w:val="20"/>
              </w:rPr>
            </w:pPr>
            <w:r w:rsidRPr="00762A2E">
              <w:rPr>
                <w:rFonts w:ascii="Calibri" w:hAnsi="Calibri" w:cs="Times New Roman"/>
                <w:b/>
                <w:bCs/>
                <w:color w:val="000000"/>
                <w:kern w:val="24"/>
                <w:sz w:val="20"/>
                <w:szCs w:val="20"/>
              </w:rPr>
              <w:t>Start</w:t>
            </w:r>
          </w:p>
        </w:tc>
        <w:tc>
          <w:tcPr>
            <w:tcW w:w="990" w:type="dxa"/>
            <w:tcBorders>
              <w:top w:val="single" w:sz="8" w:space="0" w:color="000000"/>
              <w:left w:val="nil"/>
              <w:bottom w:val="single" w:sz="8" w:space="0" w:color="000000"/>
              <w:right w:val="nil"/>
            </w:tcBorders>
            <w:shd w:val="clear" w:color="auto" w:fill="auto"/>
            <w:tcMar>
              <w:top w:w="15" w:type="dxa"/>
              <w:left w:w="108" w:type="dxa"/>
              <w:bottom w:w="0" w:type="dxa"/>
              <w:right w:w="108" w:type="dxa"/>
            </w:tcMar>
            <w:vAlign w:val="center"/>
            <w:hideMark/>
          </w:tcPr>
          <w:p w14:paraId="09A25940" w14:textId="77777777" w:rsidR="000125A4" w:rsidRPr="00762A2E" w:rsidRDefault="000125A4" w:rsidP="007F14F0">
            <w:pPr>
              <w:spacing w:after="0" w:line="240" w:lineRule="auto"/>
              <w:rPr>
                <w:rFonts w:ascii="Arial" w:eastAsia="Times New Roman" w:hAnsi="Arial" w:cs="Arial"/>
                <w:sz w:val="20"/>
                <w:szCs w:val="20"/>
              </w:rPr>
            </w:pPr>
            <w:r w:rsidRPr="00762A2E">
              <w:rPr>
                <w:rFonts w:ascii="Calibri" w:hAnsi="Calibri" w:cs="Times New Roman"/>
                <w:b/>
                <w:bCs/>
                <w:color w:val="000000"/>
                <w:kern w:val="24"/>
                <w:sz w:val="20"/>
                <w:szCs w:val="20"/>
              </w:rPr>
              <w:t>End</w:t>
            </w:r>
          </w:p>
        </w:tc>
      </w:tr>
      <w:tr w:rsidR="000125A4" w:rsidRPr="00762A2E" w14:paraId="1683A777" w14:textId="77777777" w:rsidTr="0002245F">
        <w:tc>
          <w:tcPr>
            <w:tcW w:w="1542" w:type="dxa"/>
            <w:vMerge w:val="restart"/>
            <w:tcBorders>
              <w:top w:val="single" w:sz="8" w:space="0" w:color="000000"/>
              <w:left w:val="nil"/>
              <w:bottom w:val="nil"/>
              <w:right w:val="nil"/>
            </w:tcBorders>
            <w:shd w:val="clear" w:color="auto" w:fill="auto"/>
            <w:tcMar>
              <w:top w:w="15" w:type="dxa"/>
              <w:left w:w="108" w:type="dxa"/>
              <w:bottom w:w="0" w:type="dxa"/>
              <w:right w:w="108" w:type="dxa"/>
            </w:tcMar>
            <w:vAlign w:val="center"/>
            <w:hideMark/>
          </w:tcPr>
          <w:p w14:paraId="128789F9" w14:textId="7E42C9D1" w:rsidR="000125A4" w:rsidRPr="00762A2E" w:rsidRDefault="000125A4" w:rsidP="007F14F0">
            <w:pPr>
              <w:spacing w:after="0" w:line="240" w:lineRule="auto"/>
              <w:rPr>
                <w:rFonts w:ascii="Arial" w:eastAsia="Times New Roman" w:hAnsi="Arial" w:cs="Arial"/>
                <w:sz w:val="20"/>
                <w:szCs w:val="20"/>
              </w:rPr>
            </w:pPr>
            <w:r w:rsidRPr="00762A2E">
              <w:rPr>
                <w:rFonts w:ascii="Calibri" w:hAnsi="Calibri" w:cs="Times New Roman"/>
                <w:color w:val="000000"/>
                <w:kern w:val="24"/>
                <w:sz w:val="20"/>
                <w:szCs w:val="20"/>
              </w:rPr>
              <w:t>c.351C&gt;G</w:t>
            </w:r>
            <w:r w:rsidR="00246B81" w:rsidRPr="00762A2E">
              <w:rPr>
                <w:rFonts w:ascii="Calibri" w:hAnsi="Calibri" w:cs="Times New Roman"/>
                <w:color w:val="000000"/>
                <w:kern w:val="24"/>
                <w:sz w:val="20"/>
                <w:szCs w:val="20"/>
              </w:rPr>
              <w:t xml:space="preserve"> (P1-3)</w:t>
            </w:r>
          </w:p>
        </w:tc>
        <w:tc>
          <w:tcPr>
            <w:tcW w:w="1428" w:type="dxa"/>
            <w:tcBorders>
              <w:top w:val="single" w:sz="8" w:space="0" w:color="000000"/>
              <w:left w:val="nil"/>
              <w:bottom w:val="nil"/>
              <w:right w:val="nil"/>
            </w:tcBorders>
            <w:shd w:val="clear" w:color="auto" w:fill="auto"/>
            <w:tcMar>
              <w:top w:w="15" w:type="dxa"/>
              <w:left w:w="108" w:type="dxa"/>
              <w:bottom w:w="0" w:type="dxa"/>
              <w:right w:w="108" w:type="dxa"/>
            </w:tcMar>
            <w:hideMark/>
          </w:tcPr>
          <w:p w14:paraId="74C4CA47" w14:textId="77777777" w:rsidR="000125A4" w:rsidRPr="00762A2E" w:rsidRDefault="000125A4" w:rsidP="007F14F0">
            <w:pPr>
              <w:spacing w:after="0" w:line="240" w:lineRule="auto"/>
              <w:jc w:val="both"/>
              <w:rPr>
                <w:rFonts w:ascii="Arial" w:eastAsia="Times New Roman" w:hAnsi="Arial" w:cs="Arial"/>
                <w:sz w:val="20"/>
                <w:szCs w:val="20"/>
              </w:rPr>
            </w:pPr>
            <w:r w:rsidRPr="00762A2E">
              <w:rPr>
                <w:rFonts w:ascii="Calibri" w:hAnsi="Calibri" w:cs="Times New Roman"/>
                <w:color w:val="000000"/>
                <w:kern w:val="24"/>
                <w:sz w:val="20"/>
                <w:szCs w:val="20"/>
              </w:rPr>
              <w:t>F1</w:t>
            </w:r>
          </w:p>
        </w:tc>
        <w:tc>
          <w:tcPr>
            <w:tcW w:w="3060" w:type="dxa"/>
            <w:tcBorders>
              <w:top w:val="single" w:sz="8" w:space="0" w:color="000000"/>
              <w:left w:val="nil"/>
              <w:bottom w:val="nil"/>
              <w:right w:val="nil"/>
            </w:tcBorders>
            <w:shd w:val="clear" w:color="auto" w:fill="auto"/>
            <w:tcMar>
              <w:top w:w="15" w:type="dxa"/>
              <w:left w:w="108" w:type="dxa"/>
              <w:bottom w:w="0" w:type="dxa"/>
              <w:right w:w="108" w:type="dxa"/>
            </w:tcMar>
            <w:hideMark/>
          </w:tcPr>
          <w:p w14:paraId="3C91082B" w14:textId="77777777" w:rsidR="000125A4" w:rsidRPr="00762A2E" w:rsidRDefault="00BA359E" w:rsidP="007F14F0">
            <w:pPr>
              <w:spacing w:after="0" w:line="240" w:lineRule="auto"/>
              <w:jc w:val="both"/>
              <w:rPr>
                <w:rFonts w:eastAsia="Times New Roman" w:cs="Arial"/>
                <w:sz w:val="20"/>
                <w:szCs w:val="20"/>
              </w:rPr>
            </w:pPr>
            <w:r w:rsidRPr="00762A2E">
              <w:rPr>
                <w:rFonts w:cs="Times New Roman"/>
                <w:color w:val="000000"/>
                <w:kern w:val="24"/>
                <w:sz w:val="20"/>
                <w:szCs w:val="20"/>
              </w:rPr>
              <w:t>TACAGCCCCGCGCACGCCCG</w:t>
            </w:r>
          </w:p>
        </w:tc>
        <w:tc>
          <w:tcPr>
            <w:tcW w:w="990" w:type="dxa"/>
            <w:tcBorders>
              <w:top w:val="single" w:sz="8" w:space="0" w:color="000000"/>
              <w:left w:val="nil"/>
              <w:bottom w:val="nil"/>
              <w:right w:val="nil"/>
            </w:tcBorders>
            <w:shd w:val="clear" w:color="auto" w:fill="auto"/>
            <w:tcMar>
              <w:top w:w="15" w:type="dxa"/>
              <w:left w:w="108" w:type="dxa"/>
              <w:bottom w:w="0" w:type="dxa"/>
              <w:right w:w="108" w:type="dxa"/>
            </w:tcMar>
            <w:hideMark/>
          </w:tcPr>
          <w:p w14:paraId="22F3358F" w14:textId="77777777" w:rsidR="000125A4" w:rsidRPr="00762A2E" w:rsidRDefault="000125A4" w:rsidP="007F14F0">
            <w:pPr>
              <w:spacing w:after="0" w:line="240" w:lineRule="auto"/>
              <w:jc w:val="both"/>
              <w:rPr>
                <w:rFonts w:ascii="Arial" w:eastAsia="Times New Roman" w:hAnsi="Arial" w:cs="Arial"/>
                <w:sz w:val="20"/>
                <w:szCs w:val="20"/>
              </w:rPr>
            </w:pPr>
            <w:r w:rsidRPr="00762A2E">
              <w:rPr>
                <w:rFonts w:ascii="Calibri" w:hAnsi="Calibri" w:cs="Times New Roman"/>
                <w:color w:val="000000"/>
                <w:kern w:val="24"/>
                <w:sz w:val="20"/>
                <w:szCs w:val="20"/>
              </w:rPr>
              <w:t>c.</w:t>
            </w:r>
            <w:r w:rsidR="00CE589C" w:rsidRPr="00762A2E">
              <w:rPr>
                <w:rFonts w:ascii="Calibri" w:hAnsi="Calibri" w:cs="Times New Roman"/>
                <w:color w:val="000000"/>
                <w:kern w:val="24"/>
                <w:sz w:val="20"/>
                <w:szCs w:val="20"/>
              </w:rPr>
              <w:t>2</w:t>
            </w:r>
            <w:r w:rsidR="00BA359E" w:rsidRPr="00762A2E">
              <w:rPr>
                <w:rFonts w:ascii="Calibri" w:hAnsi="Calibri" w:cs="Times New Roman"/>
                <w:color w:val="000000"/>
                <w:kern w:val="24"/>
                <w:sz w:val="20"/>
                <w:szCs w:val="20"/>
              </w:rPr>
              <w:t>14</w:t>
            </w:r>
          </w:p>
        </w:tc>
        <w:tc>
          <w:tcPr>
            <w:tcW w:w="990" w:type="dxa"/>
            <w:tcBorders>
              <w:top w:val="single" w:sz="8" w:space="0" w:color="000000"/>
              <w:left w:val="nil"/>
              <w:bottom w:val="nil"/>
              <w:right w:val="nil"/>
            </w:tcBorders>
            <w:shd w:val="clear" w:color="auto" w:fill="auto"/>
            <w:tcMar>
              <w:top w:w="15" w:type="dxa"/>
              <w:left w:w="108" w:type="dxa"/>
              <w:bottom w:w="0" w:type="dxa"/>
              <w:right w:w="108" w:type="dxa"/>
            </w:tcMar>
            <w:hideMark/>
          </w:tcPr>
          <w:p w14:paraId="675A83EA" w14:textId="77777777" w:rsidR="000125A4" w:rsidRPr="00762A2E" w:rsidRDefault="000125A4" w:rsidP="007F14F0">
            <w:pPr>
              <w:spacing w:after="0" w:line="240" w:lineRule="auto"/>
              <w:jc w:val="both"/>
              <w:rPr>
                <w:rFonts w:ascii="Arial" w:eastAsia="Times New Roman" w:hAnsi="Arial" w:cs="Arial"/>
                <w:sz w:val="20"/>
                <w:szCs w:val="20"/>
              </w:rPr>
            </w:pPr>
            <w:r w:rsidRPr="00762A2E">
              <w:rPr>
                <w:rFonts w:ascii="Calibri" w:hAnsi="Calibri" w:cs="Times New Roman"/>
                <w:color w:val="000000"/>
                <w:kern w:val="24"/>
                <w:sz w:val="20"/>
                <w:szCs w:val="20"/>
              </w:rPr>
              <w:t>c.</w:t>
            </w:r>
            <w:r w:rsidR="00BA359E" w:rsidRPr="00762A2E">
              <w:rPr>
                <w:rFonts w:ascii="Calibri" w:hAnsi="Calibri" w:cs="Times New Roman"/>
                <w:color w:val="000000"/>
                <w:kern w:val="24"/>
                <w:sz w:val="20"/>
                <w:szCs w:val="20"/>
              </w:rPr>
              <w:t>233</w:t>
            </w:r>
          </w:p>
        </w:tc>
      </w:tr>
      <w:tr w:rsidR="000125A4" w:rsidRPr="00762A2E" w14:paraId="5125A7C1" w14:textId="77777777" w:rsidTr="0002245F">
        <w:tc>
          <w:tcPr>
            <w:tcW w:w="1542" w:type="dxa"/>
            <w:vMerge/>
            <w:tcBorders>
              <w:top w:val="single" w:sz="8" w:space="0" w:color="000000"/>
              <w:left w:val="nil"/>
              <w:bottom w:val="single" w:sz="4" w:space="0" w:color="auto"/>
              <w:right w:val="nil"/>
            </w:tcBorders>
            <w:shd w:val="clear" w:color="auto" w:fill="auto"/>
            <w:vAlign w:val="center"/>
            <w:hideMark/>
          </w:tcPr>
          <w:p w14:paraId="53BC3295" w14:textId="77777777" w:rsidR="000125A4" w:rsidRPr="00762A2E" w:rsidRDefault="000125A4" w:rsidP="007F14F0">
            <w:pPr>
              <w:spacing w:after="0" w:line="240" w:lineRule="auto"/>
              <w:rPr>
                <w:rFonts w:ascii="Arial" w:eastAsia="Times New Roman" w:hAnsi="Arial" w:cs="Arial"/>
                <w:sz w:val="20"/>
                <w:szCs w:val="20"/>
              </w:rPr>
            </w:pPr>
          </w:p>
        </w:tc>
        <w:tc>
          <w:tcPr>
            <w:tcW w:w="1428" w:type="dxa"/>
            <w:tcBorders>
              <w:top w:val="nil"/>
              <w:left w:val="nil"/>
              <w:bottom w:val="single" w:sz="4" w:space="0" w:color="auto"/>
              <w:right w:val="nil"/>
            </w:tcBorders>
            <w:shd w:val="clear" w:color="auto" w:fill="auto"/>
            <w:tcMar>
              <w:top w:w="15" w:type="dxa"/>
              <w:left w:w="108" w:type="dxa"/>
              <w:bottom w:w="0" w:type="dxa"/>
              <w:right w:w="108" w:type="dxa"/>
            </w:tcMar>
            <w:hideMark/>
          </w:tcPr>
          <w:p w14:paraId="75ED5A5D" w14:textId="77777777" w:rsidR="000125A4" w:rsidRPr="00762A2E" w:rsidRDefault="000125A4" w:rsidP="007F14F0">
            <w:pPr>
              <w:spacing w:after="0" w:line="240" w:lineRule="auto"/>
              <w:jc w:val="both"/>
              <w:rPr>
                <w:rFonts w:ascii="Arial" w:eastAsia="Times New Roman" w:hAnsi="Arial" w:cs="Arial"/>
                <w:sz w:val="20"/>
                <w:szCs w:val="20"/>
              </w:rPr>
            </w:pPr>
            <w:r w:rsidRPr="00762A2E">
              <w:rPr>
                <w:rFonts w:ascii="Calibri" w:hAnsi="Calibri" w:cs="Times New Roman"/>
                <w:color w:val="000000"/>
                <w:kern w:val="24"/>
                <w:sz w:val="20"/>
                <w:szCs w:val="20"/>
              </w:rPr>
              <w:t>R1</w:t>
            </w:r>
          </w:p>
        </w:tc>
        <w:tc>
          <w:tcPr>
            <w:tcW w:w="3060" w:type="dxa"/>
            <w:tcBorders>
              <w:top w:val="nil"/>
              <w:left w:val="nil"/>
              <w:bottom w:val="single" w:sz="4" w:space="0" w:color="auto"/>
              <w:right w:val="nil"/>
            </w:tcBorders>
            <w:shd w:val="clear" w:color="auto" w:fill="auto"/>
            <w:tcMar>
              <w:top w:w="15" w:type="dxa"/>
              <w:left w:w="108" w:type="dxa"/>
              <w:bottom w:w="0" w:type="dxa"/>
              <w:right w:w="108" w:type="dxa"/>
            </w:tcMar>
            <w:hideMark/>
          </w:tcPr>
          <w:p w14:paraId="2DB092A1" w14:textId="77777777" w:rsidR="000125A4" w:rsidRPr="00762A2E" w:rsidRDefault="00BF0760" w:rsidP="007F14F0">
            <w:pPr>
              <w:spacing w:after="0" w:line="240" w:lineRule="auto"/>
              <w:jc w:val="both"/>
              <w:rPr>
                <w:rFonts w:eastAsia="Times New Roman" w:cs="Arial"/>
                <w:sz w:val="20"/>
                <w:szCs w:val="20"/>
              </w:rPr>
            </w:pPr>
            <w:r w:rsidRPr="00762A2E">
              <w:rPr>
                <w:rFonts w:eastAsia="Times New Roman" w:cs="Arial"/>
                <w:sz w:val="20"/>
                <w:szCs w:val="20"/>
              </w:rPr>
              <w:t>CCTGGGTACACAGAGAGTG</w:t>
            </w:r>
          </w:p>
        </w:tc>
        <w:tc>
          <w:tcPr>
            <w:tcW w:w="990" w:type="dxa"/>
            <w:tcBorders>
              <w:top w:val="nil"/>
              <w:left w:val="nil"/>
              <w:bottom w:val="single" w:sz="4" w:space="0" w:color="auto"/>
              <w:right w:val="nil"/>
            </w:tcBorders>
            <w:shd w:val="clear" w:color="auto" w:fill="auto"/>
            <w:tcMar>
              <w:top w:w="15" w:type="dxa"/>
              <w:left w:w="108" w:type="dxa"/>
              <w:bottom w:w="0" w:type="dxa"/>
              <w:right w:w="108" w:type="dxa"/>
            </w:tcMar>
            <w:hideMark/>
          </w:tcPr>
          <w:p w14:paraId="69F5F33E" w14:textId="77777777" w:rsidR="000125A4" w:rsidRPr="00762A2E" w:rsidRDefault="000125A4" w:rsidP="007F14F0">
            <w:pPr>
              <w:spacing w:after="0" w:line="240" w:lineRule="auto"/>
              <w:jc w:val="both"/>
              <w:rPr>
                <w:rFonts w:ascii="Arial" w:eastAsia="Times New Roman" w:hAnsi="Arial" w:cs="Arial"/>
                <w:sz w:val="20"/>
                <w:szCs w:val="20"/>
              </w:rPr>
            </w:pPr>
            <w:r w:rsidRPr="00762A2E">
              <w:rPr>
                <w:rFonts w:ascii="Calibri" w:hAnsi="Calibri" w:cs="Times New Roman"/>
                <w:color w:val="000000"/>
                <w:kern w:val="24"/>
                <w:sz w:val="20"/>
                <w:szCs w:val="20"/>
              </w:rPr>
              <w:t>c.</w:t>
            </w:r>
            <w:r w:rsidR="00CE589C" w:rsidRPr="00762A2E">
              <w:rPr>
                <w:rFonts w:ascii="Calibri" w:hAnsi="Calibri" w:cs="Times New Roman"/>
                <w:color w:val="000000"/>
                <w:kern w:val="24"/>
                <w:sz w:val="20"/>
                <w:szCs w:val="20"/>
              </w:rPr>
              <w:t>428</w:t>
            </w:r>
          </w:p>
        </w:tc>
        <w:tc>
          <w:tcPr>
            <w:tcW w:w="990" w:type="dxa"/>
            <w:tcBorders>
              <w:top w:val="nil"/>
              <w:left w:val="nil"/>
              <w:bottom w:val="single" w:sz="4" w:space="0" w:color="auto"/>
              <w:right w:val="nil"/>
            </w:tcBorders>
            <w:shd w:val="clear" w:color="auto" w:fill="auto"/>
            <w:tcMar>
              <w:top w:w="15" w:type="dxa"/>
              <w:left w:w="108" w:type="dxa"/>
              <w:bottom w:w="0" w:type="dxa"/>
              <w:right w:w="108" w:type="dxa"/>
            </w:tcMar>
            <w:hideMark/>
          </w:tcPr>
          <w:p w14:paraId="1B8179AD" w14:textId="77777777" w:rsidR="000125A4" w:rsidRPr="00762A2E" w:rsidRDefault="000125A4" w:rsidP="007F14F0">
            <w:pPr>
              <w:spacing w:after="0" w:line="240" w:lineRule="auto"/>
              <w:jc w:val="both"/>
              <w:rPr>
                <w:rFonts w:ascii="Arial" w:eastAsia="Times New Roman" w:hAnsi="Arial" w:cs="Arial"/>
                <w:sz w:val="20"/>
                <w:szCs w:val="20"/>
              </w:rPr>
            </w:pPr>
            <w:r w:rsidRPr="00762A2E">
              <w:rPr>
                <w:rFonts w:ascii="Calibri" w:hAnsi="Calibri" w:cs="Times New Roman"/>
                <w:color w:val="000000"/>
                <w:kern w:val="24"/>
                <w:sz w:val="20"/>
                <w:szCs w:val="20"/>
              </w:rPr>
              <w:t>c.</w:t>
            </w:r>
            <w:r w:rsidR="00281850" w:rsidRPr="00762A2E">
              <w:rPr>
                <w:rFonts w:ascii="Calibri" w:hAnsi="Calibri" w:cs="Times New Roman"/>
                <w:color w:val="000000"/>
                <w:kern w:val="24"/>
                <w:sz w:val="20"/>
                <w:szCs w:val="20"/>
              </w:rPr>
              <w:t>410</w:t>
            </w:r>
          </w:p>
        </w:tc>
      </w:tr>
      <w:tr w:rsidR="000125A4" w:rsidRPr="00762A2E" w14:paraId="1FE4934C" w14:textId="77777777" w:rsidTr="0002245F">
        <w:tc>
          <w:tcPr>
            <w:tcW w:w="1542" w:type="dxa"/>
            <w:vMerge w:val="restar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2CA18303" w14:textId="77777777" w:rsidR="000125A4" w:rsidRPr="00762A2E" w:rsidRDefault="000125A4" w:rsidP="007F14F0">
            <w:pPr>
              <w:spacing w:after="0" w:line="240" w:lineRule="auto"/>
              <w:rPr>
                <w:rFonts w:ascii="Arial" w:eastAsia="Times New Roman" w:hAnsi="Arial" w:cs="Arial"/>
                <w:sz w:val="20"/>
                <w:szCs w:val="20"/>
              </w:rPr>
            </w:pPr>
            <w:r w:rsidRPr="00762A2E">
              <w:rPr>
                <w:rFonts w:ascii="Calibri" w:hAnsi="Calibri" w:cs="Times New Roman"/>
                <w:color w:val="000000"/>
                <w:kern w:val="24"/>
                <w:sz w:val="20"/>
                <w:szCs w:val="20"/>
              </w:rPr>
              <w:t>c.649C&gt;T</w:t>
            </w:r>
          </w:p>
        </w:tc>
        <w:tc>
          <w:tcPr>
            <w:tcW w:w="1428" w:type="dxa"/>
            <w:tcBorders>
              <w:top w:val="single" w:sz="4" w:space="0" w:color="auto"/>
              <w:left w:val="nil"/>
              <w:bottom w:val="nil"/>
              <w:right w:val="nil"/>
            </w:tcBorders>
            <w:shd w:val="clear" w:color="auto" w:fill="auto"/>
            <w:tcMar>
              <w:top w:w="15" w:type="dxa"/>
              <w:left w:w="108" w:type="dxa"/>
              <w:bottom w:w="0" w:type="dxa"/>
              <w:right w:w="108" w:type="dxa"/>
            </w:tcMar>
            <w:hideMark/>
          </w:tcPr>
          <w:p w14:paraId="4B2BD325" w14:textId="77777777" w:rsidR="000125A4" w:rsidRPr="00762A2E" w:rsidRDefault="000125A4" w:rsidP="007F14F0">
            <w:pPr>
              <w:spacing w:after="0" w:line="240" w:lineRule="auto"/>
              <w:jc w:val="both"/>
              <w:rPr>
                <w:rFonts w:ascii="Arial" w:eastAsia="Times New Roman" w:hAnsi="Arial" w:cs="Arial"/>
                <w:sz w:val="20"/>
                <w:szCs w:val="20"/>
              </w:rPr>
            </w:pPr>
            <w:r w:rsidRPr="00762A2E">
              <w:rPr>
                <w:rFonts w:ascii="Calibri" w:hAnsi="Calibri" w:cs="Times New Roman"/>
                <w:color w:val="000000"/>
                <w:kern w:val="24"/>
                <w:sz w:val="20"/>
                <w:szCs w:val="20"/>
              </w:rPr>
              <w:t>F2</w:t>
            </w:r>
          </w:p>
        </w:tc>
        <w:tc>
          <w:tcPr>
            <w:tcW w:w="3060" w:type="dxa"/>
            <w:tcBorders>
              <w:top w:val="single" w:sz="4" w:space="0" w:color="auto"/>
              <w:left w:val="nil"/>
              <w:bottom w:val="nil"/>
              <w:right w:val="nil"/>
            </w:tcBorders>
            <w:shd w:val="clear" w:color="auto" w:fill="auto"/>
            <w:tcMar>
              <w:top w:w="15" w:type="dxa"/>
              <w:left w:w="108" w:type="dxa"/>
              <w:bottom w:w="0" w:type="dxa"/>
              <w:right w:w="108" w:type="dxa"/>
            </w:tcMar>
            <w:hideMark/>
          </w:tcPr>
          <w:p w14:paraId="6B501019" w14:textId="77777777" w:rsidR="000125A4" w:rsidRPr="00762A2E" w:rsidRDefault="00BF0760" w:rsidP="007F14F0">
            <w:pPr>
              <w:spacing w:after="0" w:line="240" w:lineRule="auto"/>
              <w:jc w:val="both"/>
              <w:rPr>
                <w:rFonts w:eastAsia="Times New Roman" w:cs="Arial"/>
                <w:sz w:val="20"/>
                <w:szCs w:val="20"/>
              </w:rPr>
            </w:pPr>
            <w:r w:rsidRPr="00762A2E">
              <w:rPr>
                <w:rFonts w:eastAsia="Times New Roman" w:cs="Arial"/>
                <w:sz w:val="20"/>
                <w:szCs w:val="20"/>
              </w:rPr>
              <w:t>GTCTCCAGCCTCATCTTCCG</w:t>
            </w:r>
          </w:p>
        </w:tc>
        <w:tc>
          <w:tcPr>
            <w:tcW w:w="990" w:type="dxa"/>
            <w:tcBorders>
              <w:top w:val="single" w:sz="4" w:space="0" w:color="auto"/>
              <w:left w:val="nil"/>
              <w:bottom w:val="nil"/>
              <w:right w:val="nil"/>
            </w:tcBorders>
            <w:shd w:val="clear" w:color="auto" w:fill="auto"/>
            <w:tcMar>
              <w:top w:w="15" w:type="dxa"/>
              <w:left w:w="108" w:type="dxa"/>
              <w:bottom w:w="0" w:type="dxa"/>
              <w:right w:w="108" w:type="dxa"/>
            </w:tcMar>
            <w:hideMark/>
          </w:tcPr>
          <w:p w14:paraId="7986913B" w14:textId="77777777" w:rsidR="000125A4" w:rsidRPr="00762A2E" w:rsidRDefault="000125A4" w:rsidP="007F14F0">
            <w:pPr>
              <w:spacing w:after="0" w:line="240" w:lineRule="auto"/>
              <w:jc w:val="both"/>
              <w:rPr>
                <w:rFonts w:ascii="Arial" w:eastAsia="Times New Roman" w:hAnsi="Arial" w:cs="Arial"/>
                <w:sz w:val="20"/>
                <w:szCs w:val="20"/>
              </w:rPr>
            </w:pPr>
            <w:r w:rsidRPr="00762A2E">
              <w:rPr>
                <w:rFonts w:ascii="Calibri" w:hAnsi="Calibri" w:cs="Times New Roman"/>
                <w:color w:val="000000"/>
                <w:kern w:val="24"/>
                <w:sz w:val="20"/>
                <w:szCs w:val="20"/>
              </w:rPr>
              <w:t>c.</w:t>
            </w:r>
            <w:r w:rsidR="00CE589C" w:rsidRPr="00762A2E">
              <w:rPr>
                <w:rFonts w:ascii="Calibri" w:hAnsi="Calibri" w:cs="Times New Roman"/>
                <w:color w:val="000000"/>
                <w:kern w:val="24"/>
                <w:sz w:val="20"/>
                <w:szCs w:val="20"/>
              </w:rPr>
              <w:t>573</w:t>
            </w:r>
          </w:p>
        </w:tc>
        <w:tc>
          <w:tcPr>
            <w:tcW w:w="990" w:type="dxa"/>
            <w:tcBorders>
              <w:top w:val="single" w:sz="4" w:space="0" w:color="auto"/>
              <w:left w:val="nil"/>
              <w:bottom w:val="nil"/>
              <w:right w:val="nil"/>
            </w:tcBorders>
            <w:shd w:val="clear" w:color="auto" w:fill="auto"/>
            <w:tcMar>
              <w:top w:w="15" w:type="dxa"/>
              <w:left w:w="108" w:type="dxa"/>
              <w:bottom w:w="0" w:type="dxa"/>
              <w:right w:w="108" w:type="dxa"/>
            </w:tcMar>
            <w:hideMark/>
          </w:tcPr>
          <w:p w14:paraId="3A7E71E8" w14:textId="77777777" w:rsidR="000125A4" w:rsidRPr="00762A2E" w:rsidRDefault="000125A4" w:rsidP="007F14F0">
            <w:pPr>
              <w:spacing w:after="0" w:line="240" w:lineRule="auto"/>
              <w:jc w:val="both"/>
              <w:rPr>
                <w:rFonts w:ascii="Arial" w:eastAsia="Times New Roman" w:hAnsi="Arial" w:cs="Arial"/>
                <w:sz w:val="20"/>
                <w:szCs w:val="20"/>
              </w:rPr>
            </w:pPr>
            <w:r w:rsidRPr="00762A2E">
              <w:rPr>
                <w:rFonts w:ascii="Calibri" w:hAnsi="Calibri" w:cs="Times New Roman"/>
                <w:color w:val="000000"/>
                <w:kern w:val="24"/>
                <w:sz w:val="20"/>
                <w:szCs w:val="20"/>
              </w:rPr>
              <w:t>c.</w:t>
            </w:r>
            <w:r w:rsidR="00281850" w:rsidRPr="00762A2E">
              <w:rPr>
                <w:rFonts w:ascii="Calibri" w:hAnsi="Calibri" w:cs="Times New Roman"/>
                <w:color w:val="000000"/>
                <w:kern w:val="24"/>
                <w:sz w:val="20"/>
                <w:szCs w:val="20"/>
              </w:rPr>
              <w:t>592</w:t>
            </w:r>
          </w:p>
        </w:tc>
      </w:tr>
      <w:tr w:rsidR="000125A4" w:rsidRPr="00762A2E" w14:paraId="28121C67" w14:textId="77777777" w:rsidTr="0002245F">
        <w:tc>
          <w:tcPr>
            <w:tcW w:w="1542" w:type="dxa"/>
            <w:vMerge/>
            <w:tcBorders>
              <w:top w:val="nil"/>
              <w:left w:val="nil"/>
              <w:bottom w:val="single" w:sz="4" w:space="0" w:color="auto"/>
              <w:right w:val="nil"/>
            </w:tcBorders>
            <w:shd w:val="clear" w:color="auto" w:fill="auto"/>
            <w:vAlign w:val="center"/>
            <w:hideMark/>
          </w:tcPr>
          <w:p w14:paraId="1EF37F10" w14:textId="77777777" w:rsidR="000125A4" w:rsidRPr="00762A2E" w:rsidRDefault="000125A4" w:rsidP="007F14F0">
            <w:pPr>
              <w:spacing w:after="0" w:line="240" w:lineRule="auto"/>
              <w:rPr>
                <w:rFonts w:ascii="Arial" w:eastAsia="Times New Roman" w:hAnsi="Arial" w:cs="Arial"/>
                <w:sz w:val="20"/>
                <w:szCs w:val="20"/>
              </w:rPr>
            </w:pPr>
          </w:p>
        </w:tc>
        <w:tc>
          <w:tcPr>
            <w:tcW w:w="1428" w:type="dxa"/>
            <w:tcBorders>
              <w:top w:val="nil"/>
              <w:left w:val="nil"/>
              <w:bottom w:val="single" w:sz="4" w:space="0" w:color="auto"/>
              <w:right w:val="nil"/>
            </w:tcBorders>
            <w:shd w:val="clear" w:color="auto" w:fill="auto"/>
            <w:tcMar>
              <w:top w:w="15" w:type="dxa"/>
              <w:left w:w="108" w:type="dxa"/>
              <w:bottom w:w="0" w:type="dxa"/>
              <w:right w:w="108" w:type="dxa"/>
            </w:tcMar>
            <w:hideMark/>
          </w:tcPr>
          <w:p w14:paraId="7E5E41FB" w14:textId="77777777" w:rsidR="000125A4" w:rsidRPr="00762A2E" w:rsidRDefault="000125A4" w:rsidP="007F14F0">
            <w:pPr>
              <w:spacing w:after="0" w:line="240" w:lineRule="auto"/>
              <w:jc w:val="both"/>
              <w:rPr>
                <w:rFonts w:ascii="Arial" w:eastAsia="Times New Roman" w:hAnsi="Arial" w:cs="Arial"/>
                <w:sz w:val="20"/>
                <w:szCs w:val="20"/>
              </w:rPr>
            </w:pPr>
            <w:r w:rsidRPr="00762A2E">
              <w:rPr>
                <w:rFonts w:ascii="Calibri" w:hAnsi="Calibri" w:cs="Times New Roman"/>
                <w:color w:val="000000"/>
                <w:kern w:val="24"/>
                <w:sz w:val="20"/>
                <w:szCs w:val="20"/>
              </w:rPr>
              <w:t>R2</w:t>
            </w:r>
          </w:p>
        </w:tc>
        <w:tc>
          <w:tcPr>
            <w:tcW w:w="3060" w:type="dxa"/>
            <w:tcBorders>
              <w:top w:val="nil"/>
              <w:left w:val="nil"/>
              <w:bottom w:val="single" w:sz="4" w:space="0" w:color="auto"/>
              <w:right w:val="nil"/>
            </w:tcBorders>
            <w:shd w:val="clear" w:color="auto" w:fill="auto"/>
            <w:tcMar>
              <w:top w:w="15" w:type="dxa"/>
              <w:left w:w="108" w:type="dxa"/>
              <w:bottom w:w="0" w:type="dxa"/>
              <w:right w:w="108" w:type="dxa"/>
            </w:tcMar>
            <w:hideMark/>
          </w:tcPr>
          <w:p w14:paraId="01162ABB" w14:textId="77777777" w:rsidR="000125A4" w:rsidRPr="00762A2E" w:rsidRDefault="00BF0760" w:rsidP="007F14F0">
            <w:pPr>
              <w:spacing w:after="0" w:line="240" w:lineRule="auto"/>
              <w:jc w:val="both"/>
              <w:rPr>
                <w:rFonts w:eastAsia="Times New Roman" w:cs="Arial"/>
                <w:sz w:val="20"/>
                <w:szCs w:val="20"/>
              </w:rPr>
            </w:pPr>
            <w:r w:rsidRPr="00762A2E">
              <w:rPr>
                <w:rFonts w:eastAsia="Times New Roman" w:cs="Arial"/>
                <w:sz w:val="20"/>
                <w:szCs w:val="20"/>
              </w:rPr>
              <w:t>GAAGAGTCCGCTGCTGTAG</w:t>
            </w:r>
          </w:p>
        </w:tc>
        <w:tc>
          <w:tcPr>
            <w:tcW w:w="990" w:type="dxa"/>
            <w:tcBorders>
              <w:top w:val="nil"/>
              <w:left w:val="nil"/>
              <w:bottom w:val="single" w:sz="4" w:space="0" w:color="auto"/>
              <w:right w:val="nil"/>
            </w:tcBorders>
            <w:shd w:val="clear" w:color="auto" w:fill="auto"/>
            <w:tcMar>
              <w:top w:w="15" w:type="dxa"/>
              <w:left w:w="108" w:type="dxa"/>
              <w:bottom w:w="0" w:type="dxa"/>
              <w:right w:w="108" w:type="dxa"/>
            </w:tcMar>
            <w:hideMark/>
          </w:tcPr>
          <w:p w14:paraId="4A71F4D1" w14:textId="77777777" w:rsidR="000125A4" w:rsidRPr="00762A2E" w:rsidRDefault="000125A4" w:rsidP="007F14F0">
            <w:pPr>
              <w:spacing w:after="0" w:line="240" w:lineRule="auto"/>
              <w:jc w:val="both"/>
              <w:rPr>
                <w:rFonts w:ascii="Arial" w:eastAsia="Times New Roman" w:hAnsi="Arial" w:cs="Arial"/>
                <w:sz w:val="20"/>
                <w:szCs w:val="20"/>
              </w:rPr>
            </w:pPr>
            <w:r w:rsidRPr="00762A2E">
              <w:rPr>
                <w:rFonts w:ascii="Calibri" w:hAnsi="Calibri" w:cs="Times New Roman"/>
                <w:color w:val="000000"/>
                <w:kern w:val="24"/>
                <w:sz w:val="20"/>
                <w:szCs w:val="20"/>
              </w:rPr>
              <w:t>c.</w:t>
            </w:r>
            <w:r w:rsidR="00CE589C" w:rsidRPr="00762A2E">
              <w:rPr>
                <w:rFonts w:ascii="Calibri" w:hAnsi="Calibri" w:cs="Times New Roman"/>
                <w:color w:val="000000"/>
                <w:kern w:val="24"/>
                <w:sz w:val="20"/>
                <w:szCs w:val="20"/>
              </w:rPr>
              <w:t>795</w:t>
            </w:r>
          </w:p>
        </w:tc>
        <w:tc>
          <w:tcPr>
            <w:tcW w:w="990" w:type="dxa"/>
            <w:tcBorders>
              <w:top w:val="nil"/>
              <w:left w:val="nil"/>
              <w:bottom w:val="single" w:sz="4" w:space="0" w:color="auto"/>
              <w:right w:val="nil"/>
            </w:tcBorders>
            <w:shd w:val="clear" w:color="auto" w:fill="auto"/>
            <w:tcMar>
              <w:top w:w="15" w:type="dxa"/>
              <w:left w:w="108" w:type="dxa"/>
              <w:bottom w:w="0" w:type="dxa"/>
              <w:right w:w="108" w:type="dxa"/>
            </w:tcMar>
            <w:hideMark/>
          </w:tcPr>
          <w:p w14:paraId="10C9C834" w14:textId="77777777" w:rsidR="000125A4" w:rsidRPr="00762A2E" w:rsidRDefault="000125A4" w:rsidP="007F14F0">
            <w:pPr>
              <w:spacing w:after="0" w:line="240" w:lineRule="auto"/>
              <w:jc w:val="both"/>
              <w:rPr>
                <w:rFonts w:ascii="Arial" w:eastAsia="Times New Roman" w:hAnsi="Arial" w:cs="Arial"/>
                <w:sz w:val="20"/>
                <w:szCs w:val="20"/>
              </w:rPr>
            </w:pPr>
            <w:r w:rsidRPr="00762A2E">
              <w:rPr>
                <w:rFonts w:ascii="Calibri" w:hAnsi="Calibri" w:cs="Times New Roman"/>
                <w:color w:val="000000"/>
                <w:kern w:val="24"/>
                <w:sz w:val="20"/>
                <w:szCs w:val="20"/>
              </w:rPr>
              <w:t>c.</w:t>
            </w:r>
            <w:r w:rsidR="009D0DF3" w:rsidRPr="00762A2E">
              <w:rPr>
                <w:rFonts w:ascii="Calibri" w:hAnsi="Calibri" w:cs="Times New Roman"/>
                <w:color w:val="000000"/>
                <w:kern w:val="24"/>
                <w:sz w:val="20"/>
                <w:szCs w:val="20"/>
              </w:rPr>
              <w:t>777</w:t>
            </w:r>
          </w:p>
        </w:tc>
      </w:tr>
      <w:tr w:rsidR="000125A4" w:rsidRPr="00762A2E" w14:paraId="39D352F5" w14:textId="77777777" w:rsidTr="0002245F">
        <w:tc>
          <w:tcPr>
            <w:tcW w:w="1542" w:type="dxa"/>
            <w:vMerge w:val="restar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59D86705" w14:textId="77777777" w:rsidR="000125A4" w:rsidRPr="00762A2E" w:rsidRDefault="000125A4" w:rsidP="007F14F0">
            <w:pPr>
              <w:spacing w:after="0" w:line="240" w:lineRule="auto"/>
              <w:rPr>
                <w:rFonts w:ascii="Arial" w:eastAsia="Times New Roman" w:hAnsi="Arial" w:cs="Arial"/>
                <w:sz w:val="20"/>
                <w:szCs w:val="20"/>
              </w:rPr>
            </w:pPr>
            <w:r w:rsidRPr="00762A2E">
              <w:rPr>
                <w:rFonts w:ascii="Calibri" w:hAnsi="Calibri" w:cs="Times New Roman"/>
                <w:color w:val="000000"/>
                <w:kern w:val="24"/>
                <w:sz w:val="20"/>
                <w:szCs w:val="20"/>
              </w:rPr>
              <w:t>c.981G&gt;A</w:t>
            </w:r>
          </w:p>
        </w:tc>
        <w:tc>
          <w:tcPr>
            <w:tcW w:w="1428" w:type="dxa"/>
            <w:tcBorders>
              <w:top w:val="single" w:sz="4" w:space="0" w:color="auto"/>
              <w:left w:val="nil"/>
              <w:bottom w:val="nil"/>
              <w:right w:val="nil"/>
            </w:tcBorders>
            <w:shd w:val="clear" w:color="auto" w:fill="auto"/>
            <w:tcMar>
              <w:top w:w="15" w:type="dxa"/>
              <w:left w:w="108" w:type="dxa"/>
              <w:bottom w:w="0" w:type="dxa"/>
              <w:right w:w="108" w:type="dxa"/>
            </w:tcMar>
            <w:hideMark/>
          </w:tcPr>
          <w:p w14:paraId="5DF50F38" w14:textId="77777777" w:rsidR="000125A4" w:rsidRPr="00762A2E" w:rsidRDefault="000125A4" w:rsidP="007F14F0">
            <w:pPr>
              <w:spacing w:after="0" w:line="240" w:lineRule="auto"/>
              <w:jc w:val="both"/>
              <w:rPr>
                <w:rFonts w:ascii="Arial" w:eastAsia="Times New Roman" w:hAnsi="Arial" w:cs="Arial"/>
                <w:sz w:val="20"/>
                <w:szCs w:val="20"/>
              </w:rPr>
            </w:pPr>
            <w:r w:rsidRPr="00762A2E">
              <w:rPr>
                <w:rFonts w:ascii="Calibri" w:hAnsi="Calibri" w:cs="Times New Roman"/>
                <w:color w:val="000000"/>
                <w:kern w:val="24"/>
                <w:sz w:val="20"/>
                <w:szCs w:val="20"/>
              </w:rPr>
              <w:t>F3</w:t>
            </w:r>
          </w:p>
        </w:tc>
        <w:tc>
          <w:tcPr>
            <w:tcW w:w="3060" w:type="dxa"/>
            <w:tcBorders>
              <w:top w:val="single" w:sz="4" w:space="0" w:color="auto"/>
              <w:left w:val="nil"/>
              <w:bottom w:val="nil"/>
              <w:right w:val="nil"/>
            </w:tcBorders>
            <w:shd w:val="clear" w:color="auto" w:fill="auto"/>
            <w:tcMar>
              <w:top w:w="15" w:type="dxa"/>
              <w:left w:w="108" w:type="dxa"/>
              <w:bottom w:w="0" w:type="dxa"/>
              <w:right w:w="108" w:type="dxa"/>
            </w:tcMar>
          </w:tcPr>
          <w:p w14:paraId="1D55C078" w14:textId="77777777" w:rsidR="000125A4" w:rsidRPr="00762A2E" w:rsidRDefault="00BF0760" w:rsidP="007F14F0">
            <w:pPr>
              <w:spacing w:after="0" w:line="240" w:lineRule="auto"/>
              <w:jc w:val="both"/>
              <w:rPr>
                <w:rFonts w:eastAsia="Times New Roman" w:cs="Arial"/>
                <w:sz w:val="20"/>
                <w:szCs w:val="20"/>
              </w:rPr>
            </w:pPr>
            <w:r w:rsidRPr="00762A2E">
              <w:rPr>
                <w:rFonts w:eastAsia="Times New Roman" w:cs="Arial"/>
                <w:sz w:val="20"/>
                <w:szCs w:val="20"/>
              </w:rPr>
              <w:t>AGGCTCGTTCCTGTTCAGAAG</w:t>
            </w:r>
          </w:p>
        </w:tc>
        <w:tc>
          <w:tcPr>
            <w:tcW w:w="990" w:type="dxa"/>
            <w:tcBorders>
              <w:top w:val="single" w:sz="4" w:space="0" w:color="auto"/>
              <w:left w:val="nil"/>
              <w:bottom w:val="nil"/>
              <w:right w:val="nil"/>
            </w:tcBorders>
            <w:shd w:val="clear" w:color="auto" w:fill="auto"/>
            <w:tcMar>
              <w:top w:w="15" w:type="dxa"/>
              <w:left w:w="108" w:type="dxa"/>
              <w:bottom w:w="0" w:type="dxa"/>
              <w:right w:w="108" w:type="dxa"/>
            </w:tcMar>
            <w:hideMark/>
          </w:tcPr>
          <w:p w14:paraId="7DC58F5C" w14:textId="77777777" w:rsidR="000125A4" w:rsidRPr="00762A2E" w:rsidRDefault="000125A4" w:rsidP="007F14F0">
            <w:pPr>
              <w:spacing w:after="0" w:line="240" w:lineRule="auto"/>
              <w:jc w:val="both"/>
              <w:rPr>
                <w:rFonts w:ascii="Arial" w:eastAsia="Times New Roman" w:hAnsi="Arial" w:cs="Arial"/>
                <w:sz w:val="20"/>
                <w:szCs w:val="20"/>
              </w:rPr>
            </w:pPr>
            <w:r w:rsidRPr="00762A2E">
              <w:rPr>
                <w:rFonts w:ascii="Calibri" w:hAnsi="Calibri" w:cs="Times New Roman"/>
                <w:color w:val="000000"/>
                <w:kern w:val="24"/>
                <w:sz w:val="20"/>
                <w:szCs w:val="20"/>
              </w:rPr>
              <w:t>c.</w:t>
            </w:r>
            <w:r w:rsidR="00CE589C" w:rsidRPr="00762A2E">
              <w:rPr>
                <w:rFonts w:ascii="Calibri" w:hAnsi="Calibri" w:cs="Times New Roman"/>
                <w:color w:val="000000"/>
                <w:kern w:val="24"/>
                <w:sz w:val="20"/>
                <w:szCs w:val="20"/>
              </w:rPr>
              <w:t>854</w:t>
            </w:r>
          </w:p>
        </w:tc>
        <w:tc>
          <w:tcPr>
            <w:tcW w:w="990" w:type="dxa"/>
            <w:tcBorders>
              <w:top w:val="single" w:sz="4" w:space="0" w:color="auto"/>
              <w:left w:val="nil"/>
              <w:bottom w:val="nil"/>
              <w:right w:val="nil"/>
            </w:tcBorders>
            <w:shd w:val="clear" w:color="auto" w:fill="auto"/>
            <w:tcMar>
              <w:top w:w="15" w:type="dxa"/>
              <w:left w:w="108" w:type="dxa"/>
              <w:bottom w:w="0" w:type="dxa"/>
              <w:right w:w="108" w:type="dxa"/>
            </w:tcMar>
            <w:hideMark/>
          </w:tcPr>
          <w:p w14:paraId="1F19BF79" w14:textId="77777777" w:rsidR="000125A4" w:rsidRPr="00762A2E" w:rsidRDefault="000125A4" w:rsidP="007F14F0">
            <w:pPr>
              <w:spacing w:after="0" w:line="240" w:lineRule="auto"/>
              <w:jc w:val="both"/>
              <w:rPr>
                <w:rFonts w:ascii="Arial" w:eastAsia="Times New Roman" w:hAnsi="Arial" w:cs="Arial"/>
                <w:sz w:val="20"/>
                <w:szCs w:val="20"/>
              </w:rPr>
            </w:pPr>
            <w:r w:rsidRPr="00762A2E">
              <w:rPr>
                <w:rFonts w:ascii="Calibri" w:hAnsi="Calibri" w:cs="Times New Roman"/>
                <w:color w:val="000000"/>
                <w:kern w:val="24"/>
                <w:sz w:val="20"/>
                <w:szCs w:val="20"/>
              </w:rPr>
              <w:t>c.</w:t>
            </w:r>
            <w:r w:rsidR="006E3EEC" w:rsidRPr="00762A2E">
              <w:rPr>
                <w:rFonts w:ascii="Calibri" w:hAnsi="Calibri" w:cs="Times New Roman"/>
                <w:color w:val="000000"/>
                <w:kern w:val="24"/>
                <w:sz w:val="20"/>
                <w:szCs w:val="20"/>
              </w:rPr>
              <w:t>874</w:t>
            </w:r>
          </w:p>
        </w:tc>
      </w:tr>
      <w:tr w:rsidR="000125A4" w:rsidRPr="00762A2E" w14:paraId="593D2BDB" w14:textId="77777777" w:rsidTr="0002245F">
        <w:tc>
          <w:tcPr>
            <w:tcW w:w="1542" w:type="dxa"/>
            <w:vMerge/>
            <w:tcBorders>
              <w:top w:val="nil"/>
              <w:left w:val="nil"/>
              <w:bottom w:val="single" w:sz="4" w:space="0" w:color="auto"/>
              <w:right w:val="nil"/>
            </w:tcBorders>
            <w:shd w:val="clear" w:color="auto" w:fill="auto"/>
            <w:vAlign w:val="center"/>
            <w:hideMark/>
          </w:tcPr>
          <w:p w14:paraId="7B225E36" w14:textId="77777777" w:rsidR="000125A4" w:rsidRPr="00762A2E" w:rsidRDefault="000125A4" w:rsidP="007F14F0">
            <w:pPr>
              <w:spacing w:after="0" w:line="240" w:lineRule="auto"/>
              <w:rPr>
                <w:rFonts w:ascii="Arial" w:eastAsia="Times New Roman" w:hAnsi="Arial" w:cs="Arial"/>
                <w:sz w:val="20"/>
                <w:szCs w:val="20"/>
              </w:rPr>
            </w:pPr>
          </w:p>
        </w:tc>
        <w:tc>
          <w:tcPr>
            <w:tcW w:w="1428" w:type="dxa"/>
            <w:tcBorders>
              <w:top w:val="nil"/>
              <w:left w:val="nil"/>
              <w:bottom w:val="single" w:sz="4" w:space="0" w:color="auto"/>
              <w:right w:val="nil"/>
            </w:tcBorders>
            <w:shd w:val="clear" w:color="auto" w:fill="auto"/>
            <w:tcMar>
              <w:top w:w="15" w:type="dxa"/>
              <w:left w:w="108" w:type="dxa"/>
              <w:bottom w:w="0" w:type="dxa"/>
              <w:right w:w="108" w:type="dxa"/>
            </w:tcMar>
            <w:hideMark/>
          </w:tcPr>
          <w:p w14:paraId="70853C51" w14:textId="77777777" w:rsidR="000125A4" w:rsidRPr="00762A2E" w:rsidRDefault="000125A4" w:rsidP="007F14F0">
            <w:pPr>
              <w:spacing w:after="0" w:line="240" w:lineRule="auto"/>
              <w:jc w:val="both"/>
              <w:rPr>
                <w:rFonts w:ascii="Arial" w:eastAsia="Times New Roman" w:hAnsi="Arial" w:cs="Arial"/>
                <w:sz w:val="20"/>
                <w:szCs w:val="20"/>
              </w:rPr>
            </w:pPr>
            <w:r w:rsidRPr="00762A2E">
              <w:rPr>
                <w:rFonts w:ascii="Calibri" w:hAnsi="Calibri" w:cs="Times New Roman"/>
                <w:color w:val="000000"/>
                <w:kern w:val="24"/>
                <w:sz w:val="20"/>
                <w:szCs w:val="20"/>
              </w:rPr>
              <w:t>R3</w:t>
            </w:r>
          </w:p>
        </w:tc>
        <w:tc>
          <w:tcPr>
            <w:tcW w:w="3060" w:type="dxa"/>
            <w:tcBorders>
              <w:top w:val="nil"/>
              <w:left w:val="nil"/>
              <w:bottom w:val="single" w:sz="4" w:space="0" w:color="auto"/>
              <w:right w:val="nil"/>
            </w:tcBorders>
            <w:shd w:val="clear" w:color="auto" w:fill="auto"/>
            <w:tcMar>
              <w:top w:w="15" w:type="dxa"/>
              <w:left w:w="108" w:type="dxa"/>
              <w:bottom w:w="0" w:type="dxa"/>
              <w:right w:w="108" w:type="dxa"/>
            </w:tcMar>
            <w:hideMark/>
          </w:tcPr>
          <w:p w14:paraId="4267F59F" w14:textId="77777777" w:rsidR="000125A4" w:rsidRPr="00762A2E" w:rsidRDefault="000125A4" w:rsidP="007F14F0">
            <w:pPr>
              <w:spacing w:after="0" w:line="240" w:lineRule="auto"/>
              <w:jc w:val="both"/>
              <w:rPr>
                <w:rFonts w:eastAsia="Times New Roman" w:cs="Arial"/>
                <w:sz w:val="20"/>
                <w:szCs w:val="20"/>
              </w:rPr>
            </w:pPr>
            <w:r w:rsidRPr="00762A2E">
              <w:rPr>
                <w:rFonts w:cs="Times New Roman"/>
                <w:color w:val="000000"/>
                <w:kern w:val="24"/>
                <w:sz w:val="20"/>
                <w:szCs w:val="20"/>
              </w:rPr>
              <w:t>AAGGTGGTGGTTGTCGTCTG</w:t>
            </w:r>
          </w:p>
        </w:tc>
        <w:tc>
          <w:tcPr>
            <w:tcW w:w="990" w:type="dxa"/>
            <w:tcBorders>
              <w:top w:val="nil"/>
              <w:left w:val="nil"/>
              <w:bottom w:val="single" w:sz="4" w:space="0" w:color="auto"/>
              <w:right w:val="nil"/>
            </w:tcBorders>
            <w:shd w:val="clear" w:color="auto" w:fill="auto"/>
            <w:tcMar>
              <w:top w:w="15" w:type="dxa"/>
              <w:left w:w="108" w:type="dxa"/>
              <w:bottom w:w="0" w:type="dxa"/>
              <w:right w:w="108" w:type="dxa"/>
            </w:tcMar>
            <w:hideMark/>
          </w:tcPr>
          <w:p w14:paraId="2946BAE4" w14:textId="77777777" w:rsidR="000125A4" w:rsidRPr="00762A2E" w:rsidRDefault="000125A4" w:rsidP="007F14F0">
            <w:pPr>
              <w:spacing w:after="0" w:line="240" w:lineRule="auto"/>
              <w:jc w:val="both"/>
              <w:rPr>
                <w:rFonts w:ascii="Arial" w:eastAsia="Times New Roman" w:hAnsi="Arial" w:cs="Arial"/>
                <w:sz w:val="20"/>
                <w:szCs w:val="20"/>
              </w:rPr>
            </w:pPr>
            <w:r w:rsidRPr="00762A2E">
              <w:rPr>
                <w:rFonts w:ascii="Calibri" w:hAnsi="Calibri" w:cs="Times New Roman"/>
                <w:color w:val="000000"/>
                <w:kern w:val="24"/>
                <w:sz w:val="20"/>
                <w:szCs w:val="20"/>
              </w:rPr>
              <w:t>c.1076</w:t>
            </w:r>
          </w:p>
        </w:tc>
        <w:tc>
          <w:tcPr>
            <w:tcW w:w="990" w:type="dxa"/>
            <w:tcBorders>
              <w:top w:val="nil"/>
              <w:left w:val="nil"/>
              <w:bottom w:val="single" w:sz="4" w:space="0" w:color="auto"/>
              <w:right w:val="nil"/>
            </w:tcBorders>
            <w:shd w:val="clear" w:color="auto" w:fill="auto"/>
            <w:tcMar>
              <w:top w:w="15" w:type="dxa"/>
              <w:left w:w="108" w:type="dxa"/>
              <w:bottom w:w="0" w:type="dxa"/>
              <w:right w:w="108" w:type="dxa"/>
            </w:tcMar>
            <w:hideMark/>
          </w:tcPr>
          <w:p w14:paraId="197C8669" w14:textId="77777777" w:rsidR="000125A4" w:rsidRPr="00762A2E" w:rsidRDefault="000125A4" w:rsidP="007F14F0">
            <w:pPr>
              <w:spacing w:after="0" w:line="240" w:lineRule="auto"/>
              <w:jc w:val="both"/>
              <w:rPr>
                <w:rFonts w:ascii="Arial" w:eastAsia="Times New Roman" w:hAnsi="Arial" w:cs="Arial"/>
                <w:sz w:val="20"/>
                <w:szCs w:val="20"/>
              </w:rPr>
            </w:pPr>
            <w:r w:rsidRPr="00762A2E">
              <w:rPr>
                <w:rFonts w:ascii="Calibri" w:hAnsi="Calibri" w:cs="Times New Roman"/>
                <w:color w:val="000000"/>
                <w:kern w:val="24"/>
                <w:sz w:val="20"/>
                <w:szCs w:val="20"/>
              </w:rPr>
              <w:t>c.1057</w:t>
            </w:r>
          </w:p>
        </w:tc>
      </w:tr>
      <w:tr w:rsidR="000125A4" w:rsidRPr="00762A2E" w14:paraId="7BDDBA1E" w14:textId="77777777" w:rsidTr="0002245F">
        <w:tc>
          <w:tcPr>
            <w:tcW w:w="1542" w:type="dxa"/>
            <w:vMerge w:val="restart"/>
            <w:tcBorders>
              <w:top w:val="single" w:sz="4" w:space="0" w:color="auto"/>
              <w:left w:val="nil"/>
              <w:bottom w:val="nil"/>
              <w:right w:val="nil"/>
            </w:tcBorders>
            <w:shd w:val="clear" w:color="auto" w:fill="auto"/>
            <w:tcMar>
              <w:top w:w="15" w:type="dxa"/>
              <w:left w:w="108" w:type="dxa"/>
              <w:bottom w:w="0" w:type="dxa"/>
              <w:right w:w="108" w:type="dxa"/>
            </w:tcMar>
            <w:vAlign w:val="center"/>
            <w:hideMark/>
          </w:tcPr>
          <w:p w14:paraId="1AC855DD" w14:textId="77777777" w:rsidR="000125A4" w:rsidRPr="00762A2E" w:rsidRDefault="000125A4" w:rsidP="007F14F0">
            <w:pPr>
              <w:spacing w:after="0" w:line="240" w:lineRule="auto"/>
              <w:rPr>
                <w:rFonts w:ascii="Arial" w:eastAsia="Times New Roman" w:hAnsi="Arial" w:cs="Arial"/>
                <w:sz w:val="20"/>
                <w:szCs w:val="20"/>
              </w:rPr>
            </w:pPr>
            <w:r w:rsidRPr="00762A2E">
              <w:rPr>
                <w:rFonts w:ascii="Calibri" w:hAnsi="Calibri" w:cs="Times New Roman"/>
                <w:color w:val="000000"/>
                <w:kern w:val="24"/>
                <w:sz w:val="20"/>
                <w:szCs w:val="20"/>
              </w:rPr>
              <w:t>c.1023C&gt;T</w:t>
            </w:r>
          </w:p>
        </w:tc>
        <w:tc>
          <w:tcPr>
            <w:tcW w:w="1428" w:type="dxa"/>
            <w:tcBorders>
              <w:top w:val="single" w:sz="4" w:space="0" w:color="auto"/>
              <w:left w:val="nil"/>
              <w:bottom w:val="nil"/>
              <w:right w:val="nil"/>
            </w:tcBorders>
            <w:shd w:val="clear" w:color="auto" w:fill="auto"/>
            <w:tcMar>
              <w:top w:w="15" w:type="dxa"/>
              <w:left w:w="108" w:type="dxa"/>
              <w:bottom w:w="0" w:type="dxa"/>
              <w:right w:w="108" w:type="dxa"/>
            </w:tcMar>
            <w:hideMark/>
          </w:tcPr>
          <w:p w14:paraId="1292C8F1" w14:textId="77777777" w:rsidR="000125A4" w:rsidRPr="00762A2E" w:rsidRDefault="000125A4" w:rsidP="007F14F0">
            <w:pPr>
              <w:spacing w:after="0" w:line="240" w:lineRule="auto"/>
              <w:jc w:val="both"/>
              <w:rPr>
                <w:rFonts w:ascii="Arial" w:eastAsia="Times New Roman" w:hAnsi="Arial" w:cs="Arial"/>
                <w:sz w:val="20"/>
                <w:szCs w:val="20"/>
              </w:rPr>
            </w:pPr>
            <w:r w:rsidRPr="00762A2E">
              <w:rPr>
                <w:rFonts w:ascii="Calibri" w:hAnsi="Calibri" w:cs="Times New Roman"/>
                <w:color w:val="000000"/>
                <w:kern w:val="24"/>
                <w:sz w:val="20"/>
                <w:szCs w:val="20"/>
              </w:rPr>
              <w:t>F4</w:t>
            </w:r>
          </w:p>
        </w:tc>
        <w:tc>
          <w:tcPr>
            <w:tcW w:w="3060" w:type="dxa"/>
            <w:tcBorders>
              <w:top w:val="single" w:sz="4" w:space="0" w:color="auto"/>
              <w:left w:val="nil"/>
              <w:bottom w:val="nil"/>
              <w:right w:val="nil"/>
            </w:tcBorders>
            <w:shd w:val="clear" w:color="auto" w:fill="auto"/>
            <w:tcMar>
              <w:top w:w="15" w:type="dxa"/>
              <w:left w:w="108" w:type="dxa"/>
              <w:bottom w:w="0" w:type="dxa"/>
              <w:right w:w="108" w:type="dxa"/>
            </w:tcMar>
            <w:hideMark/>
          </w:tcPr>
          <w:p w14:paraId="24338E3C" w14:textId="77777777" w:rsidR="000125A4" w:rsidRPr="00762A2E" w:rsidRDefault="000125A4" w:rsidP="007F14F0">
            <w:pPr>
              <w:spacing w:after="0" w:line="240" w:lineRule="auto"/>
              <w:jc w:val="both"/>
              <w:rPr>
                <w:rFonts w:eastAsia="Times New Roman" w:cs="Arial"/>
                <w:sz w:val="20"/>
                <w:szCs w:val="20"/>
              </w:rPr>
            </w:pPr>
            <w:r w:rsidRPr="00762A2E">
              <w:rPr>
                <w:rFonts w:cs="Times New Roman"/>
                <w:color w:val="000000"/>
                <w:kern w:val="24"/>
                <w:sz w:val="20"/>
                <w:szCs w:val="20"/>
              </w:rPr>
              <w:t>AGGCTCGTTCCTGTTCAGAAG</w:t>
            </w:r>
          </w:p>
        </w:tc>
        <w:tc>
          <w:tcPr>
            <w:tcW w:w="990" w:type="dxa"/>
            <w:tcBorders>
              <w:top w:val="single" w:sz="4" w:space="0" w:color="auto"/>
              <w:left w:val="nil"/>
              <w:bottom w:val="nil"/>
              <w:right w:val="nil"/>
            </w:tcBorders>
            <w:shd w:val="clear" w:color="auto" w:fill="auto"/>
            <w:tcMar>
              <w:top w:w="15" w:type="dxa"/>
              <w:left w:w="108" w:type="dxa"/>
              <w:bottom w:w="0" w:type="dxa"/>
              <w:right w:w="108" w:type="dxa"/>
            </w:tcMar>
            <w:hideMark/>
          </w:tcPr>
          <w:p w14:paraId="68E44E9D" w14:textId="77777777" w:rsidR="000125A4" w:rsidRPr="00762A2E" w:rsidRDefault="000125A4" w:rsidP="007F14F0">
            <w:pPr>
              <w:spacing w:after="0" w:line="240" w:lineRule="auto"/>
              <w:jc w:val="both"/>
              <w:rPr>
                <w:rFonts w:ascii="Arial" w:eastAsia="Times New Roman" w:hAnsi="Arial" w:cs="Arial"/>
                <w:color w:val="000000" w:themeColor="text1"/>
                <w:sz w:val="20"/>
                <w:szCs w:val="20"/>
              </w:rPr>
            </w:pPr>
            <w:r w:rsidRPr="00762A2E">
              <w:rPr>
                <w:rFonts w:ascii="Calibri" w:hAnsi="Calibri" w:cs="Times New Roman"/>
                <w:color w:val="000000" w:themeColor="text1"/>
                <w:kern w:val="24"/>
                <w:sz w:val="20"/>
                <w:szCs w:val="20"/>
              </w:rPr>
              <w:t>c.854</w:t>
            </w:r>
          </w:p>
        </w:tc>
        <w:tc>
          <w:tcPr>
            <w:tcW w:w="990" w:type="dxa"/>
            <w:tcBorders>
              <w:top w:val="single" w:sz="4" w:space="0" w:color="auto"/>
              <w:left w:val="nil"/>
              <w:bottom w:val="nil"/>
              <w:right w:val="nil"/>
            </w:tcBorders>
            <w:shd w:val="clear" w:color="auto" w:fill="auto"/>
            <w:tcMar>
              <w:top w:w="15" w:type="dxa"/>
              <w:left w:w="108" w:type="dxa"/>
              <w:bottom w:w="0" w:type="dxa"/>
              <w:right w:w="108" w:type="dxa"/>
            </w:tcMar>
            <w:hideMark/>
          </w:tcPr>
          <w:p w14:paraId="19A8CD6E" w14:textId="77777777" w:rsidR="000125A4" w:rsidRPr="00762A2E" w:rsidRDefault="000125A4" w:rsidP="007F14F0">
            <w:pPr>
              <w:spacing w:after="0" w:line="240" w:lineRule="auto"/>
              <w:jc w:val="both"/>
              <w:rPr>
                <w:rFonts w:ascii="Arial" w:eastAsia="Times New Roman" w:hAnsi="Arial" w:cs="Arial"/>
                <w:color w:val="000000" w:themeColor="text1"/>
                <w:sz w:val="20"/>
                <w:szCs w:val="20"/>
              </w:rPr>
            </w:pPr>
            <w:r w:rsidRPr="00762A2E">
              <w:rPr>
                <w:rFonts w:ascii="Calibri" w:hAnsi="Calibri" w:cs="Times New Roman"/>
                <w:color w:val="000000" w:themeColor="text1"/>
                <w:kern w:val="24"/>
                <w:sz w:val="20"/>
                <w:szCs w:val="20"/>
              </w:rPr>
              <w:t>c.874</w:t>
            </w:r>
          </w:p>
        </w:tc>
      </w:tr>
      <w:tr w:rsidR="000125A4" w:rsidRPr="00762A2E" w14:paraId="23E64E60" w14:textId="77777777" w:rsidTr="0002245F">
        <w:tc>
          <w:tcPr>
            <w:tcW w:w="1542" w:type="dxa"/>
            <w:vMerge/>
            <w:tcBorders>
              <w:top w:val="nil"/>
              <w:left w:val="nil"/>
              <w:bottom w:val="single" w:sz="4" w:space="0" w:color="auto"/>
              <w:right w:val="nil"/>
            </w:tcBorders>
            <w:shd w:val="clear" w:color="auto" w:fill="auto"/>
            <w:vAlign w:val="center"/>
            <w:hideMark/>
          </w:tcPr>
          <w:p w14:paraId="043A03D8" w14:textId="77777777" w:rsidR="000125A4" w:rsidRPr="00762A2E" w:rsidRDefault="000125A4" w:rsidP="007F14F0">
            <w:pPr>
              <w:spacing w:after="0" w:line="240" w:lineRule="auto"/>
              <w:rPr>
                <w:rFonts w:ascii="Arial" w:eastAsia="Times New Roman" w:hAnsi="Arial" w:cs="Arial"/>
                <w:sz w:val="20"/>
                <w:szCs w:val="20"/>
              </w:rPr>
            </w:pPr>
          </w:p>
        </w:tc>
        <w:tc>
          <w:tcPr>
            <w:tcW w:w="1428" w:type="dxa"/>
            <w:tcBorders>
              <w:top w:val="nil"/>
              <w:left w:val="nil"/>
              <w:bottom w:val="single" w:sz="4" w:space="0" w:color="auto"/>
              <w:right w:val="nil"/>
            </w:tcBorders>
            <w:shd w:val="clear" w:color="auto" w:fill="auto"/>
            <w:tcMar>
              <w:top w:w="15" w:type="dxa"/>
              <w:left w:w="108" w:type="dxa"/>
              <w:bottom w:w="0" w:type="dxa"/>
              <w:right w:w="108" w:type="dxa"/>
            </w:tcMar>
            <w:hideMark/>
          </w:tcPr>
          <w:p w14:paraId="40B21B28" w14:textId="77777777" w:rsidR="000125A4" w:rsidRPr="00762A2E" w:rsidRDefault="000125A4" w:rsidP="007F14F0">
            <w:pPr>
              <w:spacing w:after="0" w:line="240" w:lineRule="auto"/>
              <w:jc w:val="both"/>
              <w:rPr>
                <w:rFonts w:ascii="Arial" w:eastAsia="Times New Roman" w:hAnsi="Arial" w:cs="Arial"/>
                <w:sz w:val="20"/>
                <w:szCs w:val="20"/>
              </w:rPr>
            </w:pPr>
            <w:r w:rsidRPr="00762A2E">
              <w:rPr>
                <w:rFonts w:ascii="Calibri" w:hAnsi="Calibri" w:cs="Times New Roman"/>
                <w:color w:val="000000"/>
                <w:kern w:val="24"/>
                <w:sz w:val="20"/>
                <w:szCs w:val="20"/>
              </w:rPr>
              <w:t>R4</w:t>
            </w:r>
          </w:p>
        </w:tc>
        <w:tc>
          <w:tcPr>
            <w:tcW w:w="3060" w:type="dxa"/>
            <w:tcBorders>
              <w:top w:val="nil"/>
              <w:left w:val="nil"/>
              <w:bottom w:val="single" w:sz="4" w:space="0" w:color="auto"/>
              <w:right w:val="nil"/>
            </w:tcBorders>
            <w:shd w:val="clear" w:color="auto" w:fill="auto"/>
            <w:tcMar>
              <w:top w:w="15" w:type="dxa"/>
              <w:left w:w="108" w:type="dxa"/>
              <w:bottom w:w="0" w:type="dxa"/>
              <w:right w:w="108" w:type="dxa"/>
            </w:tcMar>
            <w:hideMark/>
          </w:tcPr>
          <w:p w14:paraId="0BC8B563" w14:textId="77777777" w:rsidR="000125A4" w:rsidRPr="00762A2E" w:rsidRDefault="000125A4" w:rsidP="007F14F0">
            <w:pPr>
              <w:spacing w:after="0" w:line="240" w:lineRule="auto"/>
              <w:jc w:val="both"/>
              <w:rPr>
                <w:rFonts w:eastAsia="Times New Roman" w:cs="Arial"/>
                <w:sz w:val="20"/>
                <w:szCs w:val="20"/>
              </w:rPr>
            </w:pPr>
            <w:r w:rsidRPr="00762A2E">
              <w:rPr>
                <w:rFonts w:cs="Times New Roman"/>
                <w:color w:val="000000"/>
                <w:kern w:val="24"/>
                <w:sz w:val="20"/>
                <w:szCs w:val="20"/>
              </w:rPr>
              <w:t xml:space="preserve">CTTCCTTCTTCATGGTCAGTG </w:t>
            </w:r>
          </w:p>
        </w:tc>
        <w:tc>
          <w:tcPr>
            <w:tcW w:w="990" w:type="dxa"/>
            <w:tcBorders>
              <w:top w:val="nil"/>
              <w:left w:val="nil"/>
              <w:bottom w:val="single" w:sz="4" w:space="0" w:color="auto"/>
              <w:right w:val="nil"/>
            </w:tcBorders>
            <w:shd w:val="clear" w:color="auto" w:fill="auto"/>
            <w:tcMar>
              <w:top w:w="15" w:type="dxa"/>
              <w:left w:w="108" w:type="dxa"/>
              <w:bottom w:w="0" w:type="dxa"/>
              <w:right w:w="108" w:type="dxa"/>
            </w:tcMar>
            <w:hideMark/>
          </w:tcPr>
          <w:p w14:paraId="2DE34100" w14:textId="77777777" w:rsidR="000125A4" w:rsidRPr="00762A2E" w:rsidRDefault="000125A4" w:rsidP="007F14F0">
            <w:pPr>
              <w:spacing w:after="0" w:line="240" w:lineRule="auto"/>
              <w:jc w:val="both"/>
              <w:rPr>
                <w:rFonts w:ascii="Arial" w:eastAsia="Times New Roman" w:hAnsi="Arial" w:cs="Arial"/>
                <w:color w:val="000000" w:themeColor="text1"/>
                <w:sz w:val="20"/>
                <w:szCs w:val="20"/>
              </w:rPr>
            </w:pPr>
            <w:r w:rsidRPr="00762A2E">
              <w:rPr>
                <w:rFonts w:ascii="Calibri" w:hAnsi="Calibri" w:cs="Times New Roman"/>
                <w:color w:val="000000" w:themeColor="text1"/>
                <w:kern w:val="24"/>
                <w:sz w:val="20"/>
                <w:szCs w:val="20"/>
              </w:rPr>
              <w:t>c.1174</w:t>
            </w:r>
          </w:p>
        </w:tc>
        <w:tc>
          <w:tcPr>
            <w:tcW w:w="990" w:type="dxa"/>
            <w:tcBorders>
              <w:top w:val="nil"/>
              <w:left w:val="nil"/>
              <w:bottom w:val="single" w:sz="4" w:space="0" w:color="auto"/>
              <w:right w:val="nil"/>
            </w:tcBorders>
            <w:shd w:val="clear" w:color="auto" w:fill="auto"/>
            <w:tcMar>
              <w:top w:w="15" w:type="dxa"/>
              <w:left w:w="108" w:type="dxa"/>
              <w:bottom w:w="0" w:type="dxa"/>
              <w:right w:w="108" w:type="dxa"/>
            </w:tcMar>
            <w:hideMark/>
          </w:tcPr>
          <w:p w14:paraId="02417306" w14:textId="77777777" w:rsidR="000125A4" w:rsidRPr="00762A2E" w:rsidRDefault="000125A4" w:rsidP="007F14F0">
            <w:pPr>
              <w:spacing w:after="0" w:line="240" w:lineRule="auto"/>
              <w:jc w:val="both"/>
              <w:rPr>
                <w:rFonts w:ascii="Arial" w:eastAsia="Times New Roman" w:hAnsi="Arial" w:cs="Arial"/>
                <w:color w:val="000000" w:themeColor="text1"/>
                <w:sz w:val="20"/>
                <w:szCs w:val="20"/>
              </w:rPr>
            </w:pPr>
            <w:r w:rsidRPr="00762A2E">
              <w:rPr>
                <w:rFonts w:ascii="Calibri" w:hAnsi="Calibri" w:cs="Times New Roman"/>
                <w:color w:val="000000" w:themeColor="text1"/>
                <w:kern w:val="24"/>
                <w:sz w:val="20"/>
                <w:szCs w:val="20"/>
              </w:rPr>
              <w:t>c.1154</w:t>
            </w:r>
          </w:p>
        </w:tc>
      </w:tr>
      <w:tr w:rsidR="000125A4" w:rsidRPr="00762A2E" w14:paraId="1643D8FD" w14:textId="77777777" w:rsidTr="0002245F">
        <w:tc>
          <w:tcPr>
            <w:tcW w:w="1542" w:type="dxa"/>
            <w:vMerge w:val="restart"/>
            <w:tcBorders>
              <w:top w:val="single" w:sz="4" w:space="0" w:color="auto"/>
              <w:left w:val="nil"/>
              <w:right w:val="nil"/>
            </w:tcBorders>
            <w:shd w:val="clear" w:color="auto" w:fill="auto"/>
            <w:tcMar>
              <w:top w:w="15" w:type="dxa"/>
              <w:left w:w="108" w:type="dxa"/>
              <w:bottom w:w="0" w:type="dxa"/>
              <w:right w:w="108" w:type="dxa"/>
            </w:tcMar>
            <w:vAlign w:val="center"/>
            <w:hideMark/>
          </w:tcPr>
          <w:p w14:paraId="55597E43" w14:textId="77777777" w:rsidR="000125A4" w:rsidRPr="00762A2E" w:rsidRDefault="000125A4" w:rsidP="007F14F0">
            <w:pPr>
              <w:spacing w:after="0" w:line="240" w:lineRule="auto"/>
              <w:rPr>
                <w:rFonts w:ascii="Arial" w:eastAsia="Times New Roman" w:hAnsi="Arial" w:cs="Arial"/>
                <w:sz w:val="20"/>
                <w:szCs w:val="20"/>
              </w:rPr>
            </w:pPr>
            <w:r w:rsidRPr="00762A2E">
              <w:rPr>
                <w:rFonts w:ascii="Calibri" w:hAnsi="Calibri" w:cs="Times New Roman"/>
                <w:color w:val="000000"/>
                <w:kern w:val="24"/>
                <w:sz w:val="20"/>
                <w:szCs w:val="20"/>
              </w:rPr>
              <w:t>c.1416G&gt;A</w:t>
            </w:r>
          </w:p>
        </w:tc>
        <w:tc>
          <w:tcPr>
            <w:tcW w:w="1428" w:type="dxa"/>
            <w:tcBorders>
              <w:top w:val="single" w:sz="4" w:space="0" w:color="auto"/>
              <w:left w:val="nil"/>
              <w:right w:val="nil"/>
            </w:tcBorders>
            <w:shd w:val="clear" w:color="auto" w:fill="auto"/>
            <w:tcMar>
              <w:top w:w="15" w:type="dxa"/>
              <w:left w:w="108" w:type="dxa"/>
              <w:bottom w:w="0" w:type="dxa"/>
              <w:right w:w="108" w:type="dxa"/>
            </w:tcMar>
            <w:hideMark/>
          </w:tcPr>
          <w:p w14:paraId="654DA276" w14:textId="77777777" w:rsidR="000125A4" w:rsidRPr="00762A2E" w:rsidRDefault="000125A4" w:rsidP="007F14F0">
            <w:pPr>
              <w:spacing w:after="0" w:line="240" w:lineRule="auto"/>
              <w:jc w:val="both"/>
              <w:rPr>
                <w:rFonts w:ascii="Arial" w:eastAsia="Times New Roman" w:hAnsi="Arial" w:cs="Arial"/>
                <w:sz w:val="20"/>
                <w:szCs w:val="20"/>
              </w:rPr>
            </w:pPr>
            <w:r w:rsidRPr="00762A2E">
              <w:rPr>
                <w:rFonts w:ascii="Calibri" w:hAnsi="Calibri" w:cs="Times New Roman"/>
                <w:color w:val="000000"/>
                <w:kern w:val="24"/>
                <w:sz w:val="20"/>
                <w:szCs w:val="20"/>
              </w:rPr>
              <w:t>F5</w:t>
            </w:r>
          </w:p>
        </w:tc>
        <w:tc>
          <w:tcPr>
            <w:tcW w:w="3060" w:type="dxa"/>
            <w:tcBorders>
              <w:top w:val="single" w:sz="4" w:space="0" w:color="auto"/>
              <w:left w:val="nil"/>
              <w:right w:val="nil"/>
            </w:tcBorders>
            <w:shd w:val="clear" w:color="auto" w:fill="auto"/>
            <w:tcMar>
              <w:top w:w="15" w:type="dxa"/>
              <w:left w:w="108" w:type="dxa"/>
              <w:bottom w:w="0" w:type="dxa"/>
              <w:right w:w="108" w:type="dxa"/>
            </w:tcMar>
            <w:hideMark/>
          </w:tcPr>
          <w:p w14:paraId="6E5E65B3" w14:textId="77777777" w:rsidR="000125A4" w:rsidRPr="00762A2E" w:rsidRDefault="00BF0760" w:rsidP="007F14F0">
            <w:pPr>
              <w:spacing w:after="0" w:line="240" w:lineRule="auto"/>
              <w:jc w:val="both"/>
              <w:rPr>
                <w:rFonts w:eastAsia="Times New Roman" w:cs="Arial"/>
                <w:sz w:val="20"/>
                <w:szCs w:val="20"/>
              </w:rPr>
            </w:pPr>
            <w:r w:rsidRPr="00762A2E">
              <w:rPr>
                <w:rFonts w:eastAsia="Times New Roman" w:cs="Arial"/>
                <w:sz w:val="20"/>
                <w:szCs w:val="20"/>
              </w:rPr>
              <w:t>GGAGAAGTCATCCCCCTTCAGTG</w:t>
            </w:r>
          </w:p>
        </w:tc>
        <w:tc>
          <w:tcPr>
            <w:tcW w:w="990" w:type="dxa"/>
            <w:tcBorders>
              <w:top w:val="single" w:sz="4" w:space="0" w:color="auto"/>
              <w:left w:val="nil"/>
              <w:right w:val="nil"/>
            </w:tcBorders>
            <w:shd w:val="clear" w:color="auto" w:fill="auto"/>
            <w:tcMar>
              <w:top w:w="15" w:type="dxa"/>
              <w:left w:w="108" w:type="dxa"/>
              <w:bottom w:w="0" w:type="dxa"/>
              <w:right w:w="108" w:type="dxa"/>
            </w:tcMar>
            <w:hideMark/>
          </w:tcPr>
          <w:p w14:paraId="36708641" w14:textId="77777777" w:rsidR="000125A4" w:rsidRPr="00762A2E" w:rsidRDefault="000125A4" w:rsidP="007F14F0">
            <w:pPr>
              <w:spacing w:after="0" w:line="240" w:lineRule="auto"/>
              <w:jc w:val="both"/>
              <w:rPr>
                <w:rFonts w:ascii="Arial" w:eastAsia="Times New Roman" w:hAnsi="Arial" w:cs="Arial"/>
                <w:sz w:val="20"/>
                <w:szCs w:val="20"/>
              </w:rPr>
            </w:pPr>
            <w:r w:rsidRPr="00762A2E">
              <w:rPr>
                <w:rFonts w:ascii="Calibri" w:hAnsi="Calibri" w:cs="Times New Roman"/>
                <w:color w:val="000000"/>
                <w:kern w:val="24"/>
                <w:sz w:val="20"/>
                <w:szCs w:val="20"/>
              </w:rPr>
              <w:t>c.</w:t>
            </w:r>
            <w:r w:rsidR="00CE589C" w:rsidRPr="00762A2E">
              <w:rPr>
                <w:rFonts w:ascii="Calibri" w:hAnsi="Calibri" w:cs="Times New Roman"/>
                <w:color w:val="000000"/>
                <w:kern w:val="24"/>
                <w:sz w:val="20"/>
                <w:szCs w:val="20"/>
              </w:rPr>
              <w:t>1266</w:t>
            </w:r>
          </w:p>
        </w:tc>
        <w:tc>
          <w:tcPr>
            <w:tcW w:w="990" w:type="dxa"/>
            <w:tcBorders>
              <w:top w:val="single" w:sz="4" w:space="0" w:color="auto"/>
              <w:left w:val="nil"/>
              <w:right w:val="nil"/>
            </w:tcBorders>
            <w:shd w:val="clear" w:color="auto" w:fill="auto"/>
            <w:tcMar>
              <w:top w:w="15" w:type="dxa"/>
              <w:left w:w="108" w:type="dxa"/>
              <w:bottom w:w="0" w:type="dxa"/>
              <w:right w:w="108" w:type="dxa"/>
            </w:tcMar>
            <w:hideMark/>
          </w:tcPr>
          <w:p w14:paraId="15DB39C4" w14:textId="77777777" w:rsidR="000125A4" w:rsidRPr="00762A2E" w:rsidRDefault="000125A4" w:rsidP="007F14F0">
            <w:pPr>
              <w:spacing w:after="0" w:line="240" w:lineRule="auto"/>
              <w:jc w:val="both"/>
              <w:rPr>
                <w:rFonts w:ascii="Arial" w:eastAsia="Times New Roman" w:hAnsi="Arial" w:cs="Arial"/>
                <w:sz w:val="20"/>
                <w:szCs w:val="20"/>
              </w:rPr>
            </w:pPr>
            <w:r w:rsidRPr="00762A2E">
              <w:rPr>
                <w:rFonts w:ascii="Calibri" w:hAnsi="Calibri" w:cs="Times New Roman"/>
                <w:color w:val="000000"/>
                <w:kern w:val="24"/>
                <w:sz w:val="20"/>
                <w:szCs w:val="20"/>
              </w:rPr>
              <w:t>c.</w:t>
            </w:r>
            <w:r w:rsidR="006E3EEC" w:rsidRPr="00762A2E">
              <w:rPr>
                <w:rFonts w:ascii="Calibri" w:hAnsi="Calibri" w:cs="Times New Roman"/>
                <w:color w:val="000000"/>
                <w:kern w:val="24"/>
                <w:sz w:val="20"/>
                <w:szCs w:val="20"/>
              </w:rPr>
              <w:t>1288</w:t>
            </w:r>
          </w:p>
        </w:tc>
      </w:tr>
      <w:tr w:rsidR="000125A4" w:rsidRPr="00762A2E" w14:paraId="5FD40BA8" w14:textId="77777777" w:rsidTr="0002245F">
        <w:tc>
          <w:tcPr>
            <w:tcW w:w="1542" w:type="dxa"/>
            <w:vMerge/>
            <w:tcBorders>
              <w:top w:val="nil"/>
              <w:left w:val="nil"/>
              <w:bottom w:val="single" w:sz="4" w:space="0" w:color="auto"/>
              <w:right w:val="nil"/>
            </w:tcBorders>
            <w:shd w:val="clear" w:color="auto" w:fill="auto"/>
            <w:vAlign w:val="center"/>
            <w:hideMark/>
          </w:tcPr>
          <w:p w14:paraId="43E83202" w14:textId="77777777" w:rsidR="000125A4" w:rsidRPr="00762A2E" w:rsidRDefault="000125A4" w:rsidP="007F14F0">
            <w:pPr>
              <w:spacing w:after="0" w:line="240" w:lineRule="auto"/>
              <w:rPr>
                <w:rFonts w:ascii="Arial" w:eastAsia="Times New Roman" w:hAnsi="Arial" w:cs="Arial"/>
                <w:sz w:val="20"/>
                <w:szCs w:val="20"/>
              </w:rPr>
            </w:pPr>
          </w:p>
        </w:tc>
        <w:tc>
          <w:tcPr>
            <w:tcW w:w="1428" w:type="dxa"/>
            <w:tcBorders>
              <w:top w:val="nil"/>
              <w:left w:val="nil"/>
              <w:bottom w:val="single" w:sz="4" w:space="0" w:color="auto"/>
              <w:right w:val="nil"/>
            </w:tcBorders>
            <w:shd w:val="clear" w:color="auto" w:fill="auto"/>
            <w:tcMar>
              <w:top w:w="15" w:type="dxa"/>
              <w:left w:w="108" w:type="dxa"/>
              <w:bottom w:w="0" w:type="dxa"/>
              <w:right w:w="108" w:type="dxa"/>
            </w:tcMar>
            <w:hideMark/>
          </w:tcPr>
          <w:p w14:paraId="3DD3573C" w14:textId="77777777" w:rsidR="000125A4" w:rsidRPr="00762A2E" w:rsidRDefault="000125A4" w:rsidP="007F14F0">
            <w:pPr>
              <w:spacing w:after="0" w:line="240" w:lineRule="auto"/>
              <w:jc w:val="both"/>
              <w:rPr>
                <w:rFonts w:ascii="Arial" w:eastAsia="Times New Roman" w:hAnsi="Arial" w:cs="Arial"/>
                <w:sz w:val="20"/>
                <w:szCs w:val="20"/>
              </w:rPr>
            </w:pPr>
            <w:r w:rsidRPr="00762A2E">
              <w:rPr>
                <w:rFonts w:ascii="Calibri" w:hAnsi="Calibri" w:cs="Times New Roman"/>
                <w:color w:val="000000"/>
                <w:kern w:val="24"/>
                <w:sz w:val="20"/>
                <w:szCs w:val="20"/>
              </w:rPr>
              <w:t>R5</w:t>
            </w:r>
          </w:p>
        </w:tc>
        <w:tc>
          <w:tcPr>
            <w:tcW w:w="3060" w:type="dxa"/>
            <w:tcBorders>
              <w:top w:val="nil"/>
              <w:left w:val="nil"/>
              <w:bottom w:val="single" w:sz="4" w:space="0" w:color="auto"/>
              <w:right w:val="nil"/>
            </w:tcBorders>
            <w:shd w:val="clear" w:color="auto" w:fill="auto"/>
            <w:tcMar>
              <w:top w:w="15" w:type="dxa"/>
              <w:left w:w="108" w:type="dxa"/>
              <w:bottom w:w="0" w:type="dxa"/>
              <w:right w:w="108" w:type="dxa"/>
            </w:tcMar>
            <w:hideMark/>
          </w:tcPr>
          <w:p w14:paraId="6FC670D6" w14:textId="77777777" w:rsidR="000125A4" w:rsidRPr="00762A2E" w:rsidRDefault="000125A4" w:rsidP="007F14F0">
            <w:pPr>
              <w:spacing w:after="0" w:line="240" w:lineRule="auto"/>
              <w:jc w:val="both"/>
              <w:rPr>
                <w:rFonts w:ascii="Arial" w:eastAsia="Times New Roman" w:hAnsi="Arial" w:cs="Arial"/>
                <w:sz w:val="20"/>
                <w:szCs w:val="20"/>
              </w:rPr>
            </w:pPr>
            <w:r w:rsidRPr="00762A2E">
              <w:rPr>
                <w:rFonts w:ascii="Calibri" w:hAnsi="Calibri" w:cs="Times New Roman"/>
                <w:color w:val="000000"/>
                <w:kern w:val="24"/>
                <w:sz w:val="20"/>
                <w:szCs w:val="20"/>
              </w:rPr>
              <w:t xml:space="preserve">CTAGCCCATGGCGGTCACCATGC </w:t>
            </w:r>
          </w:p>
        </w:tc>
        <w:tc>
          <w:tcPr>
            <w:tcW w:w="990" w:type="dxa"/>
            <w:tcBorders>
              <w:top w:val="nil"/>
              <w:left w:val="nil"/>
              <w:bottom w:val="single" w:sz="4" w:space="0" w:color="auto"/>
              <w:right w:val="nil"/>
            </w:tcBorders>
            <w:shd w:val="clear" w:color="auto" w:fill="auto"/>
            <w:tcMar>
              <w:top w:w="15" w:type="dxa"/>
              <w:left w:w="108" w:type="dxa"/>
              <w:bottom w:w="0" w:type="dxa"/>
              <w:right w:w="108" w:type="dxa"/>
            </w:tcMar>
            <w:hideMark/>
          </w:tcPr>
          <w:p w14:paraId="2AE3ABFE" w14:textId="77777777" w:rsidR="000125A4" w:rsidRPr="00762A2E" w:rsidRDefault="000125A4" w:rsidP="007F14F0">
            <w:pPr>
              <w:spacing w:after="0" w:line="240" w:lineRule="auto"/>
              <w:jc w:val="both"/>
              <w:rPr>
                <w:rFonts w:ascii="Arial" w:eastAsia="Times New Roman" w:hAnsi="Arial" w:cs="Arial"/>
                <w:sz w:val="20"/>
                <w:szCs w:val="20"/>
              </w:rPr>
            </w:pPr>
            <w:r w:rsidRPr="00762A2E">
              <w:rPr>
                <w:rFonts w:ascii="Calibri" w:hAnsi="Calibri" w:cs="Times New Roman"/>
                <w:color w:val="000000"/>
                <w:kern w:val="24"/>
                <w:sz w:val="20"/>
                <w:szCs w:val="20"/>
              </w:rPr>
              <w:t>c.1443</w:t>
            </w:r>
          </w:p>
        </w:tc>
        <w:tc>
          <w:tcPr>
            <w:tcW w:w="990" w:type="dxa"/>
            <w:tcBorders>
              <w:top w:val="nil"/>
              <w:left w:val="nil"/>
              <w:bottom w:val="single" w:sz="4" w:space="0" w:color="auto"/>
              <w:right w:val="nil"/>
            </w:tcBorders>
            <w:shd w:val="clear" w:color="auto" w:fill="auto"/>
            <w:tcMar>
              <w:top w:w="15" w:type="dxa"/>
              <w:left w:w="108" w:type="dxa"/>
              <w:bottom w:w="0" w:type="dxa"/>
              <w:right w:w="108" w:type="dxa"/>
            </w:tcMar>
            <w:hideMark/>
          </w:tcPr>
          <w:p w14:paraId="7B49F8A0" w14:textId="77777777" w:rsidR="000125A4" w:rsidRPr="00762A2E" w:rsidRDefault="000125A4" w:rsidP="007F14F0">
            <w:pPr>
              <w:spacing w:after="0" w:line="240" w:lineRule="auto"/>
              <w:jc w:val="both"/>
              <w:rPr>
                <w:rFonts w:ascii="Arial" w:eastAsia="Times New Roman" w:hAnsi="Arial" w:cs="Arial"/>
                <w:sz w:val="20"/>
                <w:szCs w:val="20"/>
              </w:rPr>
            </w:pPr>
            <w:r w:rsidRPr="00762A2E">
              <w:rPr>
                <w:rFonts w:ascii="Calibri" w:hAnsi="Calibri" w:cs="Times New Roman"/>
                <w:color w:val="000000"/>
                <w:kern w:val="24"/>
                <w:sz w:val="20"/>
                <w:szCs w:val="20"/>
              </w:rPr>
              <w:t>c.1421</w:t>
            </w:r>
          </w:p>
        </w:tc>
      </w:tr>
      <w:tr w:rsidR="00BC5952" w:rsidRPr="00762A2E" w14:paraId="12A6CA85" w14:textId="77777777" w:rsidTr="0002245F">
        <w:tc>
          <w:tcPr>
            <w:tcW w:w="1542" w:type="dxa"/>
            <w:vMerge w:val="restart"/>
            <w:tcBorders>
              <w:top w:val="single" w:sz="4" w:space="0" w:color="auto"/>
              <w:left w:val="nil"/>
              <w:right w:val="nil"/>
            </w:tcBorders>
            <w:shd w:val="clear" w:color="auto" w:fill="auto"/>
            <w:vAlign w:val="center"/>
          </w:tcPr>
          <w:p w14:paraId="64D01DD8" w14:textId="63F60891" w:rsidR="00BC5952" w:rsidRPr="00762A2E" w:rsidRDefault="00F143E8" w:rsidP="007F14F0">
            <w:pPr>
              <w:spacing w:after="0" w:line="240" w:lineRule="auto"/>
              <w:rPr>
                <w:rFonts w:eastAsia="Times New Roman" w:cs="Arial"/>
                <w:sz w:val="20"/>
                <w:szCs w:val="20"/>
              </w:rPr>
            </w:pPr>
            <w:r w:rsidRPr="00762A2E">
              <w:rPr>
                <w:rFonts w:eastAsia="Times New Roman" w:cs="Arial"/>
                <w:sz w:val="20"/>
                <w:szCs w:val="20"/>
              </w:rPr>
              <w:t xml:space="preserve">  </w:t>
            </w:r>
            <w:r w:rsidR="00BC5952" w:rsidRPr="00762A2E">
              <w:rPr>
                <w:rFonts w:eastAsia="Times New Roman" w:cs="Arial"/>
                <w:sz w:val="20"/>
                <w:szCs w:val="20"/>
              </w:rPr>
              <w:t>c.490G&gt;A</w:t>
            </w:r>
          </w:p>
        </w:tc>
        <w:tc>
          <w:tcPr>
            <w:tcW w:w="1428" w:type="dxa"/>
            <w:tcBorders>
              <w:top w:val="single" w:sz="4" w:space="0" w:color="auto"/>
              <w:left w:val="nil"/>
              <w:bottom w:val="nil"/>
              <w:right w:val="nil"/>
            </w:tcBorders>
            <w:shd w:val="clear" w:color="auto" w:fill="auto"/>
            <w:tcMar>
              <w:top w:w="15" w:type="dxa"/>
              <w:left w:w="108" w:type="dxa"/>
              <w:bottom w:w="0" w:type="dxa"/>
              <w:right w:w="108" w:type="dxa"/>
            </w:tcMar>
          </w:tcPr>
          <w:p w14:paraId="1F15E44D" w14:textId="77777777" w:rsidR="00BC5952" w:rsidRPr="00762A2E" w:rsidRDefault="00BC5952" w:rsidP="007F14F0">
            <w:pPr>
              <w:spacing w:after="0" w:line="240" w:lineRule="auto"/>
              <w:jc w:val="both"/>
              <w:rPr>
                <w:rFonts w:ascii="Calibri" w:hAnsi="Calibri" w:cs="Times New Roman"/>
                <w:color w:val="000000"/>
                <w:kern w:val="24"/>
                <w:sz w:val="20"/>
                <w:szCs w:val="20"/>
              </w:rPr>
            </w:pPr>
            <w:r w:rsidRPr="00762A2E">
              <w:rPr>
                <w:rFonts w:ascii="Calibri" w:hAnsi="Calibri" w:cs="Times New Roman"/>
                <w:color w:val="000000"/>
                <w:kern w:val="24"/>
                <w:sz w:val="20"/>
                <w:szCs w:val="20"/>
              </w:rPr>
              <w:t>F1</w:t>
            </w:r>
          </w:p>
        </w:tc>
        <w:tc>
          <w:tcPr>
            <w:tcW w:w="3060" w:type="dxa"/>
            <w:tcBorders>
              <w:top w:val="single" w:sz="4" w:space="0" w:color="auto"/>
              <w:left w:val="nil"/>
              <w:bottom w:val="nil"/>
              <w:right w:val="nil"/>
            </w:tcBorders>
            <w:shd w:val="clear" w:color="auto" w:fill="auto"/>
            <w:tcMar>
              <w:top w:w="15" w:type="dxa"/>
              <w:left w:w="108" w:type="dxa"/>
              <w:bottom w:w="0" w:type="dxa"/>
              <w:right w:w="108" w:type="dxa"/>
            </w:tcMar>
          </w:tcPr>
          <w:p w14:paraId="25E428FA" w14:textId="77777777" w:rsidR="00BC5952" w:rsidRPr="00762A2E" w:rsidRDefault="00BC5952" w:rsidP="007F14F0">
            <w:pPr>
              <w:spacing w:after="0" w:line="240" w:lineRule="auto"/>
              <w:jc w:val="both"/>
              <w:rPr>
                <w:rFonts w:ascii="Calibri" w:hAnsi="Calibri" w:cs="Times New Roman"/>
                <w:color w:val="000000"/>
                <w:kern w:val="24"/>
                <w:sz w:val="20"/>
                <w:szCs w:val="20"/>
              </w:rPr>
            </w:pPr>
            <w:r w:rsidRPr="00762A2E">
              <w:rPr>
                <w:rFonts w:ascii="Calibri" w:hAnsi="Calibri" w:cs="Times New Roman"/>
                <w:color w:val="000000"/>
                <w:kern w:val="24"/>
                <w:sz w:val="20"/>
                <w:szCs w:val="20"/>
              </w:rPr>
              <w:t>TACAGCCCCGCGCACGCCCG</w:t>
            </w:r>
          </w:p>
        </w:tc>
        <w:tc>
          <w:tcPr>
            <w:tcW w:w="990" w:type="dxa"/>
            <w:tcBorders>
              <w:top w:val="single" w:sz="4" w:space="0" w:color="auto"/>
              <w:left w:val="nil"/>
              <w:bottom w:val="nil"/>
              <w:right w:val="nil"/>
            </w:tcBorders>
            <w:shd w:val="clear" w:color="auto" w:fill="auto"/>
            <w:tcMar>
              <w:top w:w="15" w:type="dxa"/>
              <w:left w:w="108" w:type="dxa"/>
              <w:bottom w:w="0" w:type="dxa"/>
              <w:right w:w="108" w:type="dxa"/>
            </w:tcMar>
          </w:tcPr>
          <w:p w14:paraId="3D04D1D7" w14:textId="77777777" w:rsidR="00BC5952" w:rsidRPr="00762A2E" w:rsidRDefault="00BC5952" w:rsidP="007F14F0">
            <w:pPr>
              <w:spacing w:after="0" w:line="240" w:lineRule="auto"/>
              <w:jc w:val="both"/>
              <w:rPr>
                <w:rFonts w:ascii="Calibri" w:hAnsi="Calibri" w:cs="Times New Roman"/>
                <w:color w:val="000000"/>
                <w:kern w:val="24"/>
                <w:sz w:val="20"/>
                <w:szCs w:val="20"/>
              </w:rPr>
            </w:pPr>
            <w:r w:rsidRPr="00762A2E">
              <w:rPr>
                <w:rFonts w:ascii="Calibri" w:hAnsi="Calibri" w:cs="Times New Roman"/>
                <w:color w:val="000000"/>
                <w:kern w:val="24"/>
                <w:sz w:val="20"/>
                <w:szCs w:val="20"/>
              </w:rPr>
              <w:t>c.214</w:t>
            </w:r>
          </w:p>
        </w:tc>
        <w:tc>
          <w:tcPr>
            <w:tcW w:w="990" w:type="dxa"/>
            <w:tcBorders>
              <w:top w:val="single" w:sz="4" w:space="0" w:color="auto"/>
              <w:left w:val="nil"/>
              <w:bottom w:val="nil"/>
              <w:right w:val="nil"/>
            </w:tcBorders>
            <w:shd w:val="clear" w:color="auto" w:fill="auto"/>
            <w:tcMar>
              <w:top w:w="15" w:type="dxa"/>
              <w:left w:w="108" w:type="dxa"/>
              <w:bottom w:w="0" w:type="dxa"/>
              <w:right w:w="108" w:type="dxa"/>
            </w:tcMar>
          </w:tcPr>
          <w:p w14:paraId="7CF308D5" w14:textId="77777777" w:rsidR="00BC5952" w:rsidRPr="00762A2E" w:rsidRDefault="00BC5952" w:rsidP="007F14F0">
            <w:pPr>
              <w:spacing w:after="0" w:line="240" w:lineRule="auto"/>
              <w:jc w:val="both"/>
              <w:rPr>
                <w:rFonts w:ascii="Calibri" w:hAnsi="Calibri" w:cs="Times New Roman"/>
                <w:color w:val="000000"/>
                <w:kern w:val="24"/>
                <w:sz w:val="20"/>
                <w:szCs w:val="20"/>
              </w:rPr>
            </w:pPr>
            <w:r w:rsidRPr="00762A2E">
              <w:rPr>
                <w:rFonts w:ascii="Calibri" w:hAnsi="Calibri" w:cs="Times New Roman"/>
                <w:color w:val="000000"/>
                <w:kern w:val="24"/>
                <w:sz w:val="20"/>
                <w:szCs w:val="20"/>
              </w:rPr>
              <w:t>c.233</w:t>
            </w:r>
          </w:p>
        </w:tc>
      </w:tr>
      <w:tr w:rsidR="00BC5952" w:rsidRPr="00762A2E" w14:paraId="166D74EC" w14:textId="77777777" w:rsidTr="0002245F">
        <w:tc>
          <w:tcPr>
            <w:tcW w:w="1542" w:type="dxa"/>
            <w:vMerge/>
            <w:tcBorders>
              <w:left w:val="nil"/>
              <w:bottom w:val="single" w:sz="4" w:space="0" w:color="auto"/>
              <w:right w:val="nil"/>
            </w:tcBorders>
            <w:shd w:val="clear" w:color="auto" w:fill="auto"/>
            <w:vAlign w:val="center"/>
          </w:tcPr>
          <w:p w14:paraId="23B3FC9A" w14:textId="77777777" w:rsidR="00BC5952" w:rsidRPr="00762A2E" w:rsidRDefault="00BC5952" w:rsidP="007F14F0">
            <w:pPr>
              <w:spacing w:after="0" w:line="240" w:lineRule="auto"/>
              <w:rPr>
                <w:rFonts w:ascii="Arial" w:eastAsia="Times New Roman" w:hAnsi="Arial" w:cs="Arial"/>
                <w:sz w:val="20"/>
                <w:szCs w:val="20"/>
              </w:rPr>
            </w:pPr>
          </w:p>
        </w:tc>
        <w:tc>
          <w:tcPr>
            <w:tcW w:w="1428" w:type="dxa"/>
            <w:tcBorders>
              <w:top w:val="nil"/>
              <w:left w:val="nil"/>
              <w:bottom w:val="single" w:sz="4" w:space="0" w:color="auto"/>
              <w:right w:val="nil"/>
            </w:tcBorders>
            <w:shd w:val="clear" w:color="auto" w:fill="auto"/>
            <w:tcMar>
              <w:top w:w="15" w:type="dxa"/>
              <w:left w:w="108" w:type="dxa"/>
              <w:bottom w:w="0" w:type="dxa"/>
              <w:right w:w="108" w:type="dxa"/>
            </w:tcMar>
          </w:tcPr>
          <w:p w14:paraId="4AEE60D5" w14:textId="77777777" w:rsidR="00BC5952" w:rsidRPr="00762A2E" w:rsidRDefault="00BC5952" w:rsidP="007F14F0">
            <w:pPr>
              <w:spacing w:after="0" w:line="240" w:lineRule="auto"/>
              <w:jc w:val="both"/>
              <w:rPr>
                <w:rFonts w:ascii="Calibri" w:hAnsi="Calibri" w:cs="Times New Roman"/>
                <w:color w:val="000000"/>
                <w:kern w:val="24"/>
                <w:sz w:val="20"/>
                <w:szCs w:val="20"/>
              </w:rPr>
            </w:pPr>
            <w:r w:rsidRPr="00762A2E">
              <w:rPr>
                <w:rFonts w:ascii="Calibri" w:hAnsi="Calibri" w:cs="Times New Roman"/>
                <w:color w:val="000000"/>
                <w:kern w:val="24"/>
                <w:sz w:val="20"/>
                <w:szCs w:val="20"/>
              </w:rPr>
              <w:t>R6</w:t>
            </w:r>
          </w:p>
        </w:tc>
        <w:tc>
          <w:tcPr>
            <w:tcW w:w="3060" w:type="dxa"/>
            <w:tcBorders>
              <w:top w:val="nil"/>
              <w:left w:val="nil"/>
              <w:bottom w:val="single" w:sz="4" w:space="0" w:color="auto"/>
              <w:right w:val="nil"/>
            </w:tcBorders>
            <w:shd w:val="clear" w:color="auto" w:fill="auto"/>
            <w:tcMar>
              <w:top w:w="15" w:type="dxa"/>
              <w:left w:w="108" w:type="dxa"/>
              <w:bottom w:w="0" w:type="dxa"/>
              <w:right w:w="108" w:type="dxa"/>
            </w:tcMar>
          </w:tcPr>
          <w:p w14:paraId="3605B0C2" w14:textId="77777777" w:rsidR="00BC5952" w:rsidRPr="00762A2E" w:rsidRDefault="00BC5952" w:rsidP="007F14F0">
            <w:pPr>
              <w:spacing w:after="0" w:line="240" w:lineRule="auto"/>
              <w:jc w:val="both"/>
              <w:rPr>
                <w:rFonts w:ascii="Calibri" w:hAnsi="Calibri" w:cs="Times New Roman"/>
                <w:color w:val="000000"/>
                <w:kern w:val="24"/>
                <w:sz w:val="20"/>
                <w:szCs w:val="20"/>
              </w:rPr>
            </w:pPr>
            <w:r w:rsidRPr="00762A2E">
              <w:rPr>
                <w:rFonts w:ascii="Calibri" w:hAnsi="Calibri" w:cs="Times New Roman"/>
                <w:color w:val="000000"/>
                <w:kern w:val="24"/>
                <w:sz w:val="20"/>
                <w:szCs w:val="20"/>
              </w:rPr>
              <w:t>CCCATAGTAGCTAGGCCTGG</w:t>
            </w:r>
          </w:p>
        </w:tc>
        <w:tc>
          <w:tcPr>
            <w:tcW w:w="990" w:type="dxa"/>
            <w:tcBorders>
              <w:top w:val="nil"/>
              <w:left w:val="nil"/>
              <w:bottom w:val="single" w:sz="4" w:space="0" w:color="auto"/>
              <w:right w:val="nil"/>
            </w:tcBorders>
            <w:shd w:val="clear" w:color="auto" w:fill="auto"/>
            <w:tcMar>
              <w:top w:w="15" w:type="dxa"/>
              <w:left w:w="108" w:type="dxa"/>
              <w:bottom w:w="0" w:type="dxa"/>
              <w:right w:w="108" w:type="dxa"/>
            </w:tcMar>
          </w:tcPr>
          <w:p w14:paraId="135AD31A" w14:textId="77777777" w:rsidR="00BC5952" w:rsidRPr="00762A2E" w:rsidRDefault="00BC5952" w:rsidP="007F14F0">
            <w:pPr>
              <w:spacing w:after="0" w:line="240" w:lineRule="auto"/>
              <w:jc w:val="both"/>
              <w:rPr>
                <w:rFonts w:ascii="Calibri" w:hAnsi="Calibri" w:cs="Times New Roman"/>
                <w:color w:val="000000"/>
                <w:kern w:val="24"/>
                <w:sz w:val="20"/>
                <w:szCs w:val="20"/>
              </w:rPr>
            </w:pPr>
            <w:r w:rsidRPr="00762A2E">
              <w:rPr>
                <w:rFonts w:ascii="Calibri" w:hAnsi="Calibri" w:cs="Times New Roman"/>
                <w:color w:val="000000"/>
                <w:kern w:val="24"/>
                <w:sz w:val="20"/>
                <w:szCs w:val="20"/>
              </w:rPr>
              <w:t>c.710</w:t>
            </w:r>
          </w:p>
        </w:tc>
        <w:tc>
          <w:tcPr>
            <w:tcW w:w="990" w:type="dxa"/>
            <w:tcBorders>
              <w:top w:val="nil"/>
              <w:left w:val="nil"/>
              <w:bottom w:val="single" w:sz="4" w:space="0" w:color="auto"/>
              <w:right w:val="nil"/>
            </w:tcBorders>
            <w:shd w:val="clear" w:color="auto" w:fill="auto"/>
            <w:tcMar>
              <w:top w:w="15" w:type="dxa"/>
              <w:left w:w="108" w:type="dxa"/>
              <w:bottom w:w="0" w:type="dxa"/>
              <w:right w:w="108" w:type="dxa"/>
            </w:tcMar>
          </w:tcPr>
          <w:p w14:paraId="1E615102" w14:textId="77777777" w:rsidR="00BC5952" w:rsidRPr="00762A2E" w:rsidRDefault="00BC5952" w:rsidP="007F14F0">
            <w:pPr>
              <w:spacing w:after="0" w:line="240" w:lineRule="auto"/>
              <w:jc w:val="both"/>
              <w:rPr>
                <w:rFonts w:ascii="Calibri" w:hAnsi="Calibri" w:cs="Times New Roman"/>
                <w:color w:val="000000"/>
                <w:kern w:val="24"/>
                <w:sz w:val="20"/>
                <w:szCs w:val="20"/>
              </w:rPr>
            </w:pPr>
            <w:r w:rsidRPr="00762A2E">
              <w:rPr>
                <w:rFonts w:ascii="Calibri" w:hAnsi="Calibri" w:cs="Times New Roman"/>
                <w:color w:val="000000"/>
                <w:kern w:val="24"/>
                <w:sz w:val="20"/>
                <w:szCs w:val="20"/>
              </w:rPr>
              <w:t>c.691</w:t>
            </w:r>
          </w:p>
        </w:tc>
      </w:tr>
      <w:tr w:rsidR="00F143E8" w:rsidRPr="00762A2E" w14:paraId="7309853F" w14:textId="77777777" w:rsidTr="0002245F">
        <w:tc>
          <w:tcPr>
            <w:tcW w:w="1542" w:type="dxa"/>
            <w:vMerge w:val="restart"/>
            <w:tcBorders>
              <w:top w:val="single" w:sz="4" w:space="0" w:color="auto"/>
              <w:left w:val="nil"/>
              <w:right w:val="nil"/>
            </w:tcBorders>
            <w:shd w:val="clear" w:color="auto" w:fill="auto"/>
            <w:vAlign w:val="center"/>
          </w:tcPr>
          <w:p w14:paraId="76E95E3E" w14:textId="70B388CD" w:rsidR="00F143E8" w:rsidRPr="00762A2E" w:rsidRDefault="00F143E8" w:rsidP="007F14F0">
            <w:pPr>
              <w:spacing w:after="0" w:line="240" w:lineRule="auto"/>
              <w:rPr>
                <w:rFonts w:eastAsia="Times New Roman" w:cs="Arial"/>
                <w:sz w:val="20"/>
                <w:szCs w:val="20"/>
              </w:rPr>
            </w:pPr>
            <w:r w:rsidRPr="00762A2E">
              <w:rPr>
                <w:rFonts w:eastAsia="Times New Roman" w:cs="Arial"/>
                <w:sz w:val="20"/>
                <w:szCs w:val="20"/>
              </w:rPr>
              <w:t xml:space="preserve">  c.351C&gt;G (P9)</w:t>
            </w:r>
          </w:p>
        </w:tc>
        <w:tc>
          <w:tcPr>
            <w:tcW w:w="1428" w:type="dxa"/>
            <w:tcBorders>
              <w:top w:val="single" w:sz="4" w:space="0" w:color="auto"/>
              <w:left w:val="nil"/>
              <w:bottom w:val="nil"/>
              <w:right w:val="nil"/>
            </w:tcBorders>
            <w:shd w:val="clear" w:color="auto" w:fill="auto"/>
            <w:tcMar>
              <w:top w:w="15" w:type="dxa"/>
              <w:left w:w="108" w:type="dxa"/>
              <w:bottom w:w="0" w:type="dxa"/>
              <w:right w:w="108" w:type="dxa"/>
            </w:tcMar>
          </w:tcPr>
          <w:p w14:paraId="71D15ED1" w14:textId="0A3207DE" w:rsidR="00F143E8" w:rsidRPr="00762A2E" w:rsidRDefault="00F143E8" w:rsidP="007F14F0">
            <w:pPr>
              <w:spacing w:after="0" w:line="240" w:lineRule="auto"/>
              <w:jc w:val="both"/>
              <w:rPr>
                <w:rFonts w:cs="Times New Roman"/>
                <w:color w:val="000000"/>
                <w:kern w:val="24"/>
                <w:sz w:val="20"/>
                <w:szCs w:val="20"/>
              </w:rPr>
            </w:pPr>
            <w:r w:rsidRPr="00762A2E">
              <w:rPr>
                <w:rFonts w:cs="Times New Roman"/>
                <w:color w:val="000000"/>
                <w:kern w:val="24"/>
                <w:sz w:val="20"/>
                <w:szCs w:val="20"/>
              </w:rPr>
              <w:t>F6</w:t>
            </w:r>
          </w:p>
        </w:tc>
        <w:tc>
          <w:tcPr>
            <w:tcW w:w="3060" w:type="dxa"/>
            <w:tcBorders>
              <w:top w:val="single" w:sz="4" w:space="0" w:color="auto"/>
              <w:left w:val="nil"/>
              <w:bottom w:val="nil"/>
              <w:right w:val="nil"/>
            </w:tcBorders>
            <w:shd w:val="clear" w:color="auto" w:fill="auto"/>
            <w:tcMar>
              <w:top w:w="15" w:type="dxa"/>
              <w:left w:w="108" w:type="dxa"/>
              <w:bottom w:w="0" w:type="dxa"/>
              <w:right w:w="108" w:type="dxa"/>
            </w:tcMar>
          </w:tcPr>
          <w:p w14:paraId="082F6028" w14:textId="28A941EB" w:rsidR="00F143E8" w:rsidRPr="00762A2E" w:rsidRDefault="00F143E8" w:rsidP="007F14F0">
            <w:pPr>
              <w:spacing w:after="0" w:line="240" w:lineRule="auto"/>
              <w:jc w:val="both"/>
              <w:rPr>
                <w:rFonts w:cs="Times New Roman"/>
                <w:color w:val="000000"/>
                <w:kern w:val="24"/>
                <w:sz w:val="20"/>
                <w:szCs w:val="20"/>
              </w:rPr>
            </w:pPr>
            <w:r w:rsidRPr="00762A2E">
              <w:rPr>
                <w:rFonts w:cs="Times New Roman"/>
                <w:color w:val="000000"/>
                <w:kern w:val="24"/>
                <w:sz w:val="20"/>
                <w:szCs w:val="20"/>
              </w:rPr>
              <w:t>CAACCCCTACTATGCCAACC</w:t>
            </w:r>
          </w:p>
        </w:tc>
        <w:tc>
          <w:tcPr>
            <w:tcW w:w="990" w:type="dxa"/>
            <w:tcBorders>
              <w:top w:val="single" w:sz="4" w:space="0" w:color="auto"/>
              <w:left w:val="nil"/>
              <w:bottom w:val="nil"/>
              <w:right w:val="nil"/>
            </w:tcBorders>
            <w:shd w:val="clear" w:color="auto" w:fill="auto"/>
            <w:tcMar>
              <w:top w:w="15" w:type="dxa"/>
              <w:left w:w="108" w:type="dxa"/>
              <w:bottom w:w="0" w:type="dxa"/>
              <w:right w:w="108" w:type="dxa"/>
            </w:tcMar>
          </w:tcPr>
          <w:p w14:paraId="1C88851F" w14:textId="0B22D74D" w:rsidR="00F143E8" w:rsidRPr="00762A2E" w:rsidRDefault="00F143E8" w:rsidP="007F14F0">
            <w:pPr>
              <w:spacing w:after="0" w:line="240" w:lineRule="auto"/>
              <w:jc w:val="both"/>
              <w:rPr>
                <w:rFonts w:cs="Times New Roman"/>
                <w:color w:val="000000"/>
                <w:kern w:val="24"/>
                <w:sz w:val="20"/>
                <w:szCs w:val="20"/>
              </w:rPr>
            </w:pPr>
            <w:r w:rsidRPr="00762A2E">
              <w:rPr>
                <w:rFonts w:cs="Times New Roman"/>
                <w:color w:val="000000"/>
                <w:kern w:val="24"/>
                <w:sz w:val="20"/>
                <w:szCs w:val="20"/>
              </w:rPr>
              <w:t>c.168</w:t>
            </w:r>
          </w:p>
        </w:tc>
        <w:tc>
          <w:tcPr>
            <w:tcW w:w="990" w:type="dxa"/>
            <w:tcBorders>
              <w:top w:val="single" w:sz="4" w:space="0" w:color="auto"/>
              <w:left w:val="nil"/>
              <w:right w:val="nil"/>
            </w:tcBorders>
            <w:shd w:val="clear" w:color="auto" w:fill="auto"/>
            <w:tcMar>
              <w:top w:w="15" w:type="dxa"/>
              <w:left w:w="108" w:type="dxa"/>
              <w:bottom w:w="0" w:type="dxa"/>
              <w:right w:w="108" w:type="dxa"/>
            </w:tcMar>
          </w:tcPr>
          <w:p w14:paraId="3C67BEA5" w14:textId="52AA6782" w:rsidR="00F143E8" w:rsidRPr="00762A2E" w:rsidRDefault="00F143E8" w:rsidP="007F14F0">
            <w:pPr>
              <w:spacing w:after="0" w:line="240" w:lineRule="auto"/>
              <w:jc w:val="both"/>
              <w:rPr>
                <w:rFonts w:cs="Times New Roman"/>
                <w:color w:val="000000"/>
                <w:kern w:val="24"/>
                <w:sz w:val="20"/>
                <w:szCs w:val="20"/>
              </w:rPr>
            </w:pPr>
            <w:r w:rsidRPr="00762A2E">
              <w:rPr>
                <w:rFonts w:cs="Times New Roman"/>
                <w:color w:val="000000"/>
                <w:kern w:val="24"/>
                <w:sz w:val="20"/>
                <w:szCs w:val="20"/>
              </w:rPr>
              <w:t>c.187</w:t>
            </w:r>
          </w:p>
        </w:tc>
      </w:tr>
      <w:tr w:rsidR="00F143E8" w:rsidRPr="00762A2E" w14:paraId="0474262E" w14:textId="77777777" w:rsidTr="0002245F">
        <w:tc>
          <w:tcPr>
            <w:tcW w:w="1542" w:type="dxa"/>
            <w:vMerge/>
            <w:tcBorders>
              <w:left w:val="nil"/>
              <w:bottom w:val="single" w:sz="4" w:space="0" w:color="auto"/>
              <w:right w:val="nil"/>
            </w:tcBorders>
            <w:shd w:val="clear" w:color="auto" w:fill="auto"/>
            <w:vAlign w:val="center"/>
          </w:tcPr>
          <w:p w14:paraId="37814A3F" w14:textId="77777777" w:rsidR="00F143E8" w:rsidRPr="00762A2E" w:rsidRDefault="00F143E8" w:rsidP="007F14F0">
            <w:pPr>
              <w:spacing w:after="0" w:line="240" w:lineRule="auto"/>
              <w:jc w:val="both"/>
              <w:rPr>
                <w:rFonts w:ascii="Arial" w:eastAsia="Times New Roman" w:hAnsi="Arial" w:cs="Arial"/>
                <w:sz w:val="20"/>
                <w:szCs w:val="20"/>
              </w:rPr>
            </w:pPr>
          </w:p>
        </w:tc>
        <w:tc>
          <w:tcPr>
            <w:tcW w:w="1428" w:type="dxa"/>
            <w:tcBorders>
              <w:top w:val="nil"/>
              <w:left w:val="nil"/>
              <w:bottom w:val="single" w:sz="4" w:space="0" w:color="auto"/>
              <w:right w:val="nil"/>
            </w:tcBorders>
            <w:shd w:val="clear" w:color="auto" w:fill="auto"/>
            <w:tcMar>
              <w:top w:w="15" w:type="dxa"/>
              <w:left w:w="108" w:type="dxa"/>
              <w:bottom w:w="0" w:type="dxa"/>
              <w:right w:w="108" w:type="dxa"/>
            </w:tcMar>
          </w:tcPr>
          <w:p w14:paraId="760A3411" w14:textId="3C648A78" w:rsidR="00F143E8" w:rsidRPr="00762A2E" w:rsidRDefault="00F143E8" w:rsidP="007F14F0">
            <w:pPr>
              <w:spacing w:after="0" w:line="240" w:lineRule="auto"/>
              <w:jc w:val="both"/>
              <w:rPr>
                <w:rFonts w:cs="Times New Roman"/>
                <w:color w:val="000000"/>
                <w:kern w:val="24"/>
                <w:sz w:val="20"/>
                <w:szCs w:val="20"/>
              </w:rPr>
            </w:pPr>
            <w:r w:rsidRPr="00762A2E">
              <w:rPr>
                <w:rFonts w:cs="Times New Roman"/>
                <w:color w:val="000000"/>
                <w:kern w:val="24"/>
                <w:sz w:val="20"/>
                <w:szCs w:val="20"/>
              </w:rPr>
              <w:t>R7</w:t>
            </w:r>
          </w:p>
        </w:tc>
        <w:tc>
          <w:tcPr>
            <w:tcW w:w="3060" w:type="dxa"/>
            <w:tcBorders>
              <w:top w:val="nil"/>
              <w:left w:val="nil"/>
              <w:bottom w:val="single" w:sz="4" w:space="0" w:color="auto"/>
              <w:right w:val="nil"/>
            </w:tcBorders>
            <w:shd w:val="clear" w:color="auto" w:fill="auto"/>
            <w:tcMar>
              <w:top w:w="15" w:type="dxa"/>
              <w:left w:w="108" w:type="dxa"/>
              <w:bottom w:w="0" w:type="dxa"/>
              <w:right w:w="108" w:type="dxa"/>
            </w:tcMar>
          </w:tcPr>
          <w:p w14:paraId="007C6093" w14:textId="0878535D" w:rsidR="00F143E8" w:rsidRPr="00762A2E" w:rsidRDefault="00F143E8" w:rsidP="007F14F0">
            <w:pPr>
              <w:spacing w:after="0" w:line="240" w:lineRule="auto"/>
              <w:jc w:val="both"/>
              <w:rPr>
                <w:rFonts w:cs="Times New Roman"/>
                <w:color w:val="000000"/>
                <w:kern w:val="24"/>
                <w:sz w:val="20"/>
                <w:szCs w:val="20"/>
              </w:rPr>
            </w:pPr>
            <w:r w:rsidRPr="00762A2E">
              <w:rPr>
                <w:rFonts w:cs="Times New Roman"/>
                <w:color w:val="000000"/>
                <w:kern w:val="24"/>
                <w:sz w:val="20"/>
                <w:szCs w:val="20"/>
              </w:rPr>
              <w:t>GTCGTCTGACAATTTGCACAAC</w:t>
            </w:r>
          </w:p>
        </w:tc>
        <w:tc>
          <w:tcPr>
            <w:tcW w:w="990" w:type="dxa"/>
            <w:tcBorders>
              <w:top w:val="nil"/>
              <w:left w:val="nil"/>
              <w:bottom w:val="single" w:sz="4" w:space="0" w:color="auto"/>
              <w:right w:val="nil"/>
            </w:tcBorders>
            <w:shd w:val="clear" w:color="auto" w:fill="auto"/>
            <w:tcMar>
              <w:top w:w="15" w:type="dxa"/>
              <w:left w:w="108" w:type="dxa"/>
              <w:bottom w:w="0" w:type="dxa"/>
              <w:right w:w="108" w:type="dxa"/>
            </w:tcMar>
          </w:tcPr>
          <w:p w14:paraId="3E918633" w14:textId="6E51CB74" w:rsidR="00F143E8" w:rsidRPr="00762A2E" w:rsidRDefault="00F143E8" w:rsidP="007F14F0">
            <w:pPr>
              <w:spacing w:after="0" w:line="240" w:lineRule="auto"/>
              <w:jc w:val="both"/>
              <w:rPr>
                <w:rFonts w:cs="Times New Roman"/>
                <w:color w:val="000000"/>
                <w:kern w:val="24"/>
                <w:sz w:val="20"/>
                <w:szCs w:val="20"/>
              </w:rPr>
            </w:pPr>
            <w:r w:rsidRPr="00762A2E">
              <w:rPr>
                <w:rFonts w:cs="Times New Roman"/>
                <w:color w:val="000000"/>
                <w:kern w:val="24"/>
                <w:sz w:val="20"/>
                <w:szCs w:val="20"/>
              </w:rPr>
              <w:t>c.1064</w:t>
            </w:r>
          </w:p>
        </w:tc>
        <w:tc>
          <w:tcPr>
            <w:tcW w:w="990" w:type="dxa"/>
            <w:tcBorders>
              <w:top w:val="nil"/>
              <w:left w:val="nil"/>
              <w:bottom w:val="single" w:sz="4" w:space="0" w:color="auto"/>
              <w:right w:val="nil"/>
            </w:tcBorders>
            <w:shd w:val="clear" w:color="auto" w:fill="auto"/>
            <w:tcMar>
              <w:top w:w="15" w:type="dxa"/>
              <w:left w:w="108" w:type="dxa"/>
              <w:bottom w:w="0" w:type="dxa"/>
              <w:right w:w="108" w:type="dxa"/>
            </w:tcMar>
          </w:tcPr>
          <w:p w14:paraId="6FD61F1A" w14:textId="52F70A30" w:rsidR="00F143E8" w:rsidRPr="00762A2E" w:rsidRDefault="00F143E8" w:rsidP="007F14F0">
            <w:pPr>
              <w:spacing w:after="0" w:line="240" w:lineRule="auto"/>
              <w:rPr>
                <w:rFonts w:cs="Times New Roman"/>
                <w:color w:val="000000"/>
                <w:kern w:val="24"/>
                <w:sz w:val="20"/>
                <w:szCs w:val="20"/>
              </w:rPr>
            </w:pPr>
            <w:r w:rsidRPr="00762A2E">
              <w:rPr>
                <w:rFonts w:cs="Times New Roman"/>
                <w:color w:val="000000"/>
                <w:kern w:val="24"/>
                <w:sz w:val="20"/>
                <w:szCs w:val="20"/>
              </w:rPr>
              <w:t>c.1043</w:t>
            </w:r>
          </w:p>
        </w:tc>
      </w:tr>
    </w:tbl>
    <w:p w14:paraId="002B483F" w14:textId="77777777" w:rsidR="000125A4" w:rsidRPr="00762A2E" w:rsidRDefault="000125A4" w:rsidP="000125A4">
      <w:pPr>
        <w:spacing w:line="240" w:lineRule="auto"/>
        <w:rPr>
          <w:rFonts w:ascii="Calibri" w:hAnsi="Calibri"/>
          <w:b/>
          <w:sz w:val="24"/>
          <w:szCs w:val="24"/>
        </w:rPr>
      </w:pPr>
    </w:p>
    <w:p w14:paraId="177F4971" w14:textId="77777777" w:rsidR="000D4958" w:rsidRPr="00762A2E" w:rsidRDefault="000D4958" w:rsidP="001B6774">
      <w:pPr>
        <w:spacing w:line="240" w:lineRule="auto"/>
        <w:jc w:val="both"/>
        <w:rPr>
          <w:rFonts w:ascii="Calibri" w:hAnsi="Calibri"/>
          <w:b/>
          <w:sz w:val="24"/>
          <w:szCs w:val="24"/>
        </w:rPr>
      </w:pPr>
    </w:p>
    <w:p w14:paraId="09314281" w14:textId="77777777" w:rsidR="00686F61" w:rsidRPr="00762A2E" w:rsidRDefault="00686F61" w:rsidP="00686F61">
      <w:pPr>
        <w:rPr>
          <w:rFonts w:ascii="Calibri" w:hAnsi="Calibri"/>
          <w:b/>
          <w:sz w:val="24"/>
          <w:szCs w:val="24"/>
        </w:rPr>
      </w:pPr>
    </w:p>
    <w:p w14:paraId="41D11786" w14:textId="77777777" w:rsidR="00686F61" w:rsidRPr="00762A2E" w:rsidRDefault="00686F61" w:rsidP="00686F61">
      <w:pPr>
        <w:rPr>
          <w:rFonts w:ascii="Calibri" w:hAnsi="Calibri"/>
          <w:b/>
          <w:sz w:val="24"/>
          <w:szCs w:val="24"/>
        </w:rPr>
      </w:pPr>
    </w:p>
    <w:p w14:paraId="0D8058B7" w14:textId="77777777" w:rsidR="00B62A89" w:rsidRPr="00762A2E" w:rsidRDefault="00B62A89" w:rsidP="00686F61">
      <w:pPr>
        <w:rPr>
          <w:rFonts w:ascii="Calibri" w:hAnsi="Calibri"/>
          <w:b/>
          <w:sz w:val="24"/>
          <w:szCs w:val="24"/>
        </w:rPr>
      </w:pPr>
    </w:p>
    <w:p w14:paraId="0FD812CA" w14:textId="77777777" w:rsidR="00B62A89" w:rsidRPr="00762A2E" w:rsidRDefault="00686F61" w:rsidP="00686F61">
      <w:pPr>
        <w:rPr>
          <w:rFonts w:ascii="Calibri" w:hAnsi="Calibri"/>
          <w:b/>
          <w:sz w:val="24"/>
          <w:szCs w:val="24"/>
        </w:rPr>
      </w:pPr>
      <w:r w:rsidRPr="00762A2E">
        <w:rPr>
          <w:rFonts w:ascii="Calibri" w:hAnsi="Calibri"/>
          <w:b/>
          <w:sz w:val="24"/>
          <w:szCs w:val="24"/>
        </w:rPr>
        <w:br/>
      </w:r>
    </w:p>
    <w:p w14:paraId="6F558C99" w14:textId="77777777" w:rsidR="007F6D1E" w:rsidRPr="00762A2E" w:rsidRDefault="007F6D1E" w:rsidP="001B6774">
      <w:pPr>
        <w:spacing w:line="240" w:lineRule="auto"/>
        <w:rPr>
          <w:rFonts w:ascii="Calibri" w:hAnsi="Calibri"/>
          <w:b/>
          <w:sz w:val="24"/>
          <w:szCs w:val="24"/>
        </w:rPr>
      </w:pPr>
    </w:p>
    <w:p w14:paraId="3FFFB2C8" w14:textId="77777777" w:rsidR="0091715A" w:rsidRPr="00762A2E" w:rsidRDefault="0091715A">
      <w:pPr>
        <w:rPr>
          <w:rFonts w:ascii="Calibri" w:hAnsi="Calibri"/>
          <w:b/>
          <w:sz w:val="24"/>
          <w:szCs w:val="24"/>
        </w:rPr>
      </w:pPr>
      <w:r w:rsidRPr="00762A2E">
        <w:rPr>
          <w:rFonts w:ascii="Calibri" w:hAnsi="Calibri"/>
          <w:b/>
          <w:sz w:val="24"/>
          <w:szCs w:val="24"/>
        </w:rPr>
        <w:br w:type="page"/>
      </w:r>
    </w:p>
    <w:p w14:paraId="4F7A7D65" w14:textId="77777777" w:rsidR="00986C7A" w:rsidRPr="00762A2E" w:rsidRDefault="00986C7A" w:rsidP="00986C7A">
      <w:pPr>
        <w:rPr>
          <w:rFonts w:ascii="Calibri" w:hAnsi="Calibri"/>
          <w:b/>
          <w:sz w:val="24"/>
          <w:szCs w:val="24"/>
        </w:rPr>
        <w:sectPr w:rsidR="00986C7A" w:rsidRPr="00762A2E" w:rsidSect="00686F61">
          <w:pgSz w:w="12240" w:h="15840"/>
          <w:pgMar w:top="1440" w:right="1440" w:bottom="1440" w:left="1440" w:header="720" w:footer="720" w:gutter="0"/>
          <w:cols w:space="720"/>
          <w:docGrid w:linePitch="360"/>
        </w:sectPr>
      </w:pPr>
    </w:p>
    <w:p w14:paraId="29296442" w14:textId="77777777" w:rsidR="001B6774" w:rsidRPr="00762A2E" w:rsidRDefault="005A7B50" w:rsidP="001A4E7C">
      <w:pPr>
        <w:jc w:val="both"/>
        <w:rPr>
          <w:rFonts w:ascii="Calibri" w:hAnsi="Calibri"/>
        </w:rPr>
      </w:pPr>
      <w:r w:rsidRPr="00762A2E">
        <w:rPr>
          <w:rFonts w:ascii="Calibri" w:hAnsi="Calibri"/>
          <w:b/>
        </w:rPr>
        <w:lastRenderedPageBreak/>
        <w:t>REFERENCES</w:t>
      </w:r>
    </w:p>
    <w:p w14:paraId="33F80647" w14:textId="77777777" w:rsidR="00677755" w:rsidRPr="00762A2E" w:rsidRDefault="00693C0C" w:rsidP="00D84EFE">
      <w:pPr>
        <w:pStyle w:val="Listenabsatz"/>
        <w:numPr>
          <w:ilvl w:val="0"/>
          <w:numId w:val="5"/>
        </w:numPr>
        <w:spacing w:line="240" w:lineRule="auto"/>
        <w:jc w:val="both"/>
        <w:rPr>
          <w:rFonts w:ascii="Calibri" w:hAnsi="Calibri"/>
          <w:sz w:val="20"/>
          <w:szCs w:val="20"/>
        </w:rPr>
      </w:pPr>
      <w:r w:rsidRPr="00762A2E">
        <w:rPr>
          <w:sz w:val="20"/>
          <w:szCs w:val="20"/>
          <w:lang w:val="de-DE"/>
        </w:rPr>
        <w:t xml:space="preserve">Wehr C, Grotius K, </w:t>
      </w:r>
      <w:proofErr w:type="spellStart"/>
      <w:r w:rsidRPr="00762A2E">
        <w:rPr>
          <w:sz w:val="20"/>
          <w:szCs w:val="20"/>
          <w:lang w:val="de-DE"/>
        </w:rPr>
        <w:t>Casadei</w:t>
      </w:r>
      <w:proofErr w:type="spellEnd"/>
      <w:r w:rsidRPr="00762A2E">
        <w:rPr>
          <w:sz w:val="20"/>
          <w:szCs w:val="20"/>
          <w:lang w:val="de-DE"/>
        </w:rPr>
        <w:t xml:space="preserve"> S, Bleckmann D, Bode SFN, Frye BC, et al. </w:t>
      </w:r>
      <w:r w:rsidRPr="00762A2E">
        <w:rPr>
          <w:sz w:val="20"/>
          <w:szCs w:val="20"/>
        </w:rPr>
        <w:t xml:space="preserve">A novel disease-causing synonymous exonic mutation in GATA2 affecting RNA splicing. </w:t>
      </w:r>
      <w:r w:rsidRPr="00762A2E">
        <w:rPr>
          <w:i/>
          <w:sz w:val="20"/>
          <w:szCs w:val="20"/>
        </w:rPr>
        <w:t>Blood.</w:t>
      </w:r>
      <w:r w:rsidRPr="00762A2E">
        <w:rPr>
          <w:sz w:val="20"/>
          <w:szCs w:val="20"/>
        </w:rPr>
        <w:t xml:space="preserve"> 2018;132(11):1211-5.</w:t>
      </w:r>
    </w:p>
    <w:p w14:paraId="4D15A483" w14:textId="77777777" w:rsidR="00693C0C" w:rsidRPr="00762A2E" w:rsidRDefault="00693C0C" w:rsidP="00D84EFE">
      <w:pPr>
        <w:pStyle w:val="Listenabsatz"/>
        <w:spacing w:line="240" w:lineRule="auto"/>
        <w:jc w:val="both"/>
        <w:rPr>
          <w:rFonts w:ascii="Calibri" w:hAnsi="Calibri"/>
          <w:sz w:val="20"/>
          <w:szCs w:val="20"/>
        </w:rPr>
      </w:pPr>
    </w:p>
    <w:p w14:paraId="309BE7A0" w14:textId="2FF1A0C0" w:rsidR="00290298" w:rsidRPr="00762A2E" w:rsidRDefault="00290298" w:rsidP="00D84EFE">
      <w:pPr>
        <w:pStyle w:val="Listenabsatz"/>
        <w:numPr>
          <w:ilvl w:val="0"/>
          <w:numId w:val="5"/>
        </w:numPr>
        <w:spacing w:line="240" w:lineRule="auto"/>
        <w:jc w:val="both"/>
        <w:rPr>
          <w:rFonts w:ascii="Calibri" w:hAnsi="Calibri"/>
          <w:color w:val="000000" w:themeColor="text1"/>
          <w:sz w:val="18"/>
          <w:szCs w:val="20"/>
        </w:rPr>
      </w:pPr>
      <w:r w:rsidRPr="00762A2E">
        <w:rPr>
          <w:color w:val="000000" w:themeColor="text1"/>
          <w:sz w:val="20"/>
        </w:rPr>
        <w:t xml:space="preserve">Fox TA, </w:t>
      </w:r>
      <w:proofErr w:type="spellStart"/>
      <w:r w:rsidRPr="00762A2E">
        <w:rPr>
          <w:color w:val="000000" w:themeColor="text1"/>
          <w:sz w:val="20"/>
        </w:rPr>
        <w:t>Chakraverty</w:t>
      </w:r>
      <w:proofErr w:type="spellEnd"/>
      <w:r w:rsidRPr="00762A2E">
        <w:rPr>
          <w:color w:val="000000" w:themeColor="text1"/>
          <w:sz w:val="20"/>
        </w:rPr>
        <w:t xml:space="preserve"> R, Burns S et al. Successful outcome following allogeneic hematopoietic stem cell transplantation in adults with primary immunodeficiency. </w:t>
      </w:r>
      <w:r w:rsidRPr="00762A2E">
        <w:rPr>
          <w:i/>
          <w:iCs/>
          <w:color w:val="000000" w:themeColor="text1"/>
          <w:sz w:val="20"/>
        </w:rPr>
        <w:t>Blood</w:t>
      </w:r>
      <w:r w:rsidRPr="00762A2E">
        <w:rPr>
          <w:color w:val="000000" w:themeColor="text1"/>
          <w:sz w:val="20"/>
        </w:rPr>
        <w:t>. 2018;131 (8):917-931.</w:t>
      </w:r>
    </w:p>
    <w:p w14:paraId="6811C509" w14:textId="77777777" w:rsidR="00290298" w:rsidRPr="00762A2E" w:rsidRDefault="00290298" w:rsidP="00290298">
      <w:pPr>
        <w:pStyle w:val="Listenabsatz"/>
        <w:rPr>
          <w:rFonts w:ascii="Calibri" w:hAnsi="Calibri"/>
          <w:sz w:val="20"/>
          <w:szCs w:val="20"/>
        </w:rPr>
      </w:pPr>
    </w:p>
    <w:p w14:paraId="525523CF" w14:textId="4B495238" w:rsidR="001A4E7C" w:rsidRPr="00762A2E" w:rsidRDefault="001A4E7C" w:rsidP="00D84EFE">
      <w:pPr>
        <w:pStyle w:val="Listenabsatz"/>
        <w:numPr>
          <w:ilvl w:val="0"/>
          <w:numId w:val="5"/>
        </w:numPr>
        <w:spacing w:line="240" w:lineRule="auto"/>
        <w:jc w:val="both"/>
        <w:rPr>
          <w:rFonts w:ascii="Calibri" w:hAnsi="Calibri"/>
          <w:sz w:val="20"/>
          <w:szCs w:val="20"/>
        </w:rPr>
      </w:pPr>
      <w:r w:rsidRPr="00762A2E">
        <w:rPr>
          <w:rFonts w:ascii="Calibri" w:hAnsi="Calibri"/>
          <w:sz w:val="20"/>
          <w:szCs w:val="20"/>
        </w:rPr>
        <w:t xml:space="preserve">Wlodarski MW, Hirabayashi S, Pastor V, </w:t>
      </w:r>
      <w:proofErr w:type="spellStart"/>
      <w:r w:rsidRPr="00762A2E">
        <w:rPr>
          <w:rFonts w:ascii="Calibri" w:hAnsi="Calibri"/>
          <w:sz w:val="20"/>
          <w:szCs w:val="20"/>
        </w:rPr>
        <w:t>St</w:t>
      </w:r>
      <w:r w:rsidR="006A6B6D" w:rsidRPr="00762A2E">
        <w:rPr>
          <w:rFonts w:ascii="Calibri" w:hAnsi="Calibri"/>
          <w:sz w:val="20"/>
          <w:szCs w:val="20"/>
        </w:rPr>
        <w:t>ary</w:t>
      </w:r>
      <w:proofErr w:type="spellEnd"/>
      <w:r w:rsidR="006A6B6D" w:rsidRPr="00762A2E">
        <w:rPr>
          <w:rFonts w:ascii="Calibri" w:hAnsi="Calibri"/>
          <w:sz w:val="20"/>
          <w:szCs w:val="20"/>
        </w:rPr>
        <w:t xml:space="preserve"> J, Hasle H, Masetti R, </w:t>
      </w:r>
      <w:r w:rsidR="006A6B6D" w:rsidRPr="00762A2E">
        <w:rPr>
          <w:rFonts w:ascii="Calibri" w:hAnsi="Calibri"/>
          <w:i/>
          <w:sz w:val="20"/>
          <w:szCs w:val="20"/>
        </w:rPr>
        <w:t>et al</w:t>
      </w:r>
      <w:r w:rsidRPr="00762A2E">
        <w:rPr>
          <w:rFonts w:ascii="Calibri" w:hAnsi="Calibri"/>
          <w:sz w:val="20"/>
          <w:szCs w:val="20"/>
        </w:rPr>
        <w:t xml:space="preserve">. Prevalence, clinical characteristics, and prognosis of GATA2-related myelodysplastic syndromes in children and adolescents. </w:t>
      </w:r>
      <w:r w:rsidRPr="00762A2E">
        <w:rPr>
          <w:rFonts w:ascii="Calibri" w:hAnsi="Calibri"/>
          <w:i/>
          <w:sz w:val="20"/>
          <w:szCs w:val="20"/>
        </w:rPr>
        <w:t>Blood</w:t>
      </w:r>
      <w:r w:rsidR="00AE1622" w:rsidRPr="00762A2E">
        <w:rPr>
          <w:rFonts w:ascii="Calibri" w:hAnsi="Calibri"/>
          <w:i/>
          <w:sz w:val="20"/>
          <w:szCs w:val="20"/>
        </w:rPr>
        <w:t>.</w:t>
      </w:r>
      <w:r w:rsidR="00AE1622" w:rsidRPr="00762A2E">
        <w:rPr>
          <w:rFonts w:ascii="Calibri" w:hAnsi="Calibri"/>
          <w:sz w:val="20"/>
          <w:szCs w:val="20"/>
        </w:rPr>
        <w:t xml:space="preserve"> 2016;</w:t>
      </w:r>
      <w:r w:rsidRPr="00762A2E">
        <w:rPr>
          <w:rFonts w:ascii="Calibri" w:hAnsi="Calibri"/>
          <w:sz w:val="20"/>
          <w:szCs w:val="20"/>
        </w:rPr>
        <w:t>127(11):1387-1397.</w:t>
      </w:r>
    </w:p>
    <w:p w14:paraId="274B9D75" w14:textId="77777777" w:rsidR="003006A4" w:rsidRPr="00762A2E" w:rsidRDefault="003006A4" w:rsidP="00D84EFE">
      <w:pPr>
        <w:pStyle w:val="Listenabsatz"/>
        <w:spacing w:line="240" w:lineRule="auto"/>
        <w:jc w:val="both"/>
        <w:rPr>
          <w:rFonts w:ascii="Calibri" w:hAnsi="Calibri"/>
          <w:sz w:val="20"/>
          <w:szCs w:val="20"/>
        </w:rPr>
      </w:pPr>
    </w:p>
    <w:p w14:paraId="1AE46281" w14:textId="1D01EC1C" w:rsidR="00B907E9" w:rsidRPr="00762A2E" w:rsidRDefault="00B907E9" w:rsidP="00D84EFE">
      <w:pPr>
        <w:pStyle w:val="Listenabsatz"/>
        <w:numPr>
          <w:ilvl w:val="0"/>
          <w:numId w:val="5"/>
        </w:numPr>
        <w:spacing w:line="240" w:lineRule="auto"/>
        <w:jc w:val="both"/>
        <w:rPr>
          <w:rFonts w:ascii="Calibri" w:hAnsi="Calibri"/>
          <w:sz w:val="20"/>
          <w:szCs w:val="20"/>
        </w:rPr>
      </w:pPr>
      <w:r w:rsidRPr="00762A2E">
        <w:rPr>
          <w:rFonts w:ascii="Calibri" w:hAnsi="Calibri"/>
          <w:sz w:val="20"/>
          <w:szCs w:val="20"/>
        </w:rPr>
        <w:t xml:space="preserve">Wang K, Li M, </w:t>
      </w:r>
      <w:proofErr w:type="spellStart"/>
      <w:r w:rsidRPr="00762A2E">
        <w:rPr>
          <w:rFonts w:ascii="Calibri" w:hAnsi="Calibri"/>
          <w:sz w:val="20"/>
          <w:szCs w:val="20"/>
        </w:rPr>
        <w:t>Hakonarson</w:t>
      </w:r>
      <w:proofErr w:type="spellEnd"/>
      <w:r w:rsidRPr="00762A2E">
        <w:rPr>
          <w:rFonts w:ascii="Calibri" w:hAnsi="Calibri"/>
          <w:sz w:val="20"/>
          <w:szCs w:val="20"/>
        </w:rPr>
        <w:t xml:space="preserve"> H. ANNOVAR: functional annotation of genetic variants from high-throughput sequencing data. </w:t>
      </w:r>
      <w:r w:rsidRPr="00762A2E">
        <w:rPr>
          <w:rFonts w:ascii="Calibri" w:hAnsi="Calibri"/>
          <w:i/>
          <w:sz w:val="20"/>
          <w:szCs w:val="20"/>
        </w:rPr>
        <w:t>Nucleic Acids Res</w:t>
      </w:r>
      <w:r w:rsidR="00AE1622" w:rsidRPr="00762A2E">
        <w:rPr>
          <w:rFonts w:ascii="Calibri" w:hAnsi="Calibri"/>
          <w:sz w:val="20"/>
          <w:szCs w:val="20"/>
        </w:rPr>
        <w:t>. 2010</w:t>
      </w:r>
      <w:proofErr w:type="gramStart"/>
      <w:r w:rsidRPr="00762A2E">
        <w:rPr>
          <w:rFonts w:ascii="Calibri" w:hAnsi="Calibri"/>
          <w:sz w:val="20"/>
          <w:szCs w:val="20"/>
        </w:rPr>
        <w:t>;38</w:t>
      </w:r>
      <w:proofErr w:type="gramEnd"/>
      <w:r w:rsidRPr="00762A2E">
        <w:rPr>
          <w:rFonts w:ascii="Calibri" w:hAnsi="Calibri"/>
          <w:sz w:val="20"/>
          <w:szCs w:val="20"/>
        </w:rPr>
        <w:t>(16):e164.</w:t>
      </w:r>
    </w:p>
    <w:p w14:paraId="46A3AFE7" w14:textId="77777777" w:rsidR="00B907E9" w:rsidRPr="00762A2E" w:rsidRDefault="00B907E9" w:rsidP="00D84EFE">
      <w:pPr>
        <w:pStyle w:val="Listenabsatz"/>
        <w:spacing w:line="240" w:lineRule="auto"/>
        <w:rPr>
          <w:rFonts w:ascii="Calibri" w:hAnsi="Calibri"/>
          <w:sz w:val="20"/>
          <w:szCs w:val="20"/>
        </w:rPr>
      </w:pPr>
    </w:p>
    <w:p w14:paraId="109FFDDF" w14:textId="1A6A6D8D" w:rsidR="001A4E7C" w:rsidRPr="00762A2E" w:rsidRDefault="001A4E7C" w:rsidP="00D84EFE">
      <w:pPr>
        <w:pStyle w:val="Listenabsatz"/>
        <w:numPr>
          <w:ilvl w:val="0"/>
          <w:numId w:val="5"/>
        </w:numPr>
        <w:spacing w:line="240" w:lineRule="auto"/>
        <w:jc w:val="both"/>
        <w:rPr>
          <w:rFonts w:ascii="Calibri" w:hAnsi="Calibri"/>
          <w:sz w:val="20"/>
          <w:szCs w:val="20"/>
        </w:rPr>
      </w:pPr>
      <w:r w:rsidRPr="00762A2E">
        <w:rPr>
          <w:rFonts w:ascii="Calibri" w:hAnsi="Calibri"/>
          <w:sz w:val="20"/>
          <w:szCs w:val="20"/>
        </w:rPr>
        <w:t xml:space="preserve">Flex E, </w:t>
      </w:r>
      <w:proofErr w:type="spellStart"/>
      <w:r w:rsidRPr="00762A2E">
        <w:rPr>
          <w:rFonts w:ascii="Calibri" w:hAnsi="Calibri"/>
          <w:sz w:val="20"/>
          <w:szCs w:val="20"/>
        </w:rPr>
        <w:t>Niceta</w:t>
      </w:r>
      <w:proofErr w:type="spellEnd"/>
      <w:r w:rsidRPr="00762A2E">
        <w:rPr>
          <w:rFonts w:ascii="Calibri" w:hAnsi="Calibri"/>
          <w:sz w:val="20"/>
          <w:szCs w:val="20"/>
        </w:rPr>
        <w:t xml:space="preserve"> M, </w:t>
      </w:r>
      <w:proofErr w:type="spellStart"/>
      <w:r w:rsidRPr="00762A2E">
        <w:rPr>
          <w:rFonts w:ascii="Calibri" w:hAnsi="Calibri"/>
          <w:sz w:val="20"/>
          <w:szCs w:val="20"/>
        </w:rPr>
        <w:t>Cecchetti</w:t>
      </w:r>
      <w:proofErr w:type="spellEnd"/>
      <w:r w:rsidRPr="00762A2E">
        <w:rPr>
          <w:rFonts w:ascii="Calibri" w:hAnsi="Calibri"/>
          <w:sz w:val="20"/>
          <w:szCs w:val="20"/>
        </w:rPr>
        <w:t xml:space="preserve"> S, </w:t>
      </w:r>
      <w:proofErr w:type="spellStart"/>
      <w:r w:rsidRPr="00762A2E">
        <w:rPr>
          <w:rFonts w:ascii="Calibri" w:hAnsi="Calibri"/>
          <w:sz w:val="20"/>
          <w:szCs w:val="20"/>
        </w:rPr>
        <w:t>Thiffault</w:t>
      </w:r>
      <w:proofErr w:type="spellEnd"/>
      <w:r w:rsidRPr="00762A2E">
        <w:rPr>
          <w:rFonts w:ascii="Calibri" w:hAnsi="Calibri"/>
          <w:sz w:val="20"/>
          <w:szCs w:val="20"/>
        </w:rPr>
        <w:t xml:space="preserve"> I, Au MG, Capuano A, </w:t>
      </w:r>
      <w:r w:rsidRPr="00762A2E">
        <w:rPr>
          <w:rFonts w:ascii="Calibri" w:hAnsi="Calibri"/>
          <w:i/>
          <w:sz w:val="20"/>
          <w:szCs w:val="20"/>
        </w:rPr>
        <w:t>et al</w:t>
      </w:r>
      <w:r w:rsidRPr="00762A2E">
        <w:rPr>
          <w:rFonts w:ascii="Calibri" w:hAnsi="Calibri"/>
          <w:sz w:val="20"/>
          <w:szCs w:val="20"/>
        </w:rPr>
        <w:t xml:space="preserve">. Biallelic Mutations in TBCD, Encoding the Tubulin Folding Cofactor D, Perturb microtubule dynamics and cause early-onset encephalopathy. </w:t>
      </w:r>
      <w:r w:rsidRPr="00762A2E">
        <w:rPr>
          <w:rFonts w:ascii="Calibri" w:hAnsi="Calibri"/>
          <w:i/>
          <w:sz w:val="20"/>
          <w:szCs w:val="20"/>
        </w:rPr>
        <w:t>Am J Hum Genet</w:t>
      </w:r>
      <w:r w:rsidR="00AE1622" w:rsidRPr="00762A2E">
        <w:rPr>
          <w:rFonts w:ascii="Calibri" w:hAnsi="Calibri"/>
          <w:i/>
          <w:sz w:val="20"/>
          <w:szCs w:val="20"/>
        </w:rPr>
        <w:t>.</w:t>
      </w:r>
      <w:r w:rsidRPr="00762A2E">
        <w:rPr>
          <w:rFonts w:ascii="Calibri" w:hAnsi="Calibri"/>
          <w:sz w:val="20"/>
          <w:szCs w:val="20"/>
        </w:rPr>
        <w:t xml:space="preserve"> 2016</w:t>
      </w:r>
      <w:r w:rsidR="00031F2F" w:rsidRPr="00762A2E">
        <w:rPr>
          <w:rFonts w:ascii="Calibri" w:hAnsi="Calibri"/>
          <w:sz w:val="20"/>
          <w:szCs w:val="20"/>
        </w:rPr>
        <w:t>;</w:t>
      </w:r>
      <w:r w:rsidRPr="00762A2E">
        <w:rPr>
          <w:rFonts w:ascii="Calibri" w:hAnsi="Calibri"/>
          <w:sz w:val="20"/>
          <w:szCs w:val="20"/>
        </w:rPr>
        <w:t>99(4):962-973.</w:t>
      </w:r>
    </w:p>
    <w:p w14:paraId="64DB1C64" w14:textId="77777777" w:rsidR="003006A4" w:rsidRPr="00762A2E" w:rsidRDefault="003006A4" w:rsidP="00D84EFE">
      <w:pPr>
        <w:pStyle w:val="Listenabsatz"/>
        <w:spacing w:line="240" w:lineRule="auto"/>
        <w:jc w:val="both"/>
        <w:rPr>
          <w:rFonts w:ascii="Calibri" w:hAnsi="Calibri"/>
          <w:sz w:val="20"/>
          <w:szCs w:val="20"/>
        </w:rPr>
      </w:pPr>
    </w:p>
    <w:p w14:paraId="44DD1400" w14:textId="3A89AC45" w:rsidR="001A4E7C" w:rsidRPr="00762A2E" w:rsidRDefault="001A4E7C" w:rsidP="00D84EFE">
      <w:pPr>
        <w:pStyle w:val="Listenabsatz"/>
        <w:numPr>
          <w:ilvl w:val="0"/>
          <w:numId w:val="5"/>
        </w:numPr>
        <w:spacing w:line="240" w:lineRule="auto"/>
        <w:jc w:val="both"/>
        <w:rPr>
          <w:rFonts w:ascii="Calibri" w:hAnsi="Calibri"/>
          <w:sz w:val="20"/>
          <w:szCs w:val="20"/>
        </w:rPr>
      </w:pPr>
      <w:proofErr w:type="spellStart"/>
      <w:r w:rsidRPr="00762A2E">
        <w:rPr>
          <w:rFonts w:ascii="Calibri" w:hAnsi="Calibri"/>
          <w:sz w:val="20"/>
          <w:szCs w:val="20"/>
        </w:rPr>
        <w:t>Kortüm</w:t>
      </w:r>
      <w:proofErr w:type="spellEnd"/>
      <w:r w:rsidRPr="00762A2E">
        <w:rPr>
          <w:rFonts w:ascii="Calibri" w:hAnsi="Calibri"/>
          <w:sz w:val="20"/>
          <w:szCs w:val="20"/>
        </w:rPr>
        <w:t xml:space="preserve"> F, Caputo V, Bauer CK, Stella L, </w:t>
      </w:r>
      <w:proofErr w:type="spellStart"/>
      <w:r w:rsidRPr="00762A2E">
        <w:rPr>
          <w:rFonts w:ascii="Calibri" w:hAnsi="Calibri"/>
          <w:sz w:val="20"/>
          <w:szCs w:val="20"/>
        </w:rPr>
        <w:t>Ciolfi</w:t>
      </w:r>
      <w:proofErr w:type="spellEnd"/>
      <w:r w:rsidRPr="00762A2E">
        <w:rPr>
          <w:rFonts w:ascii="Calibri" w:hAnsi="Calibri"/>
          <w:sz w:val="20"/>
          <w:szCs w:val="20"/>
        </w:rPr>
        <w:t xml:space="preserve"> A, Alawi M, </w:t>
      </w:r>
      <w:r w:rsidRPr="00762A2E">
        <w:rPr>
          <w:rFonts w:ascii="Calibri" w:hAnsi="Calibri"/>
          <w:i/>
          <w:sz w:val="20"/>
          <w:szCs w:val="20"/>
        </w:rPr>
        <w:t>et al</w:t>
      </w:r>
      <w:r w:rsidRPr="00762A2E">
        <w:rPr>
          <w:rFonts w:ascii="Calibri" w:hAnsi="Calibri"/>
          <w:sz w:val="20"/>
          <w:szCs w:val="20"/>
        </w:rPr>
        <w:t>. Mutations in KCNH1 and ATP6V1B2 cause Zimmermann-</w:t>
      </w:r>
      <w:proofErr w:type="spellStart"/>
      <w:r w:rsidRPr="00762A2E">
        <w:rPr>
          <w:rFonts w:ascii="Calibri" w:hAnsi="Calibri"/>
          <w:sz w:val="20"/>
          <w:szCs w:val="20"/>
        </w:rPr>
        <w:t>Laband</w:t>
      </w:r>
      <w:proofErr w:type="spellEnd"/>
      <w:r w:rsidRPr="00762A2E">
        <w:rPr>
          <w:rFonts w:ascii="Calibri" w:hAnsi="Calibri"/>
          <w:sz w:val="20"/>
          <w:szCs w:val="20"/>
        </w:rPr>
        <w:t xml:space="preserve"> syndrome. </w:t>
      </w:r>
      <w:r w:rsidRPr="00762A2E">
        <w:rPr>
          <w:rFonts w:ascii="Calibri" w:hAnsi="Calibri"/>
          <w:i/>
          <w:sz w:val="20"/>
          <w:szCs w:val="20"/>
        </w:rPr>
        <w:t>Nat Genet</w:t>
      </w:r>
      <w:r w:rsidR="00AE1622" w:rsidRPr="00762A2E">
        <w:rPr>
          <w:rFonts w:ascii="Calibri" w:hAnsi="Calibri"/>
          <w:i/>
          <w:sz w:val="20"/>
          <w:szCs w:val="20"/>
        </w:rPr>
        <w:t>.</w:t>
      </w:r>
      <w:r w:rsidRPr="00762A2E">
        <w:rPr>
          <w:rFonts w:ascii="Calibri" w:hAnsi="Calibri"/>
          <w:sz w:val="20"/>
          <w:szCs w:val="20"/>
        </w:rPr>
        <w:t xml:space="preserve"> 2015</w:t>
      </w:r>
      <w:r w:rsidR="00031F2F" w:rsidRPr="00762A2E">
        <w:rPr>
          <w:rFonts w:ascii="Calibri" w:hAnsi="Calibri"/>
          <w:sz w:val="20"/>
          <w:szCs w:val="20"/>
        </w:rPr>
        <w:t>;</w:t>
      </w:r>
      <w:r w:rsidRPr="00762A2E">
        <w:rPr>
          <w:rFonts w:ascii="Calibri" w:hAnsi="Calibri"/>
          <w:sz w:val="20"/>
          <w:szCs w:val="20"/>
        </w:rPr>
        <w:t>47(6):661-667.</w:t>
      </w:r>
    </w:p>
    <w:p w14:paraId="70551E83" w14:textId="77777777" w:rsidR="00F228B2" w:rsidRPr="00762A2E" w:rsidRDefault="00F228B2" w:rsidP="00D84EFE">
      <w:pPr>
        <w:pStyle w:val="Listenabsatz"/>
        <w:spacing w:line="240" w:lineRule="auto"/>
        <w:rPr>
          <w:rFonts w:ascii="Calibri" w:hAnsi="Calibri"/>
          <w:sz w:val="20"/>
          <w:szCs w:val="20"/>
        </w:rPr>
      </w:pPr>
    </w:p>
    <w:p w14:paraId="0C80719E" w14:textId="0900585F" w:rsidR="00F228B2" w:rsidRPr="00762A2E" w:rsidRDefault="00F228B2" w:rsidP="00D84EFE">
      <w:pPr>
        <w:pStyle w:val="Listenabsatz"/>
        <w:numPr>
          <w:ilvl w:val="0"/>
          <w:numId w:val="5"/>
        </w:numPr>
        <w:spacing w:line="240" w:lineRule="auto"/>
        <w:jc w:val="both"/>
        <w:rPr>
          <w:rFonts w:ascii="Calibri" w:hAnsi="Calibri"/>
          <w:sz w:val="20"/>
          <w:szCs w:val="20"/>
        </w:rPr>
      </w:pPr>
      <w:r w:rsidRPr="00762A2E">
        <w:rPr>
          <w:rFonts w:ascii="Calibri" w:hAnsi="Calibri"/>
          <w:sz w:val="20"/>
          <w:szCs w:val="20"/>
        </w:rPr>
        <w:t xml:space="preserve">Pastor VB, Sahoo SS, </w:t>
      </w:r>
      <w:proofErr w:type="spellStart"/>
      <w:r w:rsidRPr="00762A2E">
        <w:rPr>
          <w:rFonts w:ascii="Calibri" w:hAnsi="Calibri"/>
          <w:sz w:val="20"/>
          <w:szCs w:val="20"/>
        </w:rPr>
        <w:t>Boklan</w:t>
      </w:r>
      <w:proofErr w:type="spellEnd"/>
      <w:r w:rsidRPr="00762A2E">
        <w:rPr>
          <w:rFonts w:ascii="Calibri" w:hAnsi="Calibri"/>
          <w:sz w:val="20"/>
          <w:szCs w:val="20"/>
        </w:rPr>
        <w:t xml:space="preserve"> J, </w:t>
      </w:r>
      <w:proofErr w:type="spellStart"/>
      <w:r w:rsidRPr="00762A2E">
        <w:rPr>
          <w:rFonts w:ascii="Calibri" w:hAnsi="Calibri"/>
          <w:sz w:val="20"/>
          <w:szCs w:val="20"/>
        </w:rPr>
        <w:t>Schwabe</w:t>
      </w:r>
      <w:proofErr w:type="spellEnd"/>
      <w:r w:rsidRPr="00762A2E">
        <w:rPr>
          <w:rFonts w:ascii="Calibri" w:hAnsi="Calibri"/>
          <w:sz w:val="20"/>
          <w:szCs w:val="20"/>
        </w:rPr>
        <w:t xml:space="preserve"> GC, </w:t>
      </w:r>
      <w:proofErr w:type="spellStart"/>
      <w:r w:rsidRPr="00762A2E">
        <w:rPr>
          <w:rFonts w:ascii="Calibri" w:hAnsi="Calibri"/>
          <w:sz w:val="20"/>
          <w:szCs w:val="20"/>
        </w:rPr>
        <w:t>Saribeyoglu</w:t>
      </w:r>
      <w:proofErr w:type="spellEnd"/>
      <w:r w:rsidRPr="00762A2E">
        <w:rPr>
          <w:rFonts w:ascii="Calibri" w:hAnsi="Calibri"/>
          <w:sz w:val="20"/>
          <w:szCs w:val="20"/>
        </w:rPr>
        <w:t xml:space="preserve"> E, Strahm B, </w:t>
      </w:r>
      <w:r w:rsidRPr="00762A2E">
        <w:rPr>
          <w:rFonts w:ascii="Calibri" w:hAnsi="Calibri"/>
          <w:i/>
          <w:sz w:val="20"/>
          <w:szCs w:val="20"/>
        </w:rPr>
        <w:t>et al</w:t>
      </w:r>
      <w:r w:rsidRPr="00762A2E">
        <w:rPr>
          <w:rFonts w:ascii="Calibri" w:hAnsi="Calibri"/>
          <w:sz w:val="20"/>
          <w:szCs w:val="20"/>
        </w:rPr>
        <w:t xml:space="preserve">. Constitutional SAMD9L mutations cause familial myelodysplastic syndrome and transient monosomy 7. </w:t>
      </w:r>
      <w:proofErr w:type="spellStart"/>
      <w:r w:rsidRPr="00762A2E">
        <w:rPr>
          <w:rFonts w:ascii="Calibri" w:hAnsi="Calibri"/>
          <w:i/>
          <w:sz w:val="20"/>
          <w:szCs w:val="20"/>
        </w:rPr>
        <w:t>Haematologica</w:t>
      </w:r>
      <w:proofErr w:type="spellEnd"/>
      <w:r w:rsidR="00AE1622" w:rsidRPr="00762A2E">
        <w:rPr>
          <w:rFonts w:ascii="Calibri" w:hAnsi="Calibri"/>
          <w:i/>
          <w:sz w:val="20"/>
          <w:szCs w:val="20"/>
        </w:rPr>
        <w:t>.</w:t>
      </w:r>
      <w:r w:rsidRPr="00762A2E">
        <w:rPr>
          <w:rFonts w:ascii="Calibri" w:hAnsi="Calibri"/>
          <w:sz w:val="20"/>
          <w:szCs w:val="20"/>
        </w:rPr>
        <w:t xml:space="preserve"> 2018;103(3):427-437.</w:t>
      </w:r>
    </w:p>
    <w:p w14:paraId="36936EC6" w14:textId="77777777" w:rsidR="006A6B6D" w:rsidRPr="00762A2E" w:rsidRDefault="006A6B6D" w:rsidP="00D84EFE">
      <w:pPr>
        <w:pStyle w:val="Listenabsatz"/>
        <w:spacing w:line="240" w:lineRule="auto"/>
        <w:rPr>
          <w:rFonts w:ascii="Calibri" w:hAnsi="Calibri"/>
          <w:sz w:val="20"/>
          <w:szCs w:val="20"/>
        </w:rPr>
      </w:pPr>
    </w:p>
    <w:p w14:paraId="510D7A7F" w14:textId="2A4D71D2" w:rsidR="006A6B6D" w:rsidRPr="00762A2E" w:rsidRDefault="00031F2F" w:rsidP="00D84EFE">
      <w:pPr>
        <w:pStyle w:val="Listenabsatz"/>
        <w:numPr>
          <w:ilvl w:val="0"/>
          <w:numId w:val="5"/>
        </w:numPr>
        <w:spacing w:line="240" w:lineRule="auto"/>
        <w:jc w:val="both"/>
        <w:rPr>
          <w:rFonts w:ascii="Calibri" w:hAnsi="Calibri"/>
          <w:sz w:val="20"/>
          <w:szCs w:val="20"/>
        </w:rPr>
      </w:pPr>
      <w:r w:rsidRPr="00762A2E">
        <w:rPr>
          <w:rFonts w:ascii="Calibri" w:hAnsi="Calibri"/>
          <w:sz w:val="20"/>
          <w:szCs w:val="20"/>
          <w:lang w:val="fr-FR"/>
        </w:rPr>
        <w:t xml:space="preserve">Ma X, Liu Y, Liu Y, Alexandrov LB, Edmonson MN, Gawad C, </w:t>
      </w:r>
      <w:r w:rsidRPr="00762A2E">
        <w:rPr>
          <w:rFonts w:ascii="Calibri" w:hAnsi="Calibri"/>
          <w:i/>
          <w:sz w:val="20"/>
          <w:szCs w:val="20"/>
          <w:lang w:val="fr-FR"/>
        </w:rPr>
        <w:t>et al</w:t>
      </w:r>
      <w:r w:rsidRPr="00762A2E">
        <w:rPr>
          <w:rFonts w:ascii="Calibri" w:hAnsi="Calibri"/>
          <w:sz w:val="20"/>
          <w:szCs w:val="20"/>
          <w:lang w:val="fr-FR"/>
        </w:rPr>
        <w:t xml:space="preserve">. </w:t>
      </w:r>
      <w:r w:rsidRPr="00762A2E">
        <w:rPr>
          <w:rFonts w:ascii="Calibri" w:hAnsi="Calibri"/>
          <w:sz w:val="20"/>
          <w:szCs w:val="20"/>
        </w:rPr>
        <w:t xml:space="preserve">Pan-cancer genome and transcriptome analyses of 1,699 </w:t>
      </w:r>
      <w:proofErr w:type="spellStart"/>
      <w:r w:rsidRPr="00762A2E">
        <w:rPr>
          <w:rFonts w:ascii="Calibri" w:hAnsi="Calibri"/>
          <w:sz w:val="20"/>
          <w:szCs w:val="20"/>
        </w:rPr>
        <w:t>paediatric</w:t>
      </w:r>
      <w:proofErr w:type="spellEnd"/>
      <w:r w:rsidRPr="00762A2E">
        <w:rPr>
          <w:rFonts w:ascii="Calibri" w:hAnsi="Calibri"/>
          <w:sz w:val="20"/>
          <w:szCs w:val="20"/>
        </w:rPr>
        <w:t xml:space="preserve"> </w:t>
      </w:r>
      <w:proofErr w:type="spellStart"/>
      <w:r w:rsidRPr="00762A2E">
        <w:rPr>
          <w:rFonts w:ascii="Calibri" w:hAnsi="Calibri"/>
          <w:sz w:val="20"/>
          <w:szCs w:val="20"/>
        </w:rPr>
        <w:t>leukaemias</w:t>
      </w:r>
      <w:proofErr w:type="spellEnd"/>
      <w:r w:rsidRPr="00762A2E">
        <w:rPr>
          <w:rFonts w:ascii="Calibri" w:hAnsi="Calibri"/>
          <w:sz w:val="20"/>
          <w:szCs w:val="20"/>
        </w:rPr>
        <w:t xml:space="preserve"> and solid </w:t>
      </w:r>
      <w:proofErr w:type="spellStart"/>
      <w:r w:rsidRPr="00762A2E">
        <w:rPr>
          <w:rFonts w:ascii="Calibri" w:hAnsi="Calibri"/>
          <w:sz w:val="20"/>
          <w:szCs w:val="20"/>
        </w:rPr>
        <w:t>tumours</w:t>
      </w:r>
      <w:proofErr w:type="spellEnd"/>
      <w:r w:rsidRPr="00762A2E">
        <w:rPr>
          <w:rFonts w:ascii="Calibri" w:hAnsi="Calibri"/>
          <w:sz w:val="20"/>
          <w:szCs w:val="20"/>
        </w:rPr>
        <w:t xml:space="preserve">. </w:t>
      </w:r>
      <w:r w:rsidRPr="00762A2E">
        <w:rPr>
          <w:rFonts w:ascii="Calibri" w:hAnsi="Calibri"/>
          <w:i/>
          <w:sz w:val="20"/>
          <w:szCs w:val="20"/>
        </w:rPr>
        <w:t>Nature</w:t>
      </w:r>
      <w:r w:rsidR="00AE1622" w:rsidRPr="00762A2E">
        <w:rPr>
          <w:rFonts w:ascii="Calibri" w:hAnsi="Calibri"/>
          <w:i/>
          <w:sz w:val="20"/>
          <w:szCs w:val="20"/>
        </w:rPr>
        <w:t>.</w:t>
      </w:r>
      <w:r w:rsidRPr="00762A2E">
        <w:rPr>
          <w:rFonts w:ascii="Calibri" w:hAnsi="Calibri"/>
          <w:sz w:val="20"/>
          <w:szCs w:val="20"/>
        </w:rPr>
        <w:t xml:space="preserve"> 2018; 555(7696):371-376.</w:t>
      </w:r>
    </w:p>
    <w:p w14:paraId="0D212871" w14:textId="77777777" w:rsidR="00031F2F" w:rsidRPr="00762A2E" w:rsidRDefault="00031F2F" w:rsidP="00D84EFE">
      <w:pPr>
        <w:pStyle w:val="Listenabsatz"/>
        <w:spacing w:line="240" w:lineRule="auto"/>
        <w:rPr>
          <w:rFonts w:ascii="Calibri" w:hAnsi="Calibri"/>
          <w:sz w:val="20"/>
          <w:szCs w:val="20"/>
        </w:rPr>
      </w:pPr>
    </w:p>
    <w:p w14:paraId="4C192368" w14:textId="3DB8B74C" w:rsidR="00031F2F" w:rsidRPr="00762A2E" w:rsidRDefault="00031F2F" w:rsidP="00D84EFE">
      <w:pPr>
        <w:pStyle w:val="Listenabsatz"/>
        <w:numPr>
          <w:ilvl w:val="0"/>
          <w:numId w:val="5"/>
        </w:numPr>
        <w:spacing w:line="240" w:lineRule="auto"/>
        <w:jc w:val="both"/>
        <w:rPr>
          <w:rFonts w:ascii="Calibri" w:hAnsi="Calibri"/>
          <w:sz w:val="20"/>
          <w:szCs w:val="20"/>
        </w:rPr>
      </w:pPr>
      <w:proofErr w:type="spellStart"/>
      <w:r w:rsidRPr="00762A2E">
        <w:rPr>
          <w:rFonts w:ascii="Calibri" w:hAnsi="Calibri"/>
          <w:sz w:val="20"/>
          <w:szCs w:val="20"/>
          <w:lang w:val="de-DE"/>
        </w:rPr>
        <w:t>Gröbner</w:t>
      </w:r>
      <w:proofErr w:type="spellEnd"/>
      <w:r w:rsidRPr="00762A2E">
        <w:rPr>
          <w:rFonts w:ascii="Calibri" w:hAnsi="Calibri"/>
          <w:sz w:val="20"/>
          <w:szCs w:val="20"/>
          <w:lang w:val="de-DE"/>
        </w:rPr>
        <w:t xml:space="preserve"> SN, </w:t>
      </w:r>
      <w:proofErr w:type="spellStart"/>
      <w:r w:rsidRPr="00762A2E">
        <w:rPr>
          <w:rFonts w:ascii="Calibri" w:hAnsi="Calibri"/>
          <w:sz w:val="20"/>
          <w:szCs w:val="20"/>
          <w:lang w:val="de-DE"/>
        </w:rPr>
        <w:t>Worst</w:t>
      </w:r>
      <w:proofErr w:type="spellEnd"/>
      <w:r w:rsidRPr="00762A2E">
        <w:rPr>
          <w:rFonts w:ascii="Calibri" w:hAnsi="Calibri"/>
          <w:sz w:val="20"/>
          <w:szCs w:val="20"/>
          <w:lang w:val="de-DE"/>
        </w:rPr>
        <w:t xml:space="preserve"> BC, </w:t>
      </w:r>
      <w:proofErr w:type="spellStart"/>
      <w:r w:rsidRPr="00762A2E">
        <w:rPr>
          <w:rFonts w:ascii="Calibri" w:hAnsi="Calibri"/>
          <w:sz w:val="20"/>
          <w:szCs w:val="20"/>
          <w:lang w:val="de-DE"/>
        </w:rPr>
        <w:t>Weischenfeldt</w:t>
      </w:r>
      <w:proofErr w:type="spellEnd"/>
      <w:r w:rsidRPr="00762A2E">
        <w:rPr>
          <w:rFonts w:ascii="Calibri" w:hAnsi="Calibri"/>
          <w:sz w:val="20"/>
          <w:szCs w:val="20"/>
          <w:lang w:val="de-DE"/>
        </w:rPr>
        <w:t xml:space="preserve"> J, Buchhalter I, Kleinheinz K, </w:t>
      </w:r>
      <w:proofErr w:type="spellStart"/>
      <w:r w:rsidRPr="00762A2E">
        <w:rPr>
          <w:rFonts w:ascii="Calibri" w:hAnsi="Calibri"/>
          <w:sz w:val="20"/>
          <w:szCs w:val="20"/>
          <w:lang w:val="de-DE"/>
        </w:rPr>
        <w:t>Rudneva</w:t>
      </w:r>
      <w:proofErr w:type="spellEnd"/>
      <w:r w:rsidRPr="00762A2E">
        <w:rPr>
          <w:rFonts w:ascii="Calibri" w:hAnsi="Calibri"/>
          <w:sz w:val="20"/>
          <w:szCs w:val="20"/>
          <w:lang w:val="de-DE"/>
        </w:rPr>
        <w:t xml:space="preserve"> VA, </w:t>
      </w:r>
      <w:r w:rsidRPr="00762A2E">
        <w:rPr>
          <w:rFonts w:ascii="Calibri" w:hAnsi="Calibri"/>
          <w:i/>
          <w:sz w:val="20"/>
          <w:szCs w:val="20"/>
          <w:lang w:val="de-DE"/>
        </w:rPr>
        <w:t>et al.</w:t>
      </w:r>
      <w:r w:rsidRPr="00762A2E">
        <w:rPr>
          <w:rFonts w:ascii="Calibri" w:hAnsi="Calibri"/>
          <w:sz w:val="20"/>
          <w:szCs w:val="20"/>
          <w:lang w:val="de-DE"/>
        </w:rPr>
        <w:t xml:space="preserve"> </w:t>
      </w:r>
      <w:r w:rsidRPr="00762A2E">
        <w:rPr>
          <w:rFonts w:ascii="Calibri" w:hAnsi="Calibri"/>
          <w:sz w:val="20"/>
          <w:szCs w:val="20"/>
        </w:rPr>
        <w:t xml:space="preserve">The landscape of genomic alterations across childhood cancers. </w:t>
      </w:r>
      <w:r w:rsidRPr="00762A2E">
        <w:rPr>
          <w:rFonts w:ascii="Calibri" w:hAnsi="Calibri"/>
          <w:i/>
          <w:sz w:val="20"/>
          <w:szCs w:val="20"/>
        </w:rPr>
        <w:t>Nature</w:t>
      </w:r>
      <w:r w:rsidR="004348A0" w:rsidRPr="00762A2E">
        <w:rPr>
          <w:rFonts w:ascii="Calibri" w:hAnsi="Calibri"/>
          <w:i/>
          <w:sz w:val="20"/>
          <w:szCs w:val="20"/>
        </w:rPr>
        <w:t>.</w:t>
      </w:r>
      <w:r w:rsidRPr="00762A2E">
        <w:rPr>
          <w:rFonts w:ascii="Calibri" w:hAnsi="Calibri"/>
          <w:sz w:val="20"/>
          <w:szCs w:val="20"/>
        </w:rPr>
        <w:t xml:space="preserve"> 2018;555(7696):321-327.</w:t>
      </w:r>
    </w:p>
    <w:p w14:paraId="7B703AFF" w14:textId="77777777" w:rsidR="00A75E37" w:rsidRPr="00762A2E" w:rsidRDefault="00A75E37" w:rsidP="00D84EFE">
      <w:pPr>
        <w:pStyle w:val="Listenabsatz"/>
        <w:spacing w:line="240" w:lineRule="auto"/>
        <w:rPr>
          <w:rFonts w:ascii="Calibri" w:hAnsi="Calibri"/>
          <w:sz w:val="20"/>
          <w:szCs w:val="20"/>
        </w:rPr>
      </w:pPr>
    </w:p>
    <w:p w14:paraId="1B945042" w14:textId="08C4AF5A" w:rsidR="00A75E37" w:rsidRPr="00762A2E" w:rsidRDefault="00A75E37" w:rsidP="00D84EFE">
      <w:pPr>
        <w:pStyle w:val="Listenabsatz"/>
        <w:numPr>
          <w:ilvl w:val="0"/>
          <w:numId w:val="5"/>
        </w:numPr>
        <w:spacing w:line="240" w:lineRule="auto"/>
        <w:jc w:val="both"/>
        <w:rPr>
          <w:rFonts w:ascii="Calibri" w:hAnsi="Calibri"/>
          <w:sz w:val="20"/>
          <w:szCs w:val="20"/>
        </w:rPr>
      </w:pPr>
      <w:proofErr w:type="spellStart"/>
      <w:r w:rsidRPr="00762A2E">
        <w:rPr>
          <w:rFonts w:ascii="Calibri" w:hAnsi="Calibri"/>
          <w:sz w:val="20"/>
          <w:szCs w:val="20"/>
          <w:lang w:val="de-DE"/>
        </w:rPr>
        <w:t>Lindsley</w:t>
      </w:r>
      <w:proofErr w:type="spellEnd"/>
      <w:r w:rsidRPr="00762A2E">
        <w:rPr>
          <w:rFonts w:ascii="Calibri" w:hAnsi="Calibri"/>
          <w:sz w:val="20"/>
          <w:szCs w:val="20"/>
          <w:lang w:val="de-DE"/>
        </w:rPr>
        <w:t xml:space="preserve"> RC, </w:t>
      </w:r>
      <w:proofErr w:type="spellStart"/>
      <w:r w:rsidRPr="00762A2E">
        <w:rPr>
          <w:rFonts w:ascii="Calibri" w:hAnsi="Calibri"/>
          <w:sz w:val="20"/>
          <w:szCs w:val="20"/>
          <w:lang w:val="de-DE"/>
        </w:rPr>
        <w:t>Saber</w:t>
      </w:r>
      <w:proofErr w:type="spellEnd"/>
      <w:r w:rsidRPr="00762A2E">
        <w:rPr>
          <w:rFonts w:ascii="Calibri" w:hAnsi="Calibri"/>
          <w:sz w:val="20"/>
          <w:szCs w:val="20"/>
          <w:lang w:val="de-DE"/>
        </w:rPr>
        <w:t xml:space="preserve"> W, Mar BG, </w:t>
      </w:r>
      <w:proofErr w:type="spellStart"/>
      <w:r w:rsidRPr="00762A2E">
        <w:rPr>
          <w:rFonts w:ascii="Calibri" w:hAnsi="Calibri"/>
          <w:sz w:val="20"/>
          <w:szCs w:val="20"/>
          <w:lang w:val="de-DE"/>
        </w:rPr>
        <w:t>Redd</w:t>
      </w:r>
      <w:proofErr w:type="spellEnd"/>
      <w:r w:rsidRPr="00762A2E">
        <w:rPr>
          <w:rFonts w:ascii="Calibri" w:hAnsi="Calibri"/>
          <w:sz w:val="20"/>
          <w:szCs w:val="20"/>
          <w:lang w:val="de-DE"/>
        </w:rPr>
        <w:t xml:space="preserve"> R, Wang T, </w:t>
      </w:r>
      <w:proofErr w:type="spellStart"/>
      <w:r w:rsidRPr="00762A2E">
        <w:rPr>
          <w:rFonts w:ascii="Calibri" w:hAnsi="Calibri"/>
          <w:sz w:val="20"/>
          <w:szCs w:val="20"/>
          <w:lang w:val="de-DE"/>
        </w:rPr>
        <w:t>Haagenson</w:t>
      </w:r>
      <w:proofErr w:type="spellEnd"/>
      <w:r w:rsidRPr="00762A2E">
        <w:rPr>
          <w:rFonts w:ascii="Calibri" w:hAnsi="Calibri"/>
          <w:sz w:val="20"/>
          <w:szCs w:val="20"/>
          <w:lang w:val="de-DE"/>
        </w:rPr>
        <w:t xml:space="preserve"> MD, </w:t>
      </w:r>
      <w:r w:rsidRPr="00762A2E">
        <w:rPr>
          <w:rFonts w:ascii="Calibri" w:hAnsi="Calibri"/>
          <w:i/>
          <w:sz w:val="20"/>
          <w:szCs w:val="20"/>
          <w:lang w:val="de-DE"/>
        </w:rPr>
        <w:t>et al</w:t>
      </w:r>
      <w:r w:rsidRPr="00762A2E">
        <w:rPr>
          <w:rFonts w:ascii="Calibri" w:hAnsi="Calibri"/>
          <w:sz w:val="20"/>
          <w:szCs w:val="20"/>
          <w:lang w:val="de-DE"/>
        </w:rPr>
        <w:t xml:space="preserve">. </w:t>
      </w:r>
      <w:r w:rsidRPr="00762A2E">
        <w:rPr>
          <w:rFonts w:ascii="Calibri" w:hAnsi="Calibri"/>
          <w:sz w:val="20"/>
          <w:szCs w:val="20"/>
        </w:rPr>
        <w:t xml:space="preserve">Prognostic Mutations in Myelodysplastic Syndrome after Stem-Cell Transplantation. </w:t>
      </w:r>
      <w:r w:rsidRPr="00762A2E">
        <w:rPr>
          <w:rFonts w:ascii="Calibri" w:hAnsi="Calibri"/>
          <w:i/>
          <w:sz w:val="20"/>
          <w:szCs w:val="20"/>
        </w:rPr>
        <w:t xml:space="preserve">N </w:t>
      </w:r>
      <w:proofErr w:type="spellStart"/>
      <w:r w:rsidRPr="00762A2E">
        <w:rPr>
          <w:rFonts w:ascii="Calibri" w:hAnsi="Calibri"/>
          <w:i/>
          <w:sz w:val="20"/>
          <w:szCs w:val="20"/>
        </w:rPr>
        <w:t>Engl</w:t>
      </w:r>
      <w:proofErr w:type="spellEnd"/>
      <w:r w:rsidRPr="00762A2E">
        <w:rPr>
          <w:rFonts w:ascii="Calibri" w:hAnsi="Calibri"/>
          <w:i/>
          <w:sz w:val="20"/>
          <w:szCs w:val="20"/>
        </w:rPr>
        <w:t xml:space="preserve"> J Med</w:t>
      </w:r>
      <w:r w:rsidR="004348A0" w:rsidRPr="00762A2E">
        <w:rPr>
          <w:rFonts w:ascii="Calibri" w:hAnsi="Calibri"/>
          <w:i/>
          <w:sz w:val="20"/>
          <w:szCs w:val="20"/>
        </w:rPr>
        <w:t>.</w:t>
      </w:r>
      <w:r w:rsidRPr="00762A2E">
        <w:rPr>
          <w:rFonts w:ascii="Calibri" w:hAnsi="Calibri"/>
          <w:sz w:val="20"/>
          <w:szCs w:val="20"/>
        </w:rPr>
        <w:t xml:space="preserve"> 2017;376(6):536-547.</w:t>
      </w:r>
    </w:p>
    <w:p w14:paraId="23D7C520" w14:textId="77777777" w:rsidR="002436A6" w:rsidRPr="00762A2E" w:rsidRDefault="002436A6" w:rsidP="00D84EFE">
      <w:pPr>
        <w:pStyle w:val="Listenabsatz"/>
        <w:spacing w:line="240" w:lineRule="auto"/>
        <w:rPr>
          <w:rFonts w:ascii="Calibri" w:hAnsi="Calibri"/>
          <w:sz w:val="20"/>
          <w:szCs w:val="20"/>
        </w:rPr>
      </w:pPr>
    </w:p>
    <w:p w14:paraId="27B22B9A" w14:textId="50A8CF9F" w:rsidR="002436A6" w:rsidRPr="00762A2E" w:rsidRDefault="002436A6" w:rsidP="00D84EFE">
      <w:pPr>
        <w:pStyle w:val="Listenabsatz"/>
        <w:numPr>
          <w:ilvl w:val="0"/>
          <w:numId w:val="5"/>
        </w:numPr>
        <w:spacing w:line="240" w:lineRule="auto"/>
        <w:jc w:val="both"/>
        <w:rPr>
          <w:rFonts w:ascii="Calibri" w:hAnsi="Calibri"/>
          <w:sz w:val="20"/>
          <w:szCs w:val="20"/>
        </w:rPr>
      </w:pPr>
      <w:r w:rsidRPr="00762A2E">
        <w:rPr>
          <w:rFonts w:ascii="Calibri" w:hAnsi="Calibri"/>
          <w:sz w:val="20"/>
          <w:szCs w:val="20"/>
          <w:lang w:val="de-DE"/>
        </w:rPr>
        <w:t xml:space="preserve">Schwartz JR, Ma J, Lamprecht T, Walsh M, Wang S, Bryant V, </w:t>
      </w:r>
      <w:r w:rsidRPr="00762A2E">
        <w:rPr>
          <w:rFonts w:ascii="Calibri" w:hAnsi="Calibri"/>
          <w:i/>
          <w:sz w:val="20"/>
          <w:szCs w:val="20"/>
          <w:lang w:val="de-DE"/>
        </w:rPr>
        <w:t>et al</w:t>
      </w:r>
      <w:r w:rsidRPr="00762A2E">
        <w:rPr>
          <w:rFonts w:ascii="Calibri" w:hAnsi="Calibri"/>
          <w:sz w:val="20"/>
          <w:szCs w:val="20"/>
          <w:lang w:val="de-DE"/>
        </w:rPr>
        <w:t xml:space="preserve">. </w:t>
      </w:r>
      <w:r w:rsidRPr="00762A2E">
        <w:rPr>
          <w:rFonts w:ascii="Calibri" w:hAnsi="Calibri"/>
          <w:sz w:val="20"/>
          <w:szCs w:val="20"/>
        </w:rPr>
        <w:t xml:space="preserve">The genomic landscape of pediatric myelodysplastic syndromes. </w:t>
      </w:r>
      <w:r w:rsidRPr="00762A2E">
        <w:rPr>
          <w:rFonts w:ascii="Calibri" w:hAnsi="Calibri"/>
          <w:i/>
          <w:sz w:val="20"/>
          <w:szCs w:val="20"/>
        </w:rPr>
        <w:t xml:space="preserve">Nat </w:t>
      </w:r>
      <w:proofErr w:type="spellStart"/>
      <w:r w:rsidRPr="00762A2E">
        <w:rPr>
          <w:rFonts w:ascii="Calibri" w:hAnsi="Calibri"/>
          <w:i/>
          <w:sz w:val="20"/>
          <w:szCs w:val="20"/>
        </w:rPr>
        <w:t>Commun</w:t>
      </w:r>
      <w:proofErr w:type="spellEnd"/>
      <w:r w:rsidR="004348A0" w:rsidRPr="00762A2E">
        <w:rPr>
          <w:rFonts w:ascii="Calibri" w:hAnsi="Calibri"/>
          <w:i/>
          <w:sz w:val="20"/>
          <w:szCs w:val="20"/>
        </w:rPr>
        <w:t>.</w:t>
      </w:r>
      <w:r w:rsidRPr="00762A2E">
        <w:rPr>
          <w:rFonts w:ascii="Calibri" w:hAnsi="Calibri"/>
          <w:sz w:val="20"/>
          <w:szCs w:val="20"/>
        </w:rPr>
        <w:t xml:space="preserve"> 2017;8(1):1557.</w:t>
      </w:r>
    </w:p>
    <w:p w14:paraId="793F77A7" w14:textId="77777777" w:rsidR="00C16584" w:rsidRPr="00762A2E" w:rsidRDefault="00C16584" w:rsidP="00D84EFE">
      <w:pPr>
        <w:pStyle w:val="Listenabsatz"/>
        <w:spacing w:line="240" w:lineRule="auto"/>
        <w:rPr>
          <w:rFonts w:ascii="Calibri" w:hAnsi="Calibri"/>
          <w:sz w:val="20"/>
          <w:szCs w:val="20"/>
        </w:rPr>
      </w:pPr>
    </w:p>
    <w:p w14:paraId="12DE312A" w14:textId="25914063" w:rsidR="00C16584" w:rsidRPr="00762A2E" w:rsidRDefault="00C16584" w:rsidP="00D84EFE">
      <w:pPr>
        <w:pStyle w:val="Listenabsatz"/>
        <w:numPr>
          <w:ilvl w:val="0"/>
          <w:numId w:val="5"/>
        </w:numPr>
        <w:spacing w:line="240" w:lineRule="auto"/>
        <w:jc w:val="both"/>
        <w:rPr>
          <w:rFonts w:ascii="Calibri" w:hAnsi="Calibri"/>
          <w:sz w:val="20"/>
          <w:szCs w:val="20"/>
        </w:rPr>
      </w:pPr>
      <w:proofErr w:type="spellStart"/>
      <w:r w:rsidRPr="00762A2E">
        <w:rPr>
          <w:rFonts w:ascii="Calibri" w:hAnsi="Calibri"/>
          <w:sz w:val="20"/>
          <w:szCs w:val="20"/>
        </w:rPr>
        <w:t>Papaemmanuil</w:t>
      </w:r>
      <w:proofErr w:type="spellEnd"/>
      <w:r w:rsidRPr="00762A2E">
        <w:rPr>
          <w:rFonts w:ascii="Calibri" w:hAnsi="Calibri"/>
          <w:sz w:val="20"/>
          <w:szCs w:val="20"/>
        </w:rPr>
        <w:t xml:space="preserve"> E, </w:t>
      </w:r>
      <w:proofErr w:type="spellStart"/>
      <w:r w:rsidRPr="00762A2E">
        <w:rPr>
          <w:rFonts w:ascii="Calibri" w:hAnsi="Calibri"/>
          <w:sz w:val="20"/>
          <w:szCs w:val="20"/>
        </w:rPr>
        <w:t>Gerstung</w:t>
      </w:r>
      <w:proofErr w:type="spellEnd"/>
      <w:r w:rsidRPr="00762A2E">
        <w:rPr>
          <w:rFonts w:ascii="Calibri" w:hAnsi="Calibri"/>
          <w:sz w:val="20"/>
          <w:szCs w:val="20"/>
        </w:rPr>
        <w:t xml:space="preserve"> M, </w:t>
      </w:r>
      <w:proofErr w:type="spellStart"/>
      <w:r w:rsidRPr="00762A2E">
        <w:rPr>
          <w:rFonts w:ascii="Calibri" w:hAnsi="Calibri"/>
          <w:sz w:val="20"/>
          <w:szCs w:val="20"/>
        </w:rPr>
        <w:t>Malcovati</w:t>
      </w:r>
      <w:proofErr w:type="spellEnd"/>
      <w:r w:rsidRPr="00762A2E">
        <w:rPr>
          <w:rFonts w:ascii="Calibri" w:hAnsi="Calibri"/>
          <w:sz w:val="20"/>
          <w:szCs w:val="20"/>
        </w:rPr>
        <w:t xml:space="preserve"> L, </w:t>
      </w:r>
      <w:proofErr w:type="spellStart"/>
      <w:r w:rsidRPr="00762A2E">
        <w:rPr>
          <w:rFonts w:ascii="Calibri" w:hAnsi="Calibri"/>
          <w:sz w:val="20"/>
          <w:szCs w:val="20"/>
        </w:rPr>
        <w:t>Tauro</w:t>
      </w:r>
      <w:proofErr w:type="spellEnd"/>
      <w:r w:rsidRPr="00762A2E">
        <w:rPr>
          <w:rFonts w:ascii="Calibri" w:hAnsi="Calibri"/>
          <w:sz w:val="20"/>
          <w:szCs w:val="20"/>
        </w:rPr>
        <w:t xml:space="preserve"> S, </w:t>
      </w:r>
      <w:proofErr w:type="spellStart"/>
      <w:r w:rsidRPr="00762A2E">
        <w:rPr>
          <w:rFonts w:ascii="Calibri" w:hAnsi="Calibri"/>
          <w:sz w:val="20"/>
          <w:szCs w:val="20"/>
        </w:rPr>
        <w:t>Gundem</w:t>
      </w:r>
      <w:proofErr w:type="spellEnd"/>
      <w:r w:rsidRPr="00762A2E">
        <w:rPr>
          <w:rFonts w:ascii="Calibri" w:hAnsi="Calibri"/>
          <w:sz w:val="20"/>
          <w:szCs w:val="20"/>
        </w:rPr>
        <w:t xml:space="preserve"> G, Van Loo P, </w:t>
      </w:r>
      <w:r w:rsidRPr="00762A2E">
        <w:rPr>
          <w:rFonts w:ascii="Calibri" w:hAnsi="Calibri"/>
          <w:i/>
          <w:sz w:val="20"/>
          <w:szCs w:val="20"/>
        </w:rPr>
        <w:t>et al.</w:t>
      </w:r>
      <w:r w:rsidRPr="00762A2E">
        <w:rPr>
          <w:rFonts w:ascii="Calibri" w:hAnsi="Calibri"/>
          <w:sz w:val="20"/>
          <w:szCs w:val="20"/>
        </w:rPr>
        <w:t xml:space="preserve"> Clinical and biological implications of driver mutations in myelodysplastic syndromes. </w:t>
      </w:r>
      <w:r w:rsidRPr="00762A2E">
        <w:rPr>
          <w:rFonts w:ascii="Calibri" w:hAnsi="Calibri"/>
          <w:i/>
          <w:sz w:val="20"/>
          <w:szCs w:val="20"/>
        </w:rPr>
        <w:t>Blood</w:t>
      </w:r>
      <w:r w:rsidR="004348A0" w:rsidRPr="00762A2E">
        <w:rPr>
          <w:rFonts w:ascii="Calibri" w:hAnsi="Calibri"/>
          <w:sz w:val="20"/>
          <w:szCs w:val="20"/>
        </w:rPr>
        <w:t xml:space="preserve">. </w:t>
      </w:r>
      <w:r w:rsidRPr="00762A2E">
        <w:rPr>
          <w:rFonts w:ascii="Calibri" w:hAnsi="Calibri"/>
          <w:sz w:val="20"/>
          <w:szCs w:val="20"/>
        </w:rPr>
        <w:t>2013; 122(22):3616-27.</w:t>
      </w:r>
    </w:p>
    <w:p w14:paraId="7110D685" w14:textId="77777777" w:rsidR="00C16584" w:rsidRPr="00762A2E" w:rsidRDefault="00C16584" w:rsidP="00D84EFE">
      <w:pPr>
        <w:pStyle w:val="Listenabsatz"/>
        <w:spacing w:line="240" w:lineRule="auto"/>
        <w:rPr>
          <w:rFonts w:ascii="Calibri" w:hAnsi="Calibri"/>
          <w:sz w:val="20"/>
          <w:szCs w:val="20"/>
        </w:rPr>
      </w:pPr>
    </w:p>
    <w:p w14:paraId="12CDB292" w14:textId="1C34B6EC" w:rsidR="003C6689" w:rsidRPr="00762A2E" w:rsidRDefault="00C16584" w:rsidP="0083794E">
      <w:pPr>
        <w:pStyle w:val="Listenabsatz"/>
        <w:numPr>
          <w:ilvl w:val="0"/>
          <w:numId w:val="5"/>
        </w:numPr>
        <w:spacing w:line="240" w:lineRule="auto"/>
        <w:jc w:val="both"/>
        <w:rPr>
          <w:rFonts w:ascii="Calibri" w:hAnsi="Calibri"/>
          <w:sz w:val="20"/>
          <w:szCs w:val="20"/>
        </w:rPr>
      </w:pPr>
      <w:r w:rsidRPr="00762A2E">
        <w:rPr>
          <w:rFonts w:ascii="Calibri" w:hAnsi="Calibri"/>
          <w:sz w:val="20"/>
          <w:szCs w:val="20"/>
        </w:rPr>
        <w:t xml:space="preserve">Pastor V, Hirabayashi S, </w:t>
      </w:r>
      <w:proofErr w:type="spellStart"/>
      <w:r w:rsidRPr="00762A2E">
        <w:rPr>
          <w:rFonts w:ascii="Calibri" w:hAnsi="Calibri"/>
          <w:sz w:val="20"/>
          <w:szCs w:val="20"/>
        </w:rPr>
        <w:t>Karow</w:t>
      </w:r>
      <w:proofErr w:type="spellEnd"/>
      <w:r w:rsidRPr="00762A2E">
        <w:rPr>
          <w:rFonts w:ascii="Calibri" w:hAnsi="Calibri"/>
          <w:sz w:val="20"/>
          <w:szCs w:val="20"/>
        </w:rPr>
        <w:t xml:space="preserve"> A, Wehrle J, Kozyra EJ, </w:t>
      </w:r>
      <w:proofErr w:type="spellStart"/>
      <w:r w:rsidRPr="00762A2E">
        <w:rPr>
          <w:rFonts w:ascii="Calibri" w:hAnsi="Calibri"/>
          <w:sz w:val="20"/>
          <w:szCs w:val="20"/>
        </w:rPr>
        <w:t>Nienhold</w:t>
      </w:r>
      <w:proofErr w:type="spellEnd"/>
      <w:r w:rsidRPr="00762A2E">
        <w:rPr>
          <w:rFonts w:ascii="Calibri" w:hAnsi="Calibri"/>
          <w:sz w:val="20"/>
          <w:szCs w:val="20"/>
        </w:rPr>
        <w:t xml:space="preserve"> R, </w:t>
      </w:r>
      <w:r w:rsidRPr="00762A2E">
        <w:rPr>
          <w:rFonts w:ascii="Calibri" w:hAnsi="Calibri"/>
          <w:i/>
          <w:sz w:val="20"/>
          <w:szCs w:val="20"/>
        </w:rPr>
        <w:t>et al.</w:t>
      </w:r>
      <w:r w:rsidRPr="00762A2E">
        <w:rPr>
          <w:rFonts w:ascii="Calibri" w:hAnsi="Calibri"/>
          <w:sz w:val="20"/>
          <w:szCs w:val="20"/>
        </w:rPr>
        <w:t xml:space="preserve"> Mutational landscape in children with myelodysplastic syndromes is distinct from adults: specific somatic drivers and novel germline variants. </w:t>
      </w:r>
      <w:r w:rsidRPr="00762A2E">
        <w:rPr>
          <w:rFonts w:ascii="Calibri" w:hAnsi="Calibri"/>
          <w:i/>
          <w:sz w:val="20"/>
          <w:szCs w:val="20"/>
        </w:rPr>
        <w:t>Leukemia</w:t>
      </w:r>
      <w:r w:rsidR="004348A0" w:rsidRPr="00762A2E">
        <w:rPr>
          <w:rFonts w:ascii="Calibri" w:hAnsi="Calibri"/>
          <w:i/>
          <w:sz w:val="20"/>
          <w:szCs w:val="20"/>
        </w:rPr>
        <w:t>.</w:t>
      </w:r>
      <w:r w:rsidRPr="00762A2E">
        <w:rPr>
          <w:rFonts w:ascii="Calibri" w:hAnsi="Calibri"/>
          <w:sz w:val="20"/>
          <w:szCs w:val="20"/>
        </w:rPr>
        <w:t xml:space="preserve"> 2017;31(3):759-762.</w:t>
      </w:r>
    </w:p>
    <w:p w14:paraId="0F186F0C" w14:textId="77777777" w:rsidR="00835D41" w:rsidRPr="00762A2E" w:rsidRDefault="00835D41" w:rsidP="00835D41">
      <w:pPr>
        <w:pStyle w:val="Listenabsatz"/>
        <w:rPr>
          <w:rFonts w:ascii="Calibri" w:hAnsi="Calibri"/>
          <w:sz w:val="20"/>
          <w:szCs w:val="20"/>
        </w:rPr>
      </w:pPr>
    </w:p>
    <w:p w14:paraId="6CDDABE5" w14:textId="3542124E" w:rsidR="00835D41" w:rsidRPr="00762A2E" w:rsidRDefault="00835D41" w:rsidP="00835D41">
      <w:pPr>
        <w:pStyle w:val="Listenabsatz"/>
        <w:numPr>
          <w:ilvl w:val="0"/>
          <w:numId w:val="5"/>
        </w:numPr>
        <w:spacing w:line="240" w:lineRule="auto"/>
        <w:jc w:val="both"/>
        <w:rPr>
          <w:rFonts w:ascii="Calibri" w:hAnsi="Calibri"/>
          <w:sz w:val="20"/>
          <w:szCs w:val="20"/>
        </w:rPr>
      </w:pPr>
      <w:r w:rsidRPr="00762A2E">
        <w:rPr>
          <w:rFonts w:ascii="Calibri" w:hAnsi="Calibri"/>
          <w:sz w:val="20"/>
          <w:szCs w:val="20"/>
        </w:rPr>
        <w:t xml:space="preserve">Wlodarski MW, O'Keefe C, Howe EC, </w:t>
      </w:r>
      <w:proofErr w:type="spellStart"/>
      <w:r w:rsidRPr="00762A2E">
        <w:rPr>
          <w:rFonts w:ascii="Calibri" w:hAnsi="Calibri"/>
          <w:sz w:val="20"/>
          <w:szCs w:val="20"/>
        </w:rPr>
        <w:t>Risitano</w:t>
      </w:r>
      <w:proofErr w:type="spellEnd"/>
      <w:r w:rsidRPr="00762A2E">
        <w:rPr>
          <w:rFonts w:ascii="Calibri" w:hAnsi="Calibri"/>
          <w:sz w:val="20"/>
          <w:szCs w:val="20"/>
        </w:rPr>
        <w:t xml:space="preserve"> AM, Rodriguez A, </w:t>
      </w:r>
      <w:proofErr w:type="spellStart"/>
      <w:r w:rsidRPr="00762A2E">
        <w:rPr>
          <w:rFonts w:ascii="Calibri" w:hAnsi="Calibri"/>
          <w:sz w:val="20"/>
          <w:szCs w:val="20"/>
        </w:rPr>
        <w:t>Warshawsky</w:t>
      </w:r>
      <w:proofErr w:type="spellEnd"/>
      <w:r w:rsidRPr="00762A2E">
        <w:rPr>
          <w:rFonts w:ascii="Calibri" w:hAnsi="Calibri"/>
          <w:sz w:val="20"/>
          <w:szCs w:val="20"/>
        </w:rPr>
        <w:t xml:space="preserve"> I, et al. Pathologic clonal cytotoxic T-cell responses: nonrandom nature of the T-cell-receptor restriction in large granular lymphocyte leukemia. </w:t>
      </w:r>
      <w:r w:rsidRPr="00762A2E">
        <w:rPr>
          <w:rFonts w:ascii="Calibri" w:hAnsi="Calibri"/>
          <w:i/>
          <w:sz w:val="20"/>
          <w:szCs w:val="20"/>
        </w:rPr>
        <w:t>Blood</w:t>
      </w:r>
      <w:r w:rsidRPr="00762A2E">
        <w:rPr>
          <w:rFonts w:ascii="Calibri" w:hAnsi="Calibri"/>
          <w:sz w:val="20"/>
          <w:szCs w:val="20"/>
        </w:rPr>
        <w:t>. 2005;106(8):2769-80.</w:t>
      </w:r>
    </w:p>
    <w:p w14:paraId="1C144600" w14:textId="77777777" w:rsidR="00835D41" w:rsidRPr="00762A2E" w:rsidRDefault="00835D41" w:rsidP="00835D41">
      <w:pPr>
        <w:pStyle w:val="Listenabsatz"/>
        <w:rPr>
          <w:rFonts w:ascii="Calibri" w:hAnsi="Calibri"/>
          <w:sz w:val="20"/>
          <w:szCs w:val="20"/>
        </w:rPr>
      </w:pPr>
    </w:p>
    <w:p w14:paraId="42C509C3" w14:textId="22318DCF" w:rsidR="00835D41" w:rsidRPr="00762A2E" w:rsidRDefault="00835D41" w:rsidP="00835D41">
      <w:pPr>
        <w:pStyle w:val="Listenabsatz"/>
        <w:numPr>
          <w:ilvl w:val="0"/>
          <w:numId w:val="5"/>
        </w:numPr>
        <w:spacing w:line="240" w:lineRule="auto"/>
        <w:jc w:val="both"/>
        <w:rPr>
          <w:rFonts w:ascii="Calibri" w:hAnsi="Calibri"/>
          <w:sz w:val="18"/>
          <w:szCs w:val="20"/>
        </w:rPr>
      </w:pPr>
      <w:proofErr w:type="spellStart"/>
      <w:r w:rsidRPr="00762A2E">
        <w:rPr>
          <w:sz w:val="20"/>
        </w:rPr>
        <w:t>Zuker</w:t>
      </w:r>
      <w:proofErr w:type="spellEnd"/>
      <w:r w:rsidRPr="00762A2E">
        <w:rPr>
          <w:sz w:val="20"/>
        </w:rPr>
        <w:t xml:space="preserve"> M. </w:t>
      </w:r>
      <w:proofErr w:type="spellStart"/>
      <w:r w:rsidRPr="00762A2E">
        <w:rPr>
          <w:sz w:val="20"/>
        </w:rPr>
        <w:t>Mfold</w:t>
      </w:r>
      <w:proofErr w:type="spellEnd"/>
      <w:r w:rsidRPr="00762A2E">
        <w:rPr>
          <w:sz w:val="20"/>
        </w:rPr>
        <w:t xml:space="preserve"> web server for nucleic acid folding and hybridization prediction. </w:t>
      </w:r>
      <w:r w:rsidRPr="00762A2E">
        <w:rPr>
          <w:i/>
          <w:sz w:val="20"/>
        </w:rPr>
        <w:t>Nucleic Acids Res.</w:t>
      </w:r>
      <w:r w:rsidRPr="00762A2E">
        <w:rPr>
          <w:sz w:val="20"/>
        </w:rPr>
        <w:t xml:space="preserve"> 2003;31(13):3406-15.</w:t>
      </w:r>
    </w:p>
    <w:p w14:paraId="2FF59ADE" w14:textId="77777777" w:rsidR="00835D41" w:rsidRPr="00762A2E" w:rsidRDefault="00835D41" w:rsidP="00835D41">
      <w:pPr>
        <w:pStyle w:val="Listenabsatz"/>
        <w:rPr>
          <w:rFonts w:ascii="Calibri" w:hAnsi="Calibri"/>
          <w:sz w:val="18"/>
          <w:szCs w:val="20"/>
        </w:rPr>
      </w:pPr>
    </w:p>
    <w:p w14:paraId="5568C90B" w14:textId="3F09DEC2" w:rsidR="00835D41" w:rsidRPr="00762A2E" w:rsidRDefault="00835D41" w:rsidP="00835D41">
      <w:pPr>
        <w:pStyle w:val="Listenabsatz"/>
        <w:numPr>
          <w:ilvl w:val="0"/>
          <w:numId w:val="5"/>
        </w:numPr>
        <w:spacing w:line="240" w:lineRule="auto"/>
        <w:jc w:val="both"/>
        <w:rPr>
          <w:rFonts w:ascii="Calibri" w:hAnsi="Calibri"/>
          <w:sz w:val="16"/>
          <w:szCs w:val="20"/>
        </w:rPr>
      </w:pPr>
      <w:r w:rsidRPr="00762A2E">
        <w:rPr>
          <w:sz w:val="20"/>
          <w:lang w:val="de-DE"/>
        </w:rPr>
        <w:lastRenderedPageBreak/>
        <w:t xml:space="preserve">Lorenz R, </w:t>
      </w:r>
      <w:proofErr w:type="spellStart"/>
      <w:r w:rsidRPr="00762A2E">
        <w:rPr>
          <w:sz w:val="20"/>
          <w:lang w:val="de-DE"/>
        </w:rPr>
        <w:t>Bernhart</w:t>
      </w:r>
      <w:proofErr w:type="spellEnd"/>
      <w:r w:rsidRPr="00762A2E">
        <w:rPr>
          <w:sz w:val="20"/>
          <w:lang w:val="de-DE"/>
        </w:rPr>
        <w:t xml:space="preserve"> SH, </w:t>
      </w:r>
      <w:proofErr w:type="spellStart"/>
      <w:r w:rsidRPr="00762A2E">
        <w:rPr>
          <w:sz w:val="20"/>
          <w:lang w:val="de-DE"/>
        </w:rPr>
        <w:t>Honer</w:t>
      </w:r>
      <w:proofErr w:type="spellEnd"/>
      <w:r w:rsidRPr="00762A2E">
        <w:rPr>
          <w:sz w:val="20"/>
          <w:lang w:val="de-DE"/>
        </w:rPr>
        <w:t xml:space="preserve"> Zu </w:t>
      </w:r>
      <w:proofErr w:type="spellStart"/>
      <w:r w:rsidRPr="00762A2E">
        <w:rPr>
          <w:sz w:val="20"/>
          <w:lang w:val="de-DE"/>
        </w:rPr>
        <w:t>Siederdissen</w:t>
      </w:r>
      <w:proofErr w:type="spellEnd"/>
      <w:r w:rsidRPr="00762A2E">
        <w:rPr>
          <w:sz w:val="20"/>
          <w:lang w:val="de-DE"/>
        </w:rPr>
        <w:t xml:space="preserve"> C, </w:t>
      </w:r>
      <w:proofErr w:type="spellStart"/>
      <w:r w:rsidRPr="00762A2E">
        <w:rPr>
          <w:sz w:val="20"/>
          <w:lang w:val="de-DE"/>
        </w:rPr>
        <w:t>Tafer</w:t>
      </w:r>
      <w:proofErr w:type="spellEnd"/>
      <w:r w:rsidRPr="00762A2E">
        <w:rPr>
          <w:sz w:val="20"/>
          <w:lang w:val="de-DE"/>
        </w:rPr>
        <w:t xml:space="preserve"> H, </w:t>
      </w:r>
      <w:proofErr w:type="spellStart"/>
      <w:r w:rsidRPr="00762A2E">
        <w:rPr>
          <w:sz w:val="20"/>
          <w:lang w:val="de-DE"/>
        </w:rPr>
        <w:t>Flamm</w:t>
      </w:r>
      <w:proofErr w:type="spellEnd"/>
      <w:r w:rsidRPr="00762A2E">
        <w:rPr>
          <w:sz w:val="20"/>
          <w:lang w:val="de-DE"/>
        </w:rPr>
        <w:t xml:space="preserve"> C, Stadler PF, et al. </w:t>
      </w:r>
      <w:proofErr w:type="spellStart"/>
      <w:r w:rsidRPr="00762A2E">
        <w:rPr>
          <w:sz w:val="20"/>
        </w:rPr>
        <w:t>ViennaRNA</w:t>
      </w:r>
      <w:proofErr w:type="spellEnd"/>
      <w:r w:rsidRPr="00762A2E">
        <w:rPr>
          <w:sz w:val="20"/>
        </w:rPr>
        <w:t xml:space="preserve"> Package 2.0. </w:t>
      </w:r>
      <w:r w:rsidRPr="00762A2E">
        <w:rPr>
          <w:i/>
          <w:sz w:val="20"/>
        </w:rPr>
        <w:t>Algorithms Mol Biol.</w:t>
      </w:r>
      <w:r w:rsidRPr="00762A2E">
        <w:rPr>
          <w:sz w:val="20"/>
        </w:rPr>
        <w:t xml:space="preserve"> 2011</w:t>
      </w:r>
      <w:proofErr w:type="gramStart"/>
      <w:r w:rsidRPr="00762A2E">
        <w:rPr>
          <w:sz w:val="20"/>
        </w:rPr>
        <w:t>;6:26</w:t>
      </w:r>
      <w:proofErr w:type="gramEnd"/>
      <w:r w:rsidRPr="00762A2E">
        <w:rPr>
          <w:sz w:val="20"/>
        </w:rPr>
        <w:t>.</w:t>
      </w:r>
    </w:p>
    <w:p w14:paraId="6F3AF047" w14:textId="77777777" w:rsidR="00835D41" w:rsidRPr="00762A2E" w:rsidRDefault="00835D41" w:rsidP="00835D41">
      <w:pPr>
        <w:pStyle w:val="Listenabsatz"/>
        <w:rPr>
          <w:rFonts w:ascii="Calibri" w:hAnsi="Calibri"/>
          <w:sz w:val="16"/>
          <w:szCs w:val="20"/>
        </w:rPr>
      </w:pPr>
    </w:p>
    <w:p w14:paraId="2952F983" w14:textId="06EA62AF" w:rsidR="00835D41" w:rsidRPr="00762A2E" w:rsidRDefault="00835D41" w:rsidP="00835D41">
      <w:pPr>
        <w:pStyle w:val="Listenabsatz"/>
        <w:numPr>
          <w:ilvl w:val="0"/>
          <w:numId w:val="5"/>
        </w:numPr>
        <w:spacing w:line="240" w:lineRule="auto"/>
        <w:jc w:val="both"/>
        <w:rPr>
          <w:rFonts w:ascii="Calibri" w:hAnsi="Calibri"/>
          <w:sz w:val="16"/>
          <w:szCs w:val="20"/>
        </w:rPr>
      </w:pPr>
      <w:r w:rsidRPr="00762A2E">
        <w:rPr>
          <w:sz w:val="20"/>
        </w:rPr>
        <w:t xml:space="preserve">Markham NR, and </w:t>
      </w:r>
      <w:proofErr w:type="spellStart"/>
      <w:r w:rsidRPr="00762A2E">
        <w:rPr>
          <w:sz w:val="20"/>
        </w:rPr>
        <w:t>Zuker</w:t>
      </w:r>
      <w:proofErr w:type="spellEnd"/>
      <w:r w:rsidRPr="00762A2E">
        <w:rPr>
          <w:sz w:val="20"/>
        </w:rPr>
        <w:t xml:space="preserve"> M. </w:t>
      </w:r>
      <w:proofErr w:type="spellStart"/>
      <w:r w:rsidRPr="00762A2E">
        <w:rPr>
          <w:sz w:val="20"/>
        </w:rPr>
        <w:t>DINAMelt</w:t>
      </w:r>
      <w:proofErr w:type="spellEnd"/>
      <w:r w:rsidRPr="00762A2E">
        <w:rPr>
          <w:sz w:val="20"/>
        </w:rPr>
        <w:t xml:space="preserve"> web server for nucleic acid melting prediction. </w:t>
      </w:r>
      <w:r w:rsidRPr="00762A2E">
        <w:rPr>
          <w:i/>
          <w:sz w:val="20"/>
        </w:rPr>
        <w:t>Nucleic Acids Res.</w:t>
      </w:r>
      <w:r w:rsidRPr="00762A2E">
        <w:rPr>
          <w:sz w:val="20"/>
        </w:rPr>
        <w:t xml:space="preserve"> 2005</w:t>
      </w:r>
      <w:proofErr w:type="gramStart"/>
      <w:r w:rsidRPr="00762A2E">
        <w:rPr>
          <w:sz w:val="20"/>
        </w:rPr>
        <w:t>;33</w:t>
      </w:r>
      <w:proofErr w:type="gramEnd"/>
      <w:r w:rsidRPr="00762A2E">
        <w:rPr>
          <w:sz w:val="20"/>
        </w:rPr>
        <w:t>(Web Server issue):W577-81.</w:t>
      </w:r>
    </w:p>
    <w:p w14:paraId="547CFE02" w14:textId="77777777" w:rsidR="00835D41" w:rsidRPr="00762A2E" w:rsidRDefault="00835D41" w:rsidP="00835D41">
      <w:pPr>
        <w:pStyle w:val="Listenabsatz"/>
        <w:rPr>
          <w:rFonts w:ascii="Calibri" w:hAnsi="Calibri"/>
          <w:sz w:val="16"/>
          <w:szCs w:val="20"/>
        </w:rPr>
      </w:pPr>
    </w:p>
    <w:p w14:paraId="68D87E95" w14:textId="2B9A4335" w:rsidR="00835D41" w:rsidRPr="00762A2E" w:rsidRDefault="00835D41" w:rsidP="00835D41">
      <w:pPr>
        <w:pStyle w:val="Listenabsatz"/>
        <w:numPr>
          <w:ilvl w:val="0"/>
          <w:numId w:val="5"/>
        </w:numPr>
        <w:spacing w:line="240" w:lineRule="auto"/>
        <w:jc w:val="both"/>
        <w:rPr>
          <w:rFonts w:ascii="Calibri" w:hAnsi="Calibri"/>
          <w:sz w:val="16"/>
          <w:szCs w:val="20"/>
        </w:rPr>
      </w:pPr>
      <w:proofErr w:type="spellStart"/>
      <w:r w:rsidRPr="00762A2E">
        <w:rPr>
          <w:sz w:val="20"/>
        </w:rPr>
        <w:t>Pertea</w:t>
      </w:r>
      <w:proofErr w:type="spellEnd"/>
      <w:r w:rsidRPr="00762A2E">
        <w:rPr>
          <w:sz w:val="20"/>
        </w:rPr>
        <w:t xml:space="preserve"> M, Kim D, </w:t>
      </w:r>
      <w:proofErr w:type="spellStart"/>
      <w:r w:rsidRPr="00762A2E">
        <w:rPr>
          <w:sz w:val="20"/>
        </w:rPr>
        <w:t>Pertea</w:t>
      </w:r>
      <w:proofErr w:type="spellEnd"/>
      <w:r w:rsidRPr="00762A2E">
        <w:rPr>
          <w:sz w:val="20"/>
        </w:rPr>
        <w:t xml:space="preserve"> GM, Leek JT, and </w:t>
      </w:r>
      <w:proofErr w:type="spellStart"/>
      <w:r w:rsidRPr="00762A2E">
        <w:rPr>
          <w:sz w:val="20"/>
        </w:rPr>
        <w:t>Salzberg</w:t>
      </w:r>
      <w:proofErr w:type="spellEnd"/>
      <w:r w:rsidRPr="00762A2E">
        <w:rPr>
          <w:sz w:val="20"/>
        </w:rPr>
        <w:t xml:space="preserve"> SL. Transcript-level expression analysis of RNA-seq experiments with HISAT, </w:t>
      </w:r>
      <w:proofErr w:type="spellStart"/>
      <w:r w:rsidRPr="00762A2E">
        <w:rPr>
          <w:sz w:val="20"/>
        </w:rPr>
        <w:t>StringTie</w:t>
      </w:r>
      <w:proofErr w:type="spellEnd"/>
      <w:r w:rsidRPr="00762A2E">
        <w:rPr>
          <w:sz w:val="20"/>
        </w:rPr>
        <w:t xml:space="preserve"> and </w:t>
      </w:r>
      <w:proofErr w:type="spellStart"/>
      <w:r w:rsidRPr="00762A2E">
        <w:rPr>
          <w:sz w:val="20"/>
        </w:rPr>
        <w:t>Ballgown</w:t>
      </w:r>
      <w:proofErr w:type="spellEnd"/>
      <w:r w:rsidRPr="00762A2E">
        <w:rPr>
          <w:sz w:val="20"/>
        </w:rPr>
        <w:t xml:space="preserve">. </w:t>
      </w:r>
      <w:r w:rsidRPr="00762A2E">
        <w:rPr>
          <w:i/>
          <w:sz w:val="20"/>
        </w:rPr>
        <w:t xml:space="preserve">Nat </w:t>
      </w:r>
      <w:proofErr w:type="spellStart"/>
      <w:r w:rsidRPr="00762A2E">
        <w:rPr>
          <w:i/>
          <w:sz w:val="20"/>
        </w:rPr>
        <w:t>Protoc</w:t>
      </w:r>
      <w:proofErr w:type="spellEnd"/>
      <w:r w:rsidRPr="00762A2E">
        <w:rPr>
          <w:i/>
          <w:sz w:val="20"/>
        </w:rPr>
        <w:t>.</w:t>
      </w:r>
      <w:r w:rsidRPr="00762A2E">
        <w:rPr>
          <w:sz w:val="20"/>
        </w:rPr>
        <w:t xml:space="preserve"> 2016;11(9):1650-67.</w:t>
      </w:r>
    </w:p>
    <w:p w14:paraId="1FFA7692" w14:textId="77777777" w:rsidR="00835D41" w:rsidRPr="00762A2E" w:rsidRDefault="00835D41" w:rsidP="00835D41">
      <w:pPr>
        <w:pStyle w:val="Listenabsatz"/>
        <w:rPr>
          <w:rFonts w:ascii="Calibri" w:hAnsi="Calibri"/>
          <w:sz w:val="16"/>
          <w:szCs w:val="20"/>
        </w:rPr>
      </w:pPr>
    </w:p>
    <w:p w14:paraId="58110505" w14:textId="34C0D8D3" w:rsidR="00835D41" w:rsidRPr="00762A2E" w:rsidRDefault="00835D41" w:rsidP="00835D41">
      <w:pPr>
        <w:pStyle w:val="Listenabsatz"/>
        <w:numPr>
          <w:ilvl w:val="0"/>
          <w:numId w:val="5"/>
        </w:numPr>
        <w:spacing w:line="240" w:lineRule="auto"/>
        <w:jc w:val="both"/>
        <w:rPr>
          <w:rFonts w:ascii="Calibri" w:hAnsi="Calibri"/>
          <w:sz w:val="16"/>
          <w:szCs w:val="20"/>
        </w:rPr>
      </w:pPr>
      <w:proofErr w:type="spellStart"/>
      <w:r w:rsidRPr="00762A2E">
        <w:rPr>
          <w:sz w:val="20"/>
        </w:rPr>
        <w:t>Desmet</w:t>
      </w:r>
      <w:proofErr w:type="spellEnd"/>
      <w:r w:rsidRPr="00762A2E">
        <w:rPr>
          <w:sz w:val="20"/>
        </w:rPr>
        <w:t xml:space="preserve"> FO, </w:t>
      </w:r>
      <w:proofErr w:type="spellStart"/>
      <w:r w:rsidRPr="00762A2E">
        <w:rPr>
          <w:sz w:val="20"/>
        </w:rPr>
        <w:t>Hamroun</w:t>
      </w:r>
      <w:proofErr w:type="spellEnd"/>
      <w:r w:rsidRPr="00762A2E">
        <w:rPr>
          <w:sz w:val="20"/>
        </w:rPr>
        <w:t xml:space="preserve"> D, </w:t>
      </w:r>
      <w:proofErr w:type="spellStart"/>
      <w:r w:rsidRPr="00762A2E">
        <w:rPr>
          <w:sz w:val="20"/>
        </w:rPr>
        <w:t>Lalande</w:t>
      </w:r>
      <w:proofErr w:type="spellEnd"/>
      <w:r w:rsidRPr="00762A2E">
        <w:rPr>
          <w:sz w:val="20"/>
        </w:rPr>
        <w:t xml:space="preserve"> M, </w:t>
      </w:r>
      <w:proofErr w:type="spellStart"/>
      <w:r w:rsidRPr="00762A2E">
        <w:rPr>
          <w:sz w:val="20"/>
        </w:rPr>
        <w:t>Collod-Beroud</w:t>
      </w:r>
      <w:proofErr w:type="spellEnd"/>
      <w:r w:rsidRPr="00762A2E">
        <w:rPr>
          <w:sz w:val="20"/>
        </w:rPr>
        <w:t xml:space="preserve"> G, </w:t>
      </w:r>
      <w:proofErr w:type="spellStart"/>
      <w:r w:rsidRPr="00762A2E">
        <w:rPr>
          <w:sz w:val="20"/>
        </w:rPr>
        <w:t>Claustres</w:t>
      </w:r>
      <w:proofErr w:type="spellEnd"/>
      <w:r w:rsidRPr="00762A2E">
        <w:rPr>
          <w:sz w:val="20"/>
        </w:rPr>
        <w:t xml:space="preserve"> M, and </w:t>
      </w:r>
      <w:proofErr w:type="spellStart"/>
      <w:r w:rsidRPr="00762A2E">
        <w:rPr>
          <w:sz w:val="20"/>
        </w:rPr>
        <w:t>Beroud</w:t>
      </w:r>
      <w:proofErr w:type="spellEnd"/>
      <w:r w:rsidRPr="00762A2E">
        <w:rPr>
          <w:sz w:val="20"/>
        </w:rPr>
        <w:t xml:space="preserve"> C. Human Splicing Finder: an online bioinformatics tool to predict splicing signals. </w:t>
      </w:r>
      <w:r w:rsidRPr="00762A2E">
        <w:rPr>
          <w:i/>
          <w:sz w:val="20"/>
        </w:rPr>
        <w:t>Nucleic Acids Res.</w:t>
      </w:r>
      <w:r w:rsidRPr="00762A2E">
        <w:rPr>
          <w:sz w:val="20"/>
        </w:rPr>
        <w:t xml:space="preserve"> 2009</w:t>
      </w:r>
      <w:proofErr w:type="gramStart"/>
      <w:r w:rsidRPr="00762A2E">
        <w:rPr>
          <w:sz w:val="20"/>
        </w:rPr>
        <w:t>;37</w:t>
      </w:r>
      <w:proofErr w:type="gramEnd"/>
      <w:r w:rsidRPr="00762A2E">
        <w:rPr>
          <w:sz w:val="20"/>
        </w:rPr>
        <w:t>(9):e67.</w:t>
      </w:r>
    </w:p>
    <w:p w14:paraId="0438A322" w14:textId="77777777" w:rsidR="00835D41" w:rsidRPr="00762A2E" w:rsidRDefault="00835D41" w:rsidP="00835D41">
      <w:pPr>
        <w:pStyle w:val="Listenabsatz"/>
        <w:rPr>
          <w:rFonts w:ascii="Calibri" w:hAnsi="Calibri"/>
          <w:sz w:val="16"/>
          <w:szCs w:val="20"/>
        </w:rPr>
      </w:pPr>
    </w:p>
    <w:p w14:paraId="7941F6E5" w14:textId="77777777" w:rsidR="00C74211" w:rsidRPr="00762A2E" w:rsidRDefault="00835D41" w:rsidP="00C74211">
      <w:pPr>
        <w:pStyle w:val="Listenabsatz"/>
        <w:numPr>
          <w:ilvl w:val="0"/>
          <w:numId w:val="5"/>
        </w:numPr>
        <w:spacing w:line="240" w:lineRule="auto"/>
        <w:jc w:val="both"/>
        <w:rPr>
          <w:rFonts w:ascii="Calibri" w:hAnsi="Calibri"/>
          <w:sz w:val="16"/>
          <w:szCs w:val="20"/>
        </w:rPr>
      </w:pPr>
      <w:r w:rsidRPr="00762A2E">
        <w:rPr>
          <w:sz w:val="20"/>
          <w:lang w:val="de-DE"/>
        </w:rPr>
        <w:t xml:space="preserve">Lek M, </w:t>
      </w:r>
      <w:proofErr w:type="spellStart"/>
      <w:r w:rsidRPr="00762A2E">
        <w:rPr>
          <w:sz w:val="20"/>
          <w:lang w:val="de-DE"/>
        </w:rPr>
        <w:t>Karczewski</w:t>
      </w:r>
      <w:proofErr w:type="spellEnd"/>
      <w:r w:rsidRPr="00762A2E">
        <w:rPr>
          <w:sz w:val="20"/>
          <w:lang w:val="de-DE"/>
        </w:rPr>
        <w:t xml:space="preserve"> KJ, </w:t>
      </w:r>
      <w:proofErr w:type="spellStart"/>
      <w:r w:rsidRPr="00762A2E">
        <w:rPr>
          <w:sz w:val="20"/>
          <w:lang w:val="de-DE"/>
        </w:rPr>
        <w:t>Minikel</w:t>
      </w:r>
      <w:proofErr w:type="spellEnd"/>
      <w:r w:rsidRPr="00762A2E">
        <w:rPr>
          <w:sz w:val="20"/>
          <w:lang w:val="de-DE"/>
        </w:rPr>
        <w:t xml:space="preserve"> EV, </w:t>
      </w:r>
      <w:proofErr w:type="spellStart"/>
      <w:r w:rsidRPr="00762A2E">
        <w:rPr>
          <w:sz w:val="20"/>
          <w:lang w:val="de-DE"/>
        </w:rPr>
        <w:t>Samocha</w:t>
      </w:r>
      <w:proofErr w:type="spellEnd"/>
      <w:r w:rsidRPr="00762A2E">
        <w:rPr>
          <w:sz w:val="20"/>
          <w:lang w:val="de-DE"/>
        </w:rPr>
        <w:t xml:space="preserve"> KE, Banks E, </w:t>
      </w:r>
      <w:proofErr w:type="spellStart"/>
      <w:r w:rsidRPr="00762A2E">
        <w:rPr>
          <w:sz w:val="20"/>
          <w:lang w:val="de-DE"/>
        </w:rPr>
        <w:t>Fennell</w:t>
      </w:r>
      <w:proofErr w:type="spellEnd"/>
      <w:r w:rsidRPr="00762A2E">
        <w:rPr>
          <w:sz w:val="20"/>
          <w:lang w:val="de-DE"/>
        </w:rPr>
        <w:t xml:space="preserve"> T, et al. </w:t>
      </w:r>
      <w:r w:rsidRPr="00762A2E">
        <w:rPr>
          <w:sz w:val="20"/>
        </w:rPr>
        <w:t xml:space="preserve">Analysis of protein-coding genetic variation in 60,706 humans. </w:t>
      </w:r>
      <w:r w:rsidRPr="00762A2E">
        <w:rPr>
          <w:i/>
          <w:sz w:val="20"/>
        </w:rPr>
        <w:t>Nature.</w:t>
      </w:r>
      <w:r w:rsidRPr="00762A2E">
        <w:rPr>
          <w:sz w:val="20"/>
        </w:rPr>
        <w:t xml:space="preserve"> 2016;536(7616):285-91.</w:t>
      </w:r>
    </w:p>
    <w:p w14:paraId="583C4C4F" w14:textId="77777777" w:rsidR="00FA4B96" w:rsidRPr="00762A2E" w:rsidRDefault="00FA4B96" w:rsidP="00FA4B96">
      <w:pPr>
        <w:pStyle w:val="Listenabsatz"/>
        <w:rPr>
          <w:rFonts w:ascii="Calibri" w:hAnsi="Calibri"/>
          <w:sz w:val="16"/>
          <w:szCs w:val="20"/>
        </w:rPr>
      </w:pPr>
    </w:p>
    <w:p w14:paraId="43E58C18" w14:textId="304C1941" w:rsidR="00FA4B96" w:rsidRPr="00762A2E" w:rsidRDefault="00FA4B96" w:rsidP="00C74211">
      <w:pPr>
        <w:pStyle w:val="Listenabsatz"/>
        <w:numPr>
          <w:ilvl w:val="0"/>
          <w:numId w:val="5"/>
        </w:numPr>
        <w:spacing w:line="240" w:lineRule="auto"/>
        <w:jc w:val="both"/>
        <w:rPr>
          <w:rFonts w:ascii="Calibri" w:hAnsi="Calibri"/>
          <w:sz w:val="14"/>
          <w:szCs w:val="20"/>
        </w:rPr>
      </w:pPr>
      <w:proofErr w:type="spellStart"/>
      <w:r w:rsidRPr="00762A2E">
        <w:rPr>
          <w:sz w:val="20"/>
        </w:rPr>
        <w:t>Charan</w:t>
      </w:r>
      <w:proofErr w:type="spellEnd"/>
      <w:r w:rsidRPr="00762A2E">
        <w:rPr>
          <w:sz w:val="20"/>
        </w:rPr>
        <w:t xml:space="preserve">, J. &amp; </w:t>
      </w:r>
      <w:proofErr w:type="spellStart"/>
      <w:r w:rsidRPr="00762A2E">
        <w:rPr>
          <w:sz w:val="20"/>
        </w:rPr>
        <w:t>Kantharia</w:t>
      </w:r>
      <w:proofErr w:type="spellEnd"/>
      <w:r w:rsidRPr="00762A2E">
        <w:rPr>
          <w:sz w:val="20"/>
        </w:rPr>
        <w:t xml:space="preserve">, N. D. How to calculate sample size in animal studies? </w:t>
      </w:r>
      <w:r w:rsidRPr="00762A2E">
        <w:rPr>
          <w:i/>
          <w:sz w:val="20"/>
        </w:rPr>
        <w:t xml:space="preserve">J. </w:t>
      </w:r>
      <w:proofErr w:type="spellStart"/>
      <w:r w:rsidRPr="00762A2E">
        <w:rPr>
          <w:i/>
          <w:sz w:val="20"/>
        </w:rPr>
        <w:t>Pharmacol</w:t>
      </w:r>
      <w:proofErr w:type="spellEnd"/>
      <w:r w:rsidRPr="00762A2E">
        <w:rPr>
          <w:i/>
          <w:sz w:val="20"/>
        </w:rPr>
        <w:t xml:space="preserve">. </w:t>
      </w:r>
      <w:proofErr w:type="spellStart"/>
      <w:r w:rsidRPr="00762A2E">
        <w:rPr>
          <w:i/>
          <w:sz w:val="20"/>
        </w:rPr>
        <w:t>Pharmacother</w:t>
      </w:r>
      <w:proofErr w:type="spellEnd"/>
      <w:r w:rsidRPr="00762A2E">
        <w:rPr>
          <w:i/>
          <w:sz w:val="20"/>
        </w:rPr>
        <w:t>.</w:t>
      </w:r>
      <w:r w:rsidRPr="00762A2E">
        <w:rPr>
          <w:sz w:val="20"/>
        </w:rPr>
        <w:t xml:space="preserve"> 2013; (4):303–306.</w:t>
      </w:r>
    </w:p>
    <w:p w14:paraId="7178A14F" w14:textId="77777777" w:rsidR="00C74211" w:rsidRPr="00762A2E" w:rsidRDefault="00C74211" w:rsidP="00C74211">
      <w:pPr>
        <w:pStyle w:val="Listenabsatz"/>
        <w:rPr>
          <w:sz w:val="20"/>
        </w:rPr>
      </w:pPr>
    </w:p>
    <w:p w14:paraId="07EDC277" w14:textId="72A9A700" w:rsidR="003D28CD" w:rsidRPr="00762A2E" w:rsidRDefault="003D28CD" w:rsidP="00C74211">
      <w:pPr>
        <w:pStyle w:val="Listenabsatz"/>
        <w:numPr>
          <w:ilvl w:val="0"/>
          <w:numId w:val="5"/>
        </w:numPr>
        <w:spacing w:line="240" w:lineRule="auto"/>
        <w:jc w:val="both"/>
        <w:rPr>
          <w:rFonts w:ascii="Calibri" w:hAnsi="Calibri"/>
          <w:sz w:val="16"/>
          <w:szCs w:val="20"/>
        </w:rPr>
      </w:pPr>
      <w:proofErr w:type="spellStart"/>
      <w:r w:rsidRPr="00762A2E">
        <w:rPr>
          <w:sz w:val="20"/>
        </w:rPr>
        <w:t>Butko</w:t>
      </w:r>
      <w:proofErr w:type="spellEnd"/>
      <w:r w:rsidRPr="00762A2E">
        <w:rPr>
          <w:sz w:val="20"/>
        </w:rPr>
        <w:t xml:space="preserve"> E, </w:t>
      </w:r>
      <w:proofErr w:type="spellStart"/>
      <w:r w:rsidRPr="00762A2E">
        <w:rPr>
          <w:sz w:val="20"/>
        </w:rPr>
        <w:t>Distel</w:t>
      </w:r>
      <w:proofErr w:type="spellEnd"/>
      <w:r w:rsidRPr="00762A2E">
        <w:rPr>
          <w:sz w:val="20"/>
        </w:rPr>
        <w:t xml:space="preserve"> M, </w:t>
      </w:r>
      <w:proofErr w:type="spellStart"/>
      <w:r w:rsidRPr="00762A2E">
        <w:rPr>
          <w:sz w:val="20"/>
        </w:rPr>
        <w:t>Pouget</w:t>
      </w:r>
      <w:proofErr w:type="spellEnd"/>
      <w:r w:rsidRPr="00762A2E">
        <w:rPr>
          <w:sz w:val="20"/>
        </w:rPr>
        <w:t xml:space="preserve"> C, </w:t>
      </w:r>
      <w:proofErr w:type="spellStart"/>
      <w:r w:rsidRPr="00762A2E">
        <w:rPr>
          <w:sz w:val="20"/>
        </w:rPr>
        <w:t>Weijts</w:t>
      </w:r>
      <w:proofErr w:type="spellEnd"/>
      <w:r w:rsidRPr="00762A2E">
        <w:rPr>
          <w:sz w:val="20"/>
        </w:rPr>
        <w:t xml:space="preserve"> B, Kobayashi I, Ng K, et al. Gata2b is a restricted early regulator of hemogenic endothelium in the zebrafish embryo. </w:t>
      </w:r>
      <w:r w:rsidRPr="00762A2E">
        <w:rPr>
          <w:i/>
          <w:sz w:val="20"/>
        </w:rPr>
        <w:t>Development.</w:t>
      </w:r>
      <w:r w:rsidRPr="00762A2E">
        <w:rPr>
          <w:sz w:val="20"/>
        </w:rPr>
        <w:t xml:space="preserve"> 2015;142(6):1050-61.</w:t>
      </w:r>
    </w:p>
    <w:p w14:paraId="38731CF1" w14:textId="77777777" w:rsidR="003D28CD" w:rsidRPr="00762A2E" w:rsidRDefault="003D28CD" w:rsidP="003D28CD">
      <w:pPr>
        <w:pStyle w:val="Listenabsatz"/>
        <w:rPr>
          <w:rFonts w:ascii="Calibri" w:hAnsi="Calibri"/>
          <w:sz w:val="16"/>
          <w:szCs w:val="20"/>
        </w:rPr>
      </w:pPr>
    </w:p>
    <w:p w14:paraId="59B2B914" w14:textId="3498F777" w:rsidR="003D28CD" w:rsidRPr="00762A2E" w:rsidRDefault="003D28CD" w:rsidP="00835D41">
      <w:pPr>
        <w:pStyle w:val="Listenabsatz"/>
        <w:numPr>
          <w:ilvl w:val="0"/>
          <w:numId w:val="5"/>
        </w:numPr>
        <w:spacing w:line="240" w:lineRule="auto"/>
        <w:jc w:val="both"/>
        <w:rPr>
          <w:rFonts w:ascii="Calibri" w:hAnsi="Calibri"/>
          <w:sz w:val="16"/>
          <w:szCs w:val="20"/>
        </w:rPr>
      </w:pPr>
      <w:proofErr w:type="spellStart"/>
      <w:r w:rsidRPr="00762A2E">
        <w:rPr>
          <w:sz w:val="20"/>
        </w:rPr>
        <w:t>Thisse</w:t>
      </w:r>
      <w:proofErr w:type="spellEnd"/>
      <w:r w:rsidRPr="00762A2E">
        <w:rPr>
          <w:sz w:val="20"/>
        </w:rPr>
        <w:t xml:space="preserve"> C, and </w:t>
      </w:r>
      <w:proofErr w:type="spellStart"/>
      <w:r w:rsidRPr="00762A2E">
        <w:rPr>
          <w:sz w:val="20"/>
        </w:rPr>
        <w:t>Thisse</w:t>
      </w:r>
      <w:proofErr w:type="spellEnd"/>
      <w:r w:rsidRPr="00762A2E">
        <w:rPr>
          <w:sz w:val="20"/>
        </w:rPr>
        <w:t xml:space="preserve"> B. High-resolution in situ hybridization to whole-mount zebrafish embryos. </w:t>
      </w:r>
      <w:r w:rsidRPr="00762A2E">
        <w:rPr>
          <w:i/>
          <w:sz w:val="20"/>
        </w:rPr>
        <w:t xml:space="preserve">Nat </w:t>
      </w:r>
      <w:proofErr w:type="spellStart"/>
      <w:r w:rsidRPr="00762A2E">
        <w:rPr>
          <w:i/>
          <w:sz w:val="20"/>
        </w:rPr>
        <w:t>Protoc</w:t>
      </w:r>
      <w:proofErr w:type="spellEnd"/>
      <w:r w:rsidRPr="00762A2E">
        <w:rPr>
          <w:i/>
          <w:sz w:val="20"/>
        </w:rPr>
        <w:t>.</w:t>
      </w:r>
      <w:r w:rsidRPr="00762A2E">
        <w:rPr>
          <w:sz w:val="20"/>
        </w:rPr>
        <w:t xml:space="preserve"> 2008;3(1):59-69.</w:t>
      </w:r>
    </w:p>
    <w:p w14:paraId="068A2761" w14:textId="77777777" w:rsidR="003D28CD" w:rsidRPr="00762A2E" w:rsidRDefault="003D28CD" w:rsidP="003D28CD">
      <w:pPr>
        <w:pStyle w:val="Listenabsatz"/>
        <w:rPr>
          <w:rFonts w:ascii="Calibri" w:hAnsi="Calibri"/>
          <w:sz w:val="16"/>
          <w:szCs w:val="20"/>
        </w:rPr>
      </w:pPr>
    </w:p>
    <w:p w14:paraId="6B5A6965" w14:textId="50563792" w:rsidR="003D28CD" w:rsidRPr="00762A2E" w:rsidRDefault="003D28CD" w:rsidP="00835D41">
      <w:pPr>
        <w:pStyle w:val="Listenabsatz"/>
        <w:numPr>
          <w:ilvl w:val="0"/>
          <w:numId w:val="5"/>
        </w:numPr>
        <w:spacing w:line="240" w:lineRule="auto"/>
        <w:jc w:val="both"/>
        <w:rPr>
          <w:rFonts w:ascii="Calibri" w:hAnsi="Calibri"/>
          <w:sz w:val="16"/>
          <w:szCs w:val="20"/>
        </w:rPr>
      </w:pPr>
      <w:proofErr w:type="spellStart"/>
      <w:r w:rsidRPr="00762A2E">
        <w:rPr>
          <w:sz w:val="20"/>
        </w:rPr>
        <w:t>Bolli</w:t>
      </w:r>
      <w:proofErr w:type="spellEnd"/>
      <w:r w:rsidRPr="00762A2E">
        <w:rPr>
          <w:sz w:val="20"/>
        </w:rPr>
        <w:t xml:space="preserve"> N, Payne EM, Rhodes J, </w:t>
      </w:r>
      <w:proofErr w:type="spellStart"/>
      <w:r w:rsidRPr="00762A2E">
        <w:rPr>
          <w:sz w:val="20"/>
        </w:rPr>
        <w:t>Gjini</w:t>
      </w:r>
      <w:proofErr w:type="spellEnd"/>
      <w:r w:rsidRPr="00762A2E">
        <w:rPr>
          <w:sz w:val="20"/>
        </w:rPr>
        <w:t xml:space="preserve"> E, Johnston AB, Guo F, et al. cpsf1 is required for definitive HSC survival in zebrafish. </w:t>
      </w:r>
      <w:r w:rsidRPr="00762A2E">
        <w:rPr>
          <w:i/>
          <w:sz w:val="20"/>
        </w:rPr>
        <w:t>Blood.</w:t>
      </w:r>
      <w:r w:rsidRPr="00762A2E">
        <w:rPr>
          <w:sz w:val="20"/>
        </w:rPr>
        <w:t xml:space="preserve"> 2011;117(15):3996-4007.</w:t>
      </w:r>
    </w:p>
    <w:sectPr w:rsidR="003D28CD" w:rsidRPr="00762A2E" w:rsidSect="007F6D1E">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E8AD521" w14:textId="77777777" w:rsidR="007468D0" w:rsidRDefault="007468D0" w:rsidP="006F638A">
      <w:pPr>
        <w:spacing w:after="0" w:line="240" w:lineRule="auto"/>
      </w:pPr>
      <w:r>
        <w:separator/>
      </w:r>
    </w:p>
  </w:endnote>
  <w:endnote w:type="continuationSeparator" w:id="0">
    <w:p w14:paraId="631A027B" w14:textId="77777777" w:rsidR="007468D0" w:rsidRDefault="007468D0" w:rsidP="006F63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mn-ea">
    <w:panose1 w:val="00000000000000000000"/>
    <w:charset w:val="00"/>
    <w:family w:val="roman"/>
    <w:notTrueType/>
    <w:pitch w:val="default"/>
  </w:font>
  <w:font w:name="+mn-cs">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74F924" w14:textId="77777777" w:rsidR="00887698" w:rsidRDefault="00887698">
    <w:pPr>
      <w:pStyle w:val="Fuzeile"/>
      <w:jc w:val="center"/>
    </w:pPr>
    <w:r>
      <w:fldChar w:fldCharType="begin"/>
    </w:r>
    <w:r>
      <w:instrText>PAGE   \* MERGEFORMAT</w:instrText>
    </w:r>
    <w:r>
      <w:fldChar w:fldCharType="separate"/>
    </w:r>
    <w:r w:rsidR="00E134FC" w:rsidRPr="00E134FC">
      <w:rPr>
        <w:noProof/>
        <w:lang w:val="de-DE"/>
      </w:rPr>
      <w:t>17</w:t>
    </w:r>
    <w:r>
      <w:fldChar w:fldCharType="end"/>
    </w:r>
  </w:p>
  <w:p w14:paraId="1F86A097" w14:textId="77777777" w:rsidR="00887698" w:rsidRDefault="00887698">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58B7AC8" w14:textId="77777777" w:rsidR="007468D0" w:rsidRDefault="007468D0" w:rsidP="006F638A">
      <w:pPr>
        <w:spacing w:after="0" w:line="240" w:lineRule="auto"/>
      </w:pPr>
      <w:r>
        <w:separator/>
      </w:r>
    </w:p>
  </w:footnote>
  <w:footnote w:type="continuationSeparator" w:id="0">
    <w:p w14:paraId="6C60E579" w14:textId="77777777" w:rsidR="007468D0" w:rsidRDefault="007468D0" w:rsidP="006F638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7BF192" w14:textId="32DD8A22" w:rsidR="00887698" w:rsidRPr="00E421F1" w:rsidRDefault="00887698">
    <w:pPr>
      <w:pStyle w:val="Kopfzeile"/>
      <w:rPr>
        <w:lang w:val="fr-FR"/>
      </w:rPr>
    </w:pPr>
    <w:r w:rsidRPr="00E421F1">
      <w:rPr>
        <w:lang w:val="fr-FR"/>
      </w:rPr>
      <w:t>Kozyra et al 2019 Supplement</w:t>
    </w:r>
    <w:r w:rsidRPr="00E421F1">
      <w:rPr>
        <w:lang w:val="fr-FR"/>
      </w:rPr>
      <w:tab/>
    </w:r>
    <w:r w:rsidRPr="00E421F1">
      <w:rPr>
        <w:lang w:val="fr-FR"/>
      </w:rPr>
      <w:tab/>
      <w:t>Synonymous Mutations Cause GATA2 Deficiency</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216200"/>
    <w:multiLevelType w:val="hybridMultilevel"/>
    <w:tmpl w:val="FE5EFE8C"/>
    <w:lvl w:ilvl="0" w:tplc="C28C2FFA">
      <w:start w:val="16"/>
      <w:numFmt w:val="bullet"/>
      <w:lvlText w:val=""/>
      <w:lvlJc w:val="left"/>
      <w:pPr>
        <w:ind w:left="720" w:hanging="360"/>
      </w:pPr>
      <w:rPr>
        <w:rFonts w:ascii="Symbol" w:eastAsia="MS Mincho" w:hAnsi="Symbol"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34084C8C"/>
    <w:multiLevelType w:val="hybridMultilevel"/>
    <w:tmpl w:val="C41034A2"/>
    <w:lvl w:ilvl="0" w:tplc="7EE20CAE">
      <w:start w:val="1"/>
      <w:numFmt w:val="decimal"/>
      <w:lvlText w:val="%1."/>
      <w:lvlJc w:val="left"/>
      <w:pPr>
        <w:ind w:left="720" w:hanging="360"/>
      </w:pPr>
      <w:rPr>
        <w:rFonts w:hint="default"/>
        <w:sz w:val="20"/>
        <w:szCs w:val="2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nsid w:val="56F53947"/>
    <w:multiLevelType w:val="hybridMultilevel"/>
    <w:tmpl w:val="469AEA0C"/>
    <w:lvl w:ilvl="0" w:tplc="85AA4250">
      <w:numFmt w:val="bullet"/>
      <w:lvlText w:val="-"/>
      <w:lvlJc w:val="left"/>
      <w:pPr>
        <w:ind w:left="720" w:hanging="360"/>
      </w:pPr>
      <w:rPr>
        <w:rFonts w:ascii="Calibri" w:eastAsia="MS Mincho"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6D9670D0"/>
    <w:multiLevelType w:val="hybridMultilevel"/>
    <w:tmpl w:val="7FE6117C"/>
    <w:lvl w:ilvl="0" w:tplc="914CB23E">
      <w:start w:val="16"/>
      <w:numFmt w:val="bullet"/>
      <w:lvlText w:val=""/>
      <w:lvlJc w:val="left"/>
      <w:pPr>
        <w:ind w:left="720" w:hanging="360"/>
      </w:pPr>
      <w:rPr>
        <w:rFonts w:ascii="Symbol" w:eastAsia="MS Mincho" w:hAnsi="Symbol" w:cstheme="minorBidi" w:hint="default"/>
        <w:sz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nsid w:val="751D3690"/>
    <w:multiLevelType w:val="hybridMultilevel"/>
    <w:tmpl w:val="D2C202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en-US" w:vendorID="64" w:dllVersion="6" w:nlCheck="1" w:checkStyle="1"/>
  <w:activeWritingStyle w:appName="MSWord" w:lang="de-DE" w:vendorID="64" w:dllVersion="6" w:nlCheck="1" w:checkStyle="1"/>
  <w:activeWritingStyle w:appName="MSWord" w:lang="en-US" w:vendorID="64" w:dllVersion="4096" w:nlCheck="1" w:checkStyle="0"/>
  <w:activeWritingStyle w:appName="MSWord" w:lang="it-IT" w:vendorID="64" w:dllVersion="6" w:nlCheck="1" w:checkStyle="0"/>
  <w:activeWritingStyle w:appName="MSWord" w:lang="en-US" w:vendorID="64" w:dllVersion="0" w:nlCheck="1" w:checkStyle="0"/>
  <w:activeWritingStyle w:appName="MSWord" w:lang="en-GB" w:vendorID="64" w:dllVersion="6" w:nlCheck="1" w:checkStyle="1"/>
  <w:activeWritingStyle w:appName="MSWord" w:lang="de-DE" w:vendorID="64" w:dllVersion="0" w:nlCheck="1" w:checkStyle="0"/>
  <w:activeWritingStyle w:appName="MSWord" w:lang="pl-PL" w:vendorID="64" w:dllVersion="0" w:nlCheck="1" w:checkStyle="0"/>
  <w:activeWritingStyle w:appName="MSWord" w:lang="en-US" w:vendorID="64" w:dllVersion="131078" w:nlCheck="1" w:checkStyle="1"/>
  <w:activeWritingStyle w:appName="MSWord" w:lang="fr-FR" w:vendorID="64" w:dllVersion="131078" w:nlCheck="1" w:checkStyle="1"/>
  <w:activeWritingStyle w:appName="MSWord" w:lang="de-DE" w:vendorID="64" w:dllVersion="131078" w:nlCheck="1" w:checkStyle="1"/>
  <w:proofState w:spelling="clean" w:grammar="clean"/>
  <w:defaultTabStop w:val="720"/>
  <w:hyphenationZone w:val="42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Leukemia&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DF6893"/>
    <w:rsid w:val="0000019E"/>
    <w:rsid w:val="00001751"/>
    <w:rsid w:val="00010192"/>
    <w:rsid w:val="00010797"/>
    <w:rsid w:val="000125A4"/>
    <w:rsid w:val="000147A8"/>
    <w:rsid w:val="00017822"/>
    <w:rsid w:val="00017EEA"/>
    <w:rsid w:val="0002125D"/>
    <w:rsid w:val="0002232C"/>
    <w:rsid w:val="0002245F"/>
    <w:rsid w:val="00024F8F"/>
    <w:rsid w:val="00031F2F"/>
    <w:rsid w:val="00033807"/>
    <w:rsid w:val="00042768"/>
    <w:rsid w:val="00043A97"/>
    <w:rsid w:val="00044AD1"/>
    <w:rsid w:val="00052C74"/>
    <w:rsid w:val="00052C80"/>
    <w:rsid w:val="00060C6E"/>
    <w:rsid w:val="00060F05"/>
    <w:rsid w:val="00063FDA"/>
    <w:rsid w:val="0006619B"/>
    <w:rsid w:val="000674CE"/>
    <w:rsid w:val="00071C21"/>
    <w:rsid w:val="000738BE"/>
    <w:rsid w:val="00073BB1"/>
    <w:rsid w:val="00083B89"/>
    <w:rsid w:val="00094E60"/>
    <w:rsid w:val="00096918"/>
    <w:rsid w:val="000B23C6"/>
    <w:rsid w:val="000B4035"/>
    <w:rsid w:val="000C156E"/>
    <w:rsid w:val="000C2AF0"/>
    <w:rsid w:val="000C3265"/>
    <w:rsid w:val="000C4F2B"/>
    <w:rsid w:val="000C6CE8"/>
    <w:rsid w:val="000D052D"/>
    <w:rsid w:val="000D43B1"/>
    <w:rsid w:val="000D4958"/>
    <w:rsid w:val="000D49C5"/>
    <w:rsid w:val="000D77E7"/>
    <w:rsid w:val="000F0BC7"/>
    <w:rsid w:val="000F35E9"/>
    <w:rsid w:val="000F6481"/>
    <w:rsid w:val="000F7075"/>
    <w:rsid w:val="001115E7"/>
    <w:rsid w:val="00114646"/>
    <w:rsid w:val="00114F83"/>
    <w:rsid w:val="00120CB5"/>
    <w:rsid w:val="00124371"/>
    <w:rsid w:val="0013343F"/>
    <w:rsid w:val="00134DD3"/>
    <w:rsid w:val="001357A1"/>
    <w:rsid w:val="001358F2"/>
    <w:rsid w:val="00137538"/>
    <w:rsid w:val="00141ABA"/>
    <w:rsid w:val="00142FF4"/>
    <w:rsid w:val="0015470D"/>
    <w:rsid w:val="001608DF"/>
    <w:rsid w:val="001613E0"/>
    <w:rsid w:val="001855A1"/>
    <w:rsid w:val="00186669"/>
    <w:rsid w:val="00190789"/>
    <w:rsid w:val="00193EAB"/>
    <w:rsid w:val="001A0044"/>
    <w:rsid w:val="001A4E7C"/>
    <w:rsid w:val="001B2A0C"/>
    <w:rsid w:val="001B6774"/>
    <w:rsid w:val="001D01C1"/>
    <w:rsid w:val="001D6643"/>
    <w:rsid w:val="001D7ECD"/>
    <w:rsid w:val="001E2757"/>
    <w:rsid w:val="001E3C20"/>
    <w:rsid w:val="001E6946"/>
    <w:rsid w:val="001F30DA"/>
    <w:rsid w:val="001F5246"/>
    <w:rsid w:val="00200044"/>
    <w:rsid w:val="00200F68"/>
    <w:rsid w:val="002025F1"/>
    <w:rsid w:val="00210ED5"/>
    <w:rsid w:val="00213151"/>
    <w:rsid w:val="00213AC3"/>
    <w:rsid w:val="002145FB"/>
    <w:rsid w:val="00216944"/>
    <w:rsid w:val="00217677"/>
    <w:rsid w:val="002176D7"/>
    <w:rsid w:val="00225878"/>
    <w:rsid w:val="00225C3A"/>
    <w:rsid w:val="0023281A"/>
    <w:rsid w:val="00241F46"/>
    <w:rsid w:val="002436A6"/>
    <w:rsid w:val="0024687C"/>
    <w:rsid w:val="00246B81"/>
    <w:rsid w:val="00250BC2"/>
    <w:rsid w:val="00253373"/>
    <w:rsid w:val="0025457D"/>
    <w:rsid w:val="00254842"/>
    <w:rsid w:val="00262FE1"/>
    <w:rsid w:val="002645EF"/>
    <w:rsid w:val="002733BA"/>
    <w:rsid w:val="00277604"/>
    <w:rsid w:val="00281850"/>
    <w:rsid w:val="00284033"/>
    <w:rsid w:val="00287ACD"/>
    <w:rsid w:val="00290298"/>
    <w:rsid w:val="00293CBD"/>
    <w:rsid w:val="002B08BF"/>
    <w:rsid w:val="002B4E07"/>
    <w:rsid w:val="002B72ED"/>
    <w:rsid w:val="002C05C6"/>
    <w:rsid w:val="002C22C3"/>
    <w:rsid w:val="002C2D9B"/>
    <w:rsid w:val="002C3C7A"/>
    <w:rsid w:val="002D2BBC"/>
    <w:rsid w:val="002E2E44"/>
    <w:rsid w:val="002F5A89"/>
    <w:rsid w:val="00300655"/>
    <w:rsid w:val="003006A4"/>
    <w:rsid w:val="003050DD"/>
    <w:rsid w:val="0031475B"/>
    <w:rsid w:val="00315049"/>
    <w:rsid w:val="00315694"/>
    <w:rsid w:val="003157F9"/>
    <w:rsid w:val="00322086"/>
    <w:rsid w:val="003221AC"/>
    <w:rsid w:val="0032538A"/>
    <w:rsid w:val="00331C2F"/>
    <w:rsid w:val="00334BDB"/>
    <w:rsid w:val="00335250"/>
    <w:rsid w:val="00335983"/>
    <w:rsid w:val="003409B0"/>
    <w:rsid w:val="00343921"/>
    <w:rsid w:val="00347FE1"/>
    <w:rsid w:val="00352CD6"/>
    <w:rsid w:val="0035483B"/>
    <w:rsid w:val="00365150"/>
    <w:rsid w:val="00365775"/>
    <w:rsid w:val="00365B8F"/>
    <w:rsid w:val="00366A5A"/>
    <w:rsid w:val="00366E25"/>
    <w:rsid w:val="003678F9"/>
    <w:rsid w:val="003723BF"/>
    <w:rsid w:val="00373C39"/>
    <w:rsid w:val="00373E9F"/>
    <w:rsid w:val="00374416"/>
    <w:rsid w:val="00391311"/>
    <w:rsid w:val="0039250C"/>
    <w:rsid w:val="003A4127"/>
    <w:rsid w:val="003B1430"/>
    <w:rsid w:val="003B21B2"/>
    <w:rsid w:val="003B3B62"/>
    <w:rsid w:val="003B55F4"/>
    <w:rsid w:val="003C3DF8"/>
    <w:rsid w:val="003C4BD4"/>
    <w:rsid w:val="003C6689"/>
    <w:rsid w:val="003D28CD"/>
    <w:rsid w:val="003D3161"/>
    <w:rsid w:val="003D5EBA"/>
    <w:rsid w:val="003E07E4"/>
    <w:rsid w:val="003E347E"/>
    <w:rsid w:val="003E4D5E"/>
    <w:rsid w:val="003F1EBC"/>
    <w:rsid w:val="003F2634"/>
    <w:rsid w:val="003F4157"/>
    <w:rsid w:val="003F46EC"/>
    <w:rsid w:val="003F5791"/>
    <w:rsid w:val="00407EE5"/>
    <w:rsid w:val="00410083"/>
    <w:rsid w:val="00414892"/>
    <w:rsid w:val="00416652"/>
    <w:rsid w:val="00420F8B"/>
    <w:rsid w:val="004213D6"/>
    <w:rsid w:val="00421A51"/>
    <w:rsid w:val="00427342"/>
    <w:rsid w:val="004275C4"/>
    <w:rsid w:val="00431B20"/>
    <w:rsid w:val="004348A0"/>
    <w:rsid w:val="00443D16"/>
    <w:rsid w:val="0044580B"/>
    <w:rsid w:val="004475A7"/>
    <w:rsid w:val="00447BD1"/>
    <w:rsid w:val="00460B54"/>
    <w:rsid w:val="004643E4"/>
    <w:rsid w:val="00467551"/>
    <w:rsid w:val="00473A0F"/>
    <w:rsid w:val="00474062"/>
    <w:rsid w:val="00474B35"/>
    <w:rsid w:val="00474BBA"/>
    <w:rsid w:val="00474EFD"/>
    <w:rsid w:val="0048282D"/>
    <w:rsid w:val="004871BC"/>
    <w:rsid w:val="00491C8B"/>
    <w:rsid w:val="004947DF"/>
    <w:rsid w:val="004A29C0"/>
    <w:rsid w:val="004A4F86"/>
    <w:rsid w:val="004A50D7"/>
    <w:rsid w:val="004B12B1"/>
    <w:rsid w:val="004B474E"/>
    <w:rsid w:val="004B4F08"/>
    <w:rsid w:val="004B5C15"/>
    <w:rsid w:val="004B7BC6"/>
    <w:rsid w:val="004C0F07"/>
    <w:rsid w:val="004C2498"/>
    <w:rsid w:val="004C31B1"/>
    <w:rsid w:val="004D0D6F"/>
    <w:rsid w:val="004D0E0D"/>
    <w:rsid w:val="004D26F2"/>
    <w:rsid w:val="004D2D69"/>
    <w:rsid w:val="004D6C62"/>
    <w:rsid w:val="004E53EC"/>
    <w:rsid w:val="004E725A"/>
    <w:rsid w:val="00506007"/>
    <w:rsid w:val="005123F1"/>
    <w:rsid w:val="00512D38"/>
    <w:rsid w:val="00514284"/>
    <w:rsid w:val="00525C24"/>
    <w:rsid w:val="00536DAE"/>
    <w:rsid w:val="00537F3B"/>
    <w:rsid w:val="0054444A"/>
    <w:rsid w:val="0054568D"/>
    <w:rsid w:val="0054794D"/>
    <w:rsid w:val="0055071B"/>
    <w:rsid w:val="005515FD"/>
    <w:rsid w:val="00554E29"/>
    <w:rsid w:val="00556826"/>
    <w:rsid w:val="00556C02"/>
    <w:rsid w:val="005572BF"/>
    <w:rsid w:val="00561CC7"/>
    <w:rsid w:val="00564D4D"/>
    <w:rsid w:val="00566FE1"/>
    <w:rsid w:val="005679FB"/>
    <w:rsid w:val="0058136A"/>
    <w:rsid w:val="00583615"/>
    <w:rsid w:val="00584706"/>
    <w:rsid w:val="00585177"/>
    <w:rsid w:val="00585BDF"/>
    <w:rsid w:val="00587B05"/>
    <w:rsid w:val="00587E89"/>
    <w:rsid w:val="005905A9"/>
    <w:rsid w:val="00592E62"/>
    <w:rsid w:val="005A1150"/>
    <w:rsid w:val="005A375C"/>
    <w:rsid w:val="005A3E81"/>
    <w:rsid w:val="005A7B50"/>
    <w:rsid w:val="005B4481"/>
    <w:rsid w:val="005C0A67"/>
    <w:rsid w:val="005C65DC"/>
    <w:rsid w:val="005C6EAB"/>
    <w:rsid w:val="005E04BD"/>
    <w:rsid w:val="005E04C1"/>
    <w:rsid w:val="005E7138"/>
    <w:rsid w:val="005E73CB"/>
    <w:rsid w:val="005F0F69"/>
    <w:rsid w:val="005F5F6F"/>
    <w:rsid w:val="005F7891"/>
    <w:rsid w:val="00603261"/>
    <w:rsid w:val="00610416"/>
    <w:rsid w:val="006107E5"/>
    <w:rsid w:val="00612525"/>
    <w:rsid w:val="00613A30"/>
    <w:rsid w:val="00614067"/>
    <w:rsid w:val="0061481B"/>
    <w:rsid w:val="006178FE"/>
    <w:rsid w:val="00625777"/>
    <w:rsid w:val="006412B0"/>
    <w:rsid w:val="00643206"/>
    <w:rsid w:val="00643FAA"/>
    <w:rsid w:val="00646990"/>
    <w:rsid w:val="006506E9"/>
    <w:rsid w:val="00652B93"/>
    <w:rsid w:val="00653AB5"/>
    <w:rsid w:val="00656FC3"/>
    <w:rsid w:val="00661BB0"/>
    <w:rsid w:val="00665E7A"/>
    <w:rsid w:val="00666724"/>
    <w:rsid w:val="00667398"/>
    <w:rsid w:val="00675C70"/>
    <w:rsid w:val="00676414"/>
    <w:rsid w:val="00677755"/>
    <w:rsid w:val="00681BC7"/>
    <w:rsid w:val="00682C75"/>
    <w:rsid w:val="00683C64"/>
    <w:rsid w:val="00686F61"/>
    <w:rsid w:val="006902A8"/>
    <w:rsid w:val="00690F7C"/>
    <w:rsid w:val="00693C0C"/>
    <w:rsid w:val="0069536B"/>
    <w:rsid w:val="006A33A1"/>
    <w:rsid w:val="006A54A5"/>
    <w:rsid w:val="006A5A1D"/>
    <w:rsid w:val="006A5E33"/>
    <w:rsid w:val="006A6B6D"/>
    <w:rsid w:val="006A6EDC"/>
    <w:rsid w:val="006A7556"/>
    <w:rsid w:val="006B3850"/>
    <w:rsid w:val="006B509C"/>
    <w:rsid w:val="006B6B62"/>
    <w:rsid w:val="006C091D"/>
    <w:rsid w:val="006C6F15"/>
    <w:rsid w:val="006D0901"/>
    <w:rsid w:val="006D6E2C"/>
    <w:rsid w:val="006D7BCA"/>
    <w:rsid w:val="006E0AC8"/>
    <w:rsid w:val="006E3EEC"/>
    <w:rsid w:val="006E7F7A"/>
    <w:rsid w:val="006F0E63"/>
    <w:rsid w:val="006F36C8"/>
    <w:rsid w:val="006F4476"/>
    <w:rsid w:val="006F58DC"/>
    <w:rsid w:val="006F638A"/>
    <w:rsid w:val="006F6533"/>
    <w:rsid w:val="006F6B26"/>
    <w:rsid w:val="007029F4"/>
    <w:rsid w:val="00705539"/>
    <w:rsid w:val="00705CB7"/>
    <w:rsid w:val="007067F5"/>
    <w:rsid w:val="00707AD3"/>
    <w:rsid w:val="00711BB6"/>
    <w:rsid w:val="007235DA"/>
    <w:rsid w:val="007361E6"/>
    <w:rsid w:val="00737E26"/>
    <w:rsid w:val="00740191"/>
    <w:rsid w:val="00741330"/>
    <w:rsid w:val="007468D0"/>
    <w:rsid w:val="007604C0"/>
    <w:rsid w:val="00762A2E"/>
    <w:rsid w:val="0076448D"/>
    <w:rsid w:val="00765C0D"/>
    <w:rsid w:val="007820B7"/>
    <w:rsid w:val="00782AD6"/>
    <w:rsid w:val="0078615C"/>
    <w:rsid w:val="00787300"/>
    <w:rsid w:val="00793629"/>
    <w:rsid w:val="007959C5"/>
    <w:rsid w:val="00795C88"/>
    <w:rsid w:val="00796260"/>
    <w:rsid w:val="007975BF"/>
    <w:rsid w:val="007A78B1"/>
    <w:rsid w:val="007A7C92"/>
    <w:rsid w:val="007B043D"/>
    <w:rsid w:val="007B1484"/>
    <w:rsid w:val="007B23FA"/>
    <w:rsid w:val="007B6401"/>
    <w:rsid w:val="007B761C"/>
    <w:rsid w:val="007C294F"/>
    <w:rsid w:val="007C2AB2"/>
    <w:rsid w:val="007C3F1A"/>
    <w:rsid w:val="007C4F7C"/>
    <w:rsid w:val="007D298D"/>
    <w:rsid w:val="007D5EE7"/>
    <w:rsid w:val="007E09A2"/>
    <w:rsid w:val="007E4C20"/>
    <w:rsid w:val="007E6AE7"/>
    <w:rsid w:val="007F14F0"/>
    <w:rsid w:val="007F6D1E"/>
    <w:rsid w:val="007F77EE"/>
    <w:rsid w:val="00816558"/>
    <w:rsid w:val="0082472F"/>
    <w:rsid w:val="00832084"/>
    <w:rsid w:val="00835B49"/>
    <w:rsid w:val="00835D41"/>
    <w:rsid w:val="008363B1"/>
    <w:rsid w:val="0083794E"/>
    <w:rsid w:val="00842CED"/>
    <w:rsid w:val="00851A8A"/>
    <w:rsid w:val="0085322A"/>
    <w:rsid w:val="00863CEA"/>
    <w:rsid w:val="00872864"/>
    <w:rsid w:val="0088000E"/>
    <w:rsid w:val="00884837"/>
    <w:rsid w:val="00887698"/>
    <w:rsid w:val="00891EE4"/>
    <w:rsid w:val="008A054E"/>
    <w:rsid w:val="008A0ED2"/>
    <w:rsid w:val="008A5F0D"/>
    <w:rsid w:val="008A79EB"/>
    <w:rsid w:val="008B0131"/>
    <w:rsid w:val="008B0517"/>
    <w:rsid w:val="008B251D"/>
    <w:rsid w:val="008C701D"/>
    <w:rsid w:val="008E142F"/>
    <w:rsid w:val="008E4F1E"/>
    <w:rsid w:val="008F3822"/>
    <w:rsid w:val="008F437C"/>
    <w:rsid w:val="008F474D"/>
    <w:rsid w:val="008F539C"/>
    <w:rsid w:val="00900C2D"/>
    <w:rsid w:val="00901B18"/>
    <w:rsid w:val="00903FEF"/>
    <w:rsid w:val="00910080"/>
    <w:rsid w:val="00913663"/>
    <w:rsid w:val="00913B83"/>
    <w:rsid w:val="00916182"/>
    <w:rsid w:val="00916F79"/>
    <w:rsid w:val="0091715A"/>
    <w:rsid w:val="00917A84"/>
    <w:rsid w:val="0092186E"/>
    <w:rsid w:val="00921873"/>
    <w:rsid w:val="00922484"/>
    <w:rsid w:val="00932733"/>
    <w:rsid w:val="0093292B"/>
    <w:rsid w:val="00933E77"/>
    <w:rsid w:val="00937296"/>
    <w:rsid w:val="00937FB2"/>
    <w:rsid w:val="009438F1"/>
    <w:rsid w:val="0094605A"/>
    <w:rsid w:val="009570F6"/>
    <w:rsid w:val="0096495F"/>
    <w:rsid w:val="00967817"/>
    <w:rsid w:val="00974046"/>
    <w:rsid w:val="00974FFE"/>
    <w:rsid w:val="00977E65"/>
    <w:rsid w:val="00981406"/>
    <w:rsid w:val="00983365"/>
    <w:rsid w:val="00986C7A"/>
    <w:rsid w:val="0099559E"/>
    <w:rsid w:val="009956BD"/>
    <w:rsid w:val="009A4BD3"/>
    <w:rsid w:val="009A6449"/>
    <w:rsid w:val="009A7FAA"/>
    <w:rsid w:val="009B1AB1"/>
    <w:rsid w:val="009B1F2F"/>
    <w:rsid w:val="009B37F1"/>
    <w:rsid w:val="009B7DB9"/>
    <w:rsid w:val="009C4260"/>
    <w:rsid w:val="009C56F1"/>
    <w:rsid w:val="009C5A67"/>
    <w:rsid w:val="009D0DF3"/>
    <w:rsid w:val="009E0EE0"/>
    <w:rsid w:val="009E4484"/>
    <w:rsid w:val="009E7CE2"/>
    <w:rsid w:val="009F789F"/>
    <w:rsid w:val="00A05EDB"/>
    <w:rsid w:val="00A17DED"/>
    <w:rsid w:val="00A33D2C"/>
    <w:rsid w:val="00A43767"/>
    <w:rsid w:val="00A44F5C"/>
    <w:rsid w:val="00A45B2B"/>
    <w:rsid w:val="00A507D4"/>
    <w:rsid w:val="00A52A41"/>
    <w:rsid w:val="00A5539F"/>
    <w:rsid w:val="00A56156"/>
    <w:rsid w:val="00A569AF"/>
    <w:rsid w:val="00A7309E"/>
    <w:rsid w:val="00A74280"/>
    <w:rsid w:val="00A75E37"/>
    <w:rsid w:val="00A75F9B"/>
    <w:rsid w:val="00A84842"/>
    <w:rsid w:val="00A93743"/>
    <w:rsid w:val="00A938AA"/>
    <w:rsid w:val="00A955B2"/>
    <w:rsid w:val="00A95BC7"/>
    <w:rsid w:val="00AA0004"/>
    <w:rsid w:val="00AB2C4B"/>
    <w:rsid w:val="00AC4F70"/>
    <w:rsid w:val="00AD05C7"/>
    <w:rsid w:val="00AD2BA5"/>
    <w:rsid w:val="00AD58DA"/>
    <w:rsid w:val="00AD7B41"/>
    <w:rsid w:val="00AE1055"/>
    <w:rsid w:val="00AE1622"/>
    <w:rsid w:val="00AE3B34"/>
    <w:rsid w:val="00AE6700"/>
    <w:rsid w:val="00AF0DFD"/>
    <w:rsid w:val="00AF276F"/>
    <w:rsid w:val="00AF32CA"/>
    <w:rsid w:val="00AF5257"/>
    <w:rsid w:val="00AF5D25"/>
    <w:rsid w:val="00B00CCB"/>
    <w:rsid w:val="00B02CDF"/>
    <w:rsid w:val="00B031AC"/>
    <w:rsid w:val="00B03330"/>
    <w:rsid w:val="00B050B2"/>
    <w:rsid w:val="00B05BDF"/>
    <w:rsid w:val="00B13441"/>
    <w:rsid w:val="00B13755"/>
    <w:rsid w:val="00B13BF5"/>
    <w:rsid w:val="00B16C44"/>
    <w:rsid w:val="00B22B78"/>
    <w:rsid w:val="00B23A44"/>
    <w:rsid w:val="00B25FE0"/>
    <w:rsid w:val="00B26004"/>
    <w:rsid w:val="00B309AD"/>
    <w:rsid w:val="00B32F3A"/>
    <w:rsid w:val="00B371F2"/>
    <w:rsid w:val="00B42BBC"/>
    <w:rsid w:val="00B43126"/>
    <w:rsid w:val="00B46858"/>
    <w:rsid w:val="00B502F4"/>
    <w:rsid w:val="00B52F6A"/>
    <w:rsid w:val="00B535D4"/>
    <w:rsid w:val="00B62A89"/>
    <w:rsid w:val="00B63958"/>
    <w:rsid w:val="00B63D66"/>
    <w:rsid w:val="00B6696F"/>
    <w:rsid w:val="00B72081"/>
    <w:rsid w:val="00B74C07"/>
    <w:rsid w:val="00B76388"/>
    <w:rsid w:val="00B778DC"/>
    <w:rsid w:val="00B907E9"/>
    <w:rsid w:val="00B9738E"/>
    <w:rsid w:val="00BA359E"/>
    <w:rsid w:val="00BA5D83"/>
    <w:rsid w:val="00BA732C"/>
    <w:rsid w:val="00BB2369"/>
    <w:rsid w:val="00BB27D3"/>
    <w:rsid w:val="00BC1AA5"/>
    <w:rsid w:val="00BC5952"/>
    <w:rsid w:val="00BD20D4"/>
    <w:rsid w:val="00BD4685"/>
    <w:rsid w:val="00BD7C04"/>
    <w:rsid w:val="00BE3119"/>
    <w:rsid w:val="00BF0760"/>
    <w:rsid w:val="00BF2048"/>
    <w:rsid w:val="00BF2DC9"/>
    <w:rsid w:val="00BF3A41"/>
    <w:rsid w:val="00BF58A3"/>
    <w:rsid w:val="00C10C1A"/>
    <w:rsid w:val="00C11E39"/>
    <w:rsid w:val="00C16584"/>
    <w:rsid w:val="00C35974"/>
    <w:rsid w:val="00C41DD9"/>
    <w:rsid w:val="00C42955"/>
    <w:rsid w:val="00C445AF"/>
    <w:rsid w:val="00C47AE0"/>
    <w:rsid w:val="00C50484"/>
    <w:rsid w:val="00C56215"/>
    <w:rsid w:val="00C57001"/>
    <w:rsid w:val="00C661A3"/>
    <w:rsid w:val="00C701F4"/>
    <w:rsid w:val="00C73FB4"/>
    <w:rsid w:val="00C7403B"/>
    <w:rsid w:val="00C74211"/>
    <w:rsid w:val="00C76A52"/>
    <w:rsid w:val="00C77658"/>
    <w:rsid w:val="00C80218"/>
    <w:rsid w:val="00C84611"/>
    <w:rsid w:val="00C87C80"/>
    <w:rsid w:val="00C908A3"/>
    <w:rsid w:val="00C919EB"/>
    <w:rsid w:val="00C92FB3"/>
    <w:rsid w:val="00C95B77"/>
    <w:rsid w:val="00C97D87"/>
    <w:rsid w:val="00CA515A"/>
    <w:rsid w:val="00CA7159"/>
    <w:rsid w:val="00CB499A"/>
    <w:rsid w:val="00CB66AF"/>
    <w:rsid w:val="00CB6A58"/>
    <w:rsid w:val="00CC12C5"/>
    <w:rsid w:val="00CC3109"/>
    <w:rsid w:val="00CC5112"/>
    <w:rsid w:val="00CC7393"/>
    <w:rsid w:val="00CD69E2"/>
    <w:rsid w:val="00CE1210"/>
    <w:rsid w:val="00CE363D"/>
    <w:rsid w:val="00CE458A"/>
    <w:rsid w:val="00CE589C"/>
    <w:rsid w:val="00CE69A0"/>
    <w:rsid w:val="00CF1FF0"/>
    <w:rsid w:val="00CF62AF"/>
    <w:rsid w:val="00D04BCB"/>
    <w:rsid w:val="00D069E0"/>
    <w:rsid w:val="00D12804"/>
    <w:rsid w:val="00D1293D"/>
    <w:rsid w:val="00D13E3E"/>
    <w:rsid w:val="00D13EB6"/>
    <w:rsid w:val="00D15AEA"/>
    <w:rsid w:val="00D259B0"/>
    <w:rsid w:val="00D32291"/>
    <w:rsid w:val="00D34F1A"/>
    <w:rsid w:val="00D4452C"/>
    <w:rsid w:val="00D44F08"/>
    <w:rsid w:val="00D44F44"/>
    <w:rsid w:val="00D52B94"/>
    <w:rsid w:val="00D5397F"/>
    <w:rsid w:val="00D57258"/>
    <w:rsid w:val="00D60FD3"/>
    <w:rsid w:val="00D66CF9"/>
    <w:rsid w:val="00D72685"/>
    <w:rsid w:val="00D73979"/>
    <w:rsid w:val="00D73DCD"/>
    <w:rsid w:val="00D77561"/>
    <w:rsid w:val="00D81C13"/>
    <w:rsid w:val="00D83DF8"/>
    <w:rsid w:val="00D84EFE"/>
    <w:rsid w:val="00D90B20"/>
    <w:rsid w:val="00D90D3F"/>
    <w:rsid w:val="00DA30A3"/>
    <w:rsid w:val="00DA5F92"/>
    <w:rsid w:val="00DA61EE"/>
    <w:rsid w:val="00DB0A19"/>
    <w:rsid w:val="00DB0F92"/>
    <w:rsid w:val="00DB435E"/>
    <w:rsid w:val="00DC3D65"/>
    <w:rsid w:val="00DD20B6"/>
    <w:rsid w:val="00DD5BAC"/>
    <w:rsid w:val="00DD7E08"/>
    <w:rsid w:val="00DE09F3"/>
    <w:rsid w:val="00DE2A00"/>
    <w:rsid w:val="00DE315C"/>
    <w:rsid w:val="00DE65DE"/>
    <w:rsid w:val="00DF269E"/>
    <w:rsid w:val="00DF2F06"/>
    <w:rsid w:val="00DF6893"/>
    <w:rsid w:val="00DF6FDD"/>
    <w:rsid w:val="00E05766"/>
    <w:rsid w:val="00E12F3E"/>
    <w:rsid w:val="00E134FC"/>
    <w:rsid w:val="00E145D5"/>
    <w:rsid w:val="00E14C68"/>
    <w:rsid w:val="00E2020D"/>
    <w:rsid w:val="00E24DB9"/>
    <w:rsid w:val="00E30495"/>
    <w:rsid w:val="00E3229B"/>
    <w:rsid w:val="00E3254E"/>
    <w:rsid w:val="00E4101F"/>
    <w:rsid w:val="00E41A61"/>
    <w:rsid w:val="00E421F1"/>
    <w:rsid w:val="00E427AD"/>
    <w:rsid w:val="00E43213"/>
    <w:rsid w:val="00E473DF"/>
    <w:rsid w:val="00E52887"/>
    <w:rsid w:val="00E5496D"/>
    <w:rsid w:val="00E54B77"/>
    <w:rsid w:val="00E572B8"/>
    <w:rsid w:val="00E57C79"/>
    <w:rsid w:val="00E6166A"/>
    <w:rsid w:val="00E628E4"/>
    <w:rsid w:val="00E6293A"/>
    <w:rsid w:val="00E64D69"/>
    <w:rsid w:val="00E660DB"/>
    <w:rsid w:val="00E70565"/>
    <w:rsid w:val="00E76614"/>
    <w:rsid w:val="00E7681F"/>
    <w:rsid w:val="00E85FC4"/>
    <w:rsid w:val="00E86E99"/>
    <w:rsid w:val="00E95C6D"/>
    <w:rsid w:val="00E96CD0"/>
    <w:rsid w:val="00EA2521"/>
    <w:rsid w:val="00EA77CD"/>
    <w:rsid w:val="00EB1C23"/>
    <w:rsid w:val="00EB4721"/>
    <w:rsid w:val="00EB4C70"/>
    <w:rsid w:val="00EB6707"/>
    <w:rsid w:val="00EB72F4"/>
    <w:rsid w:val="00EC64A4"/>
    <w:rsid w:val="00EC6740"/>
    <w:rsid w:val="00EC6B73"/>
    <w:rsid w:val="00EC78E5"/>
    <w:rsid w:val="00ED054C"/>
    <w:rsid w:val="00ED1B78"/>
    <w:rsid w:val="00ED6142"/>
    <w:rsid w:val="00ED775E"/>
    <w:rsid w:val="00EE13D0"/>
    <w:rsid w:val="00EE3F60"/>
    <w:rsid w:val="00F02804"/>
    <w:rsid w:val="00F056D3"/>
    <w:rsid w:val="00F143E8"/>
    <w:rsid w:val="00F1554C"/>
    <w:rsid w:val="00F15932"/>
    <w:rsid w:val="00F16D34"/>
    <w:rsid w:val="00F16E34"/>
    <w:rsid w:val="00F17AE8"/>
    <w:rsid w:val="00F228B2"/>
    <w:rsid w:val="00F31C84"/>
    <w:rsid w:val="00F3430A"/>
    <w:rsid w:val="00F34864"/>
    <w:rsid w:val="00F410B1"/>
    <w:rsid w:val="00F42177"/>
    <w:rsid w:val="00F44DBA"/>
    <w:rsid w:val="00F46A61"/>
    <w:rsid w:val="00F55751"/>
    <w:rsid w:val="00F55790"/>
    <w:rsid w:val="00F56105"/>
    <w:rsid w:val="00F6142E"/>
    <w:rsid w:val="00F63D9C"/>
    <w:rsid w:val="00F66A77"/>
    <w:rsid w:val="00F671F6"/>
    <w:rsid w:val="00F70BDF"/>
    <w:rsid w:val="00F747D6"/>
    <w:rsid w:val="00F77BA0"/>
    <w:rsid w:val="00F80583"/>
    <w:rsid w:val="00F837D3"/>
    <w:rsid w:val="00F84B4A"/>
    <w:rsid w:val="00F86921"/>
    <w:rsid w:val="00F87F6F"/>
    <w:rsid w:val="00F952BC"/>
    <w:rsid w:val="00F958C2"/>
    <w:rsid w:val="00FA102A"/>
    <w:rsid w:val="00FA45CC"/>
    <w:rsid w:val="00FA4B96"/>
    <w:rsid w:val="00FC0A8D"/>
    <w:rsid w:val="00FD08BD"/>
    <w:rsid w:val="00FE5457"/>
    <w:rsid w:val="00FF1D20"/>
    <w:rsid w:val="00FF2A84"/>
    <w:rsid w:val="00FF36ED"/>
    <w:rsid w:val="00FF3B39"/>
    <w:rsid w:val="00FF4A08"/>
    <w:rsid w:val="00FF5465"/>
    <w:rsid w:val="00FF680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76DBAB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MS Mincho"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365B8F"/>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mmentartext">
    <w:name w:val="annotation text"/>
    <w:basedOn w:val="Standard"/>
    <w:link w:val="KommentartextZchn"/>
    <w:uiPriority w:val="99"/>
    <w:semiHidden/>
    <w:unhideWhenUsed/>
    <w:rsid w:val="00365B8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65B8F"/>
    <w:rPr>
      <w:sz w:val="20"/>
      <w:szCs w:val="20"/>
    </w:rPr>
  </w:style>
  <w:style w:type="character" w:styleId="Kommentarzeichen">
    <w:name w:val="annotation reference"/>
    <w:basedOn w:val="Absatz-Standardschriftart"/>
    <w:uiPriority w:val="99"/>
    <w:semiHidden/>
    <w:unhideWhenUsed/>
    <w:rsid w:val="00365B8F"/>
    <w:rPr>
      <w:sz w:val="18"/>
      <w:szCs w:val="18"/>
    </w:rPr>
  </w:style>
  <w:style w:type="paragraph" w:styleId="Sprechblasentext">
    <w:name w:val="Balloon Text"/>
    <w:basedOn w:val="Standard"/>
    <w:link w:val="SprechblasentextZchn"/>
    <w:uiPriority w:val="99"/>
    <w:semiHidden/>
    <w:unhideWhenUsed/>
    <w:rsid w:val="00365B8F"/>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65B8F"/>
    <w:rPr>
      <w:rFonts w:ascii="Tahoma" w:hAnsi="Tahoma" w:cs="Tahoma"/>
      <w:sz w:val="16"/>
      <w:szCs w:val="16"/>
    </w:rPr>
  </w:style>
  <w:style w:type="character" w:styleId="Zeilennummer">
    <w:name w:val="line number"/>
    <w:basedOn w:val="Absatz-Standardschriftart"/>
    <w:uiPriority w:val="99"/>
    <w:semiHidden/>
    <w:unhideWhenUsed/>
    <w:rsid w:val="0035483B"/>
  </w:style>
  <w:style w:type="paragraph" w:styleId="Kopfzeile">
    <w:name w:val="header"/>
    <w:basedOn w:val="Standard"/>
    <w:link w:val="KopfzeileZchn"/>
    <w:uiPriority w:val="99"/>
    <w:unhideWhenUsed/>
    <w:rsid w:val="006F638A"/>
    <w:pPr>
      <w:tabs>
        <w:tab w:val="center" w:pos="4703"/>
        <w:tab w:val="right" w:pos="9406"/>
      </w:tabs>
      <w:spacing w:after="0" w:line="240" w:lineRule="auto"/>
    </w:pPr>
  </w:style>
  <w:style w:type="character" w:customStyle="1" w:styleId="KopfzeileZchn">
    <w:name w:val="Kopfzeile Zchn"/>
    <w:basedOn w:val="Absatz-Standardschriftart"/>
    <w:link w:val="Kopfzeile"/>
    <w:uiPriority w:val="99"/>
    <w:rsid w:val="006F638A"/>
  </w:style>
  <w:style w:type="paragraph" w:styleId="Fuzeile">
    <w:name w:val="footer"/>
    <w:basedOn w:val="Standard"/>
    <w:link w:val="FuzeileZchn"/>
    <w:uiPriority w:val="99"/>
    <w:unhideWhenUsed/>
    <w:rsid w:val="006F638A"/>
    <w:pPr>
      <w:tabs>
        <w:tab w:val="center" w:pos="4703"/>
        <w:tab w:val="right" w:pos="9406"/>
      </w:tabs>
      <w:spacing w:after="0" w:line="240" w:lineRule="auto"/>
    </w:pPr>
  </w:style>
  <w:style w:type="character" w:customStyle="1" w:styleId="FuzeileZchn">
    <w:name w:val="Fußzeile Zchn"/>
    <w:basedOn w:val="Absatz-Standardschriftart"/>
    <w:link w:val="Fuzeile"/>
    <w:uiPriority w:val="99"/>
    <w:rsid w:val="006F638A"/>
  </w:style>
  <w:style w:type="paragraph" w:styleId="StandardWeb">
    <w:name w:val="Normal (Web)"/>
    <w:basedOn w:val="Standard"/>
    <w:uiPriority w:val="99"/>
    <w:semiHidden/>
    <w:unhideWhenUsed/>
    <w:rsid w:val="006F638A"/>
    <w:pPr>
      <w:spacing w:before="100" w:beforeAutospacing="1" w:after="100" w:afterAutospacing="1" w:line="240" w:lineRule="auto"/>
    </w:pPr>
    <w:rPr>
      <w:rFonts w:ascii="Times New Roman" w:eastAsiaTheme="minorEastAsia" w:hAnsi="Times New Roman" w:cs="Times New Roman"/>
      <w:sz w:val="24"/>
      <w:szCs w:val="24"/>
    </w:rPr>
  </w:style>
  <w:style w:type="table" w:styleId="Tabellenraster">
    <w:name w:val="Table Grid"/>
    <w:basedOn w:val="NormaleTabelle"/>
    <w:uiPriority w:val="59"/>
    <w:rsid w:val="007F6D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Standard"/>
    <w:link w:val="EndNoteBibliographyTitleZchn"/>
    <w:rsid w:val="00052C74"/>
    <w:pPr>
      <w:spacing w:after="0"/>
      <w:jc w:val="center"/>
    </w:pPr>
    <w:rPr>
      <w:rFonts w:ascii="Calibri" w:hAnsi="Calibri"/>
      <w:noProof/>
    </w:rPr>
  </w:style>
  <w:style w:type="character" w:customStyle="1" w:styleId="EndNoteBibliographyTitleZchn">
    <w:name w:val="EndNote Bibliography Title Zchn"/>
    <w:basedOn w:val="Absatz-Standardschriftart"/>
    <w:link w:val="EndNoteBibliographyTitle"/>
    <w:rsid w:val="00052C74"/>
    <w:rPr>
      <w:rFonts w:ascii="Calibri" w:hAnsi="Calibri"/>
      <w:noProof/>
    </w:rPr>
  </w:style>
  <w:style w:type="paragraph" w:customStyle="1" w:styleId="EndNoteBibliography">
    <w:name w:val="EndNote Bibliography"/>
    <w:basedOn w:val="Standard"/>
    <w:link w:val="EndNoteBibliographyZchn"/>
    <w:rsid w:val="00052C74"/>
    <w:pPr>
      <w:spacing w:line="240" w:lineRule="auto"/>
    </w:pPr>
    <w:rPr>
      <w:rFonts w:ascii="Calibri" w:hAnsi="Calibri"/>
      <w:noProof/>
    </w:rPr>
  </w:style>
  <w:style w:type="character" w:customStyle="1" w:styleId="EndNoteBibliographyZchn">
    <w:name w:val="EndNote Bibliography Zchn"/>
    <w:basedOn w:val="Absatz-Standardschriftart"/>
    <w:link w:val="EndNoteBibliography"/>
    <w:rsid w:val="00052C74"/>
    <w:rPr>
      <w:rFonts w:ascii="Calibri" w:hAnsi="Calibri"/>
      <w:noProof/>
    </w:rPr>
  </w:style>
  <w:style w:type="paragraph" w:styleId="Listenabsatz">
    <w:name w:val="List Paragraph"/>
    <w:basedOn w:val="Standard"/>
    <w:uiPriority w:val="34"/>
    <w:qFormat/>
    <w:rsid w:val="00374416"/>
    <w:pPr>
      <w:ind w:left="720"/>
      <w:contextualSpacing/>
    </w:pPr>
  </w:style>
  <w:style w:type="paragraph" w:styleId="Kommentarthema">
    <w:name w:val="annotation subject"/>
    <w:basedOn w:val="Kommentartext"/>
    <w:next w:val="Kommentartext"/>
    <w:link w:val="KommentarthemaZchn"/>
    <w:uiPriority w:val="99"/>
    <w:semiHidden/>
    <w:unhideWhenUsed/>
    <w:rsid w:val="006A33A1"/>
    <w:rPr>
      <w:b/>
      <w:bCs/>
    </w:rPr>
  </w:style>
  <w:style w:type="character" w:customStyle="1" w:styleId="KommentarthemaZchn">
    <w:name w:val="Kommentarthema Zchn"/>
    <w:basedOn w:val="KommentartextZchn"/>
    <w:link w:val="Kommentarthema"/>
    <w:uiPriority w:val="99"/>
    <w:semiHidden/>
    <w:rsid w:val="006A33A1"/>
    <w:rPr>
      <w:b/>
      <w:bCs/>
      <w:sz w:val="20"/>
      <w:szCs w:val="20"/>
    </w:rPr>
  </w:style>
  <w:style w:type="character" w:customStyle="1" w:styleId="5yl5">
    <w:name w:val="_5yl5"/>
    <w:basedOn w:val="Absatz-Standardschriftart"/>
    <w:rsid w:val="00677755"/>
  </w:style>
  <w:style w:type="character" w:styleId="Hyperlink">
    <w:name w:val="Hyperlink"/>
    <w:basedOn w:val="Absatz-Standardschriftart"/>
    <w:uiPriority w:val="99"/>
    <w:unhideWhenUsed/>
    <w:rsid w:val="00331C2F"/>
    <w:rPr>
      <w:color w:val="0000FF"/>
      <w:u w:val="single"/>
    </w:rPr>
  </w:style>
  <w:style w:type="character" w:customStyle="1" w:styleId="st">
    <w:name w:val="st"/>
    <w:basedOn w:val="Absatz-Standardschriftart"/>
    <w:rsid w:val="007D5EE7"/>
  </w:style>
  <w:style w:type="character" w:customStyle="1" w:styleId="mim-font">
    <w:name w:val="mim-font"/>
    <w:basedOn w:val="Absatz-Standardschriftart"/>
    <w:rsid w:val="00B2600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MS Mincho"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365B8F"/>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mmentartext">
    <w:name w:val="annotation text"/>
    <w:basedOn w:val="Standard"/>
    <w:link w:val="KommentartextZchn"/>
    <w:uiPriority w:val="99"/>
    <w:semiHidden/>
    <w:unhideWhenUsed/>
    <w:rsid w:val="00365B8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65B8F"/>
    <w:rPr>
      <w:sz w:val="20"/>
      <w:szCs w:val="20"/>
    </w:rPr>
  </w:style>
  <w:style w:type="character" w:styleId="Kommentarzeichen">
    <w:name w:val="annotation reference"/>
    <w:basedOn w:val="Absatz-Standardschriftart"/>
    <w:uiPriority w:val="99"/>
    <w:semiHidden/>
    <w:unhideWhenUsed/>
    <w:rsid w:val="00365B8F"/>
    <w:rPr>
      <w:sz w:val="18"/>
      <w:szCs w:val="18"/>
    </w:rPr>
  </w:style>
  <w:style w:type="paragraph" w:styleId="Sprechblasentext">
    <w:name w:val="Balloon Text"/>
    <w:basedOn w:val="Standard"/>
    <w:link w:val="SprechblasentextZchn"/>
    <w:uiPriority w:val="99"/>
    <w:semiHidden/>
    <w:unhideWhenUsed/>
    <w:rsid w:val="00365B8F"/>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65B8F"/>
    <w:rPr>
      <w:rFonts w:ascii="Tahoma" w:hAnsi="Tahoma" w:cs="Tahoma"/>
      <w:sz w:val="16"/>
      <w:szCs w:val="16"/>
    </w:rPr>
  </w:style>
  <w:style w:type="character" w:styleId="Zeilennummer">
    <w:name w:val="line number"/>
    <w:basedOn w:val="Absatz-Standardschriftart"/>
    <w:uiPriority w:val="99"/>
    <w:semiHidden/>
    <w:unhideWhenUsed/>
    <w:rsid w:val="0035483B"/>
  </w:style>
  <w:style w:type="paragraph" w:styleId="Kopfzeile">
    <w:name w:val="header"/>
    <w:basedOn w:val="Standard"/>
    <w:link w:val="KopfzeileZchn"/>
    <w:uiPriority w:val="99"/>
    <w:unhideWhenUsed/>
    <w:rsid w:val="006F638A"/>
    <w:pPr>
      <w:tabs>
        <w:tab w:val="center" w:pos="4703"/>
        <w:tab w:val="right" w:pos="9406"/>
      </w:tabs>
      <w:spacing w:after="0" w:line="240" w:lineRule="auto"/>
    </w:pPr>
  </w:style>
  <w:style w:type="character" w:customStyle="1" w:styleId="KopfzeileZchn">
    <w:name w:val="Kopfzeile Zchn"/>
    <w:basedOn w:val="Absatz-Standardschriftart"/>
    <w:link w:val="Kopfzeile"/>
    <w:uiPriority w:val="99"/>
    <w:rsid w:val="006F638A"/>
  </w:style>
  <w:style w:type="paragraph" w:styleId="Fuzeile">
    <w:name w:val="footer"/>
    <w:basedOn w:val="Standard"/>
    <w:link w:val="FuzeileZchn"/>
    <w:uiPriority w:val="99"/>
    <w:unhideWhenUsed/>
    <w:rsid w:val="006F638A"/>
    <w:pPr>
      <w:tabs>
        <w:tab w:val="center" w:pos="4703"/>
        <w:tab w:val="right" w:pos="9406"/>
      </w:tabs>
      <w:spacing w:after="0" w:line="240" w:lineRule="auto"/>
    </w:pPr>
  </w:style>
  <w:style w:type="character" w:customStyle="1" w:styleId="FuzeileZchn">
    <w:name w:val="Fußzeile Zchn"/>
    <w:basedOn w:val="Absatz-Standardschriftart"/>
    <w:link w:val="Fuzeile"/>
    <w:uiPriority w:val="99"/>
    <w:rsid w:val="006F638A"/>
  </w:style>
  <w:style w:type="paragraph" w:styleId="StandardWeb">
    <w:name w:val="Normal (Web)"/>
    <w:basedOn w:val="Standard"/>
    <w:uiPriority w:val="99"/>
    <w:semiHidden/>
    <w:unhideWhenUsed/>
    <w:rsid w:val="006F638A"/>
    <w:pPr>
      <w:spacing w:before="100" w:beforeAutospacing="1" w:after="100" w:afterAutospacing="1" w:line="240" w:lineRule="auto"/>
    </w:pPr>
    <w:rPr>
      <w:rFonts w:ascii="Times New Roman" w:eastAsiaTheme="minorEastAsia" w:hAnsi="Times New Roman" w:cs="Times New Roman"/>
      <w:sz w:val="24"/>
      <w:szCs w:val="24"/>
    </w:rPr>
  </w:style>
  <w:style w:type="table" w:styleId="Tabellenraster">
    <w:name w:val="Table Grid"/>
    <w:basedOn w:val="NormaleTabelle"/>
    <w:uiPriority w:val="59"/>
    <w:rsid w:val="007F6D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Standard"/>
    <w:link w:val="EndNoteBibliographyTitleZchn"/>
    <w:rsid w:val="00052C74"/>
    <w:pPr>
      <w:spacing w:after="0"/>
      <w:jc w:val="center"/>
    </w:pPr>
    <w:rPr>
      <w:rFonts w:ascii="Calibri" w:hAnsi="Calibri"/>
      <w:noProof/>
    </w:rPr>
  </w:style>
  <w:style w:type="character" w:customStyle="1" w:styleId="EndNoteBibliographyTitleZchn">
    <w:name w:val="EndNote Bibliography Title Zchn"/>
    <w:basedOn w:val="Absatz-Standardschriftart"/>
    <w:link w:val="EndNoteBibliographyTitle"/>
    <w:rsid w:val="00052C74"/>
    <w:rPr>
      <w:rFonts w:ascii="Calibri" w:hAnsi="Calibri"/>
      <w:noProof/>
    </w:rPr>
  </w:style>
  <w:style w:type="paragraph" w:customStyle="1" w:styleId="EndNoteBibliography">
    <w:name w:val="EndNote Bibliography"/>
    <w:basedOn w:val="Standard"/>
    <w:link w:val="EndNoteBibliographyZchn"/>
    <w:rsid w:val="00052C74"/>
    <w:pPr>
      <w:spacing w:line="240" w:lineRule="auto"/>
    </w:pPr>
    <w:rPr>
      <w:rFonts w:ascii="Calibri" w:hAnsi="Calibri"/>
      <w:noProof/>
    </w:rPr>
  </w:style>
  <w:style w:type="character" w:customStyle="1" w:styleId="EndNoteBibliographyZchn">
    <w:name w:val="EndNote Bibliography Zchn"/>
    <w:basedOn w:val="Absatz-Standardschriftart"/>
    <w:link w:val="EndNoteBibliography"/>
    <w:rsid w:val="00052C74"/>
    <w:rPr>
      <w:rFonts w:ascii="Calibri" w:hAnsi="Calibri"/>
      <w:noProof/>
    </w:rPr>
  </w:style>
  <w:style w:type="paragraph" w:styleId="Listenabsatz">
    <w:name w:val="List Paragraph"/>
    <w:basedOn w:val="Standard"/>
    <w:uiPriority w:val="34"/>
    <w:qFormat/>
    <w:rsid w:val="00374416"/>
    <w:pPr>
      <w:ind w:left="720"/>
      <w:contextualSpacing/>
    </w:pPr>
  </w:style>
  <w:style w:type="paragraph" w:styleId="Kommentarthema">
    <w:name w:val="annotation subject"/>
    <w:basedOn w:val="Kommentartext"/>
    <w:next w:val="Kommentartext"/>
    <w:link w:val="KommentarthemaZchn"/>
    <w:uiPriority w:val="99"/>
    <w:semiHidden/>
    <w:unhideWhenUsed/>
    <w:rsid w:val="006A33A1"/>
    <w:rPr>
      <w:b/>
      <w:bCs/>
    </w:rPr>
  </w:style>
  <w:style w:type="character" w:customStyle="1" w:styleId="KommentarthemaZchn">
    <w:name w:val="Kommentarthema Zchn"/>
    <w:basedOn w:val="KommentartextZchn"/>
    <w:link w:val="Kommentarthema"/>
    <w:uiPriority w:val="99"/>
    <w:semiHidden/>
    <w:rsid w:val="006A33A1"/>
    <w:rPr>
      <w:b/>
      <w:bCs/>
      <w:sz w:val="20"/>
      <w:szCs w:val="20"/>
    </w:rPr>
  </w:style>
  <w:style w:type="character" w:customStyle="1" w:styleId="5yl5">
    <w:name w:val="_5yl5"/>
    <w:basedOn w:val="Absatz-Standardschriftart"/>
    <w:rsid w:val="00677755"/>
  </w:style>
  <w:style w:type="character" w:styleId="Hyperlink">
    <w:name w:val="Hyperlink"/>
    <w:basedOn w:val="Absatz-Standardschriftart"/>
    <w:uiPriority w:val="99"/>
    <w:unhideWhenUsed/>
    <w:rsid w:val="00331C2F"/>
    <w:rPr>
      <w:color w:val="0000FF"/>
      <w:u w:val="single"/>
    </w:rPr>
  </w:style>
  <w:style w:type="character" w:customStyle="1" w:styleId="st">
    <w:name w:val="st"/>
    <w:basedOn w:val="Absatz-Standardschriftart"/>
    <w:rsid w:val="007D5EE7"/>
  </w:style>
  <w:style w:type="character" w:customStyle="1" w:styleId="mim-font">
    <w:name w:val="mim-font"/>
    <w:basedOn w:val="Absatz-Standardschriftart"/>
    <w:rsid w:val="00B260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88623">
      <w:bodyDiv w:val="1"/>
      <w:marLeft w:val="0"/>
      <w:marRight w:val="0"/>
      <w:marTop w:val="0"/>
      <w:marBottom w:val="0"/>
      <w:divBdr>
        <w:top w:val="none" w:sz="0" w:space="0" w:color="auto"/>
        <w:left w:val="none" w:sz="0" w:space="0" w:color="auto"/>
        <w:bottom w:val="none" w:sz="0" w:space="0" w:color="auto"/>
        <w:right w:val="none" w:sz="0" w:space="0" w:color="auto"/>
      </w:divBdr>
    </w:div>
    <w:div w:id="25521356">
      <w:bodyDiv w:val="1"/>
      <w:marLeft w:val="0"/>
      <w:marRight w:val="0"/>
      <w:marTop w:val="0"/>
      <w:marBottom w:val="0"/>
      <w:divBdr>
        <w:top w:val="none" w:sz="0" w:space="0" w:color="auto"/>
        <w:left w:val="none" w:sz="0" w:space="0" w:color="auto"/>
        <w:bottom w:val="none" w:sz="0" w:space="0" w:color="auto"/>
        <w:right w:val="none" w:sz="0" w:space="0" w:color="auto"/>
      </w:divBdr>
    </w:div>
    <w:div w:id="54551935">
      <w:bodyDiv w:val="1"/>
      <w:marLeft w:val="0"/>
      <w:marRight w:val="0"/>
      <w:marTop w:val="0"/>
      <w:marBottom w:val="0"/>
      <w:divBdr>
        <w:top w:val="none" w:sz="0" w:space="0" w:color="auto"/>
        <w:left w:val="none" w:sz="0" w:space="0" w:color="auto"/>
        <w:bottom w:val="none" w:sz="0" w:space="0" w:color="auto"/>
        <w:right w:val="none" w:sz="0" w:space="0" w:color="auto"/>
      </w:divBdr>
    </w:div>
    <w:div w:id="151024816">
      <w:bodyDiv w:val="1"/>
      <w:marLeft w:val="0"/>
      <w:marRight w:val="0"/>
      <w:marTop w:val="0"/>
      <w:marBottom w:val="0"/>
      <w:divBdr>
        <w:top w:val="none" w:sz="0" w:space="0" w:color="auto"/>
        <w:left w:val="none" w:sz="0" w:space="0" w:color="auto"/>
        <w:bottom w:val="none" w:sz="0" w:space="0" w:color="auto"/>
        <w:right w:val="none" w:sz="0" w:space="0" w:color="auto"/>
      </w:divBdr>
    </w:div>
    <w:div w:id="180749050">
      <w:bodyDiv w:val="1"/>
      <w:marLeft w:val="0"/>
      <w:marRight w:val="0"/>
      <w:marTop w:val="0"/>
      <w:marBottom w:val="0"/>
      <w:divBdr>
        <w:top w:val="none" w:sz="0" w:space="0" w:color="auto"/>
        <w:left w:val="none" w:sz="0" w:space="0" w:color="auto"/>
        <w:bottom w:val="none" w:sz="0" w:space="0" w:color="auto"/>
        <w:right w:val="none" w:sz="0" w:space="0" w:color="auto"/>
      </w:divBdr>
    </w:div>
    <w:div w:id="191502248">
      <w:bodyDiv w:val="1"/>
      <w:marLeft w:val="0"/>
      <w:marRight w:val="0"/>
      <w:marTop w:val="0"/>
      <w:marBottom w:val="0"/>
      <w:divBdr>
        <w:top w:val="none" w:sz="0" w:space="0" w:color="auto"/>
        <w:left w:val="none" w:sz="0" w:space="0" w:color="auto"/>
        <w:bottom w:val="none" w:sz="0" w:space="0" w:color="auto"/>
        <w:right w:val="none" w:sz="0" w:space="0" w:color="auto"/>
      </w:divBdr>
    </w:div>
    <w:div w:id="292253436">
      <w:bodyDiv w:val="1"/>
      <w:marLeft w:val="0"/>
      <w:marRight w:val="0"/>
      <w:marTop w:val="0"/>
      <w:marBottom w:val="0"/>
      <w:divBdr>
        <w:top w:val="none" w:sz="0" w:space="0" w:color="auto"/>
        <w:left w:val="none" w:sz="0" w:space="0" w:color="auto"/>
        <w:bottom w:val="none" w:sz="0" w:space="0" w:color="auto"/>
        <w:right w:val="none" w:sz="0" w:space="0" w:color="auto"/>
      </w:divBdr>
    </w:div>
    <w:div w:id="309527637">
      <w:bodyDiv w:val="1"/>
      <w:marLeft w:val="0"/>
      <w:marRight w:val="0"/>
      <w:marTop w:val="0"/>
      <w:marBottom w:val="0"/>
      <w:divBdr>
        <w:top w:val="none" w:sz="0" w:space="0" w:color="auto"/>
        <w:left w:val="none" w:sz="0" w:space="0" w:color="auto"/>
        <w:bottom w:val="none" w:sz="0" w:space="0" w:color="auto"/>
        <w:right w:val="none" w:sz="0" w:space="0" w:color="auto"/>
      </w:divBdr>
    </w:div>
    <w:div w:id="332228289">
      <w:bodyDiv w:val="1"/>
      <w:marLeft w:val="0"/>
      <w:marRight w:val="0"/>
      <w:marTop w:val="0"/>
      <w:marBottom w:val="0"/>
      <w:divBdr>
        <w:top w:val="none" w:sz="0" w:space="0" w:color="auto"/>
        <w:left w:val="none" w:sz="0" w:space="0" w:color="auto"/>
        <w:bottom w:val="none" w:sz="0" w:space="0" w:color="auto"/>
        <w:right w:val="none" w:sz="0" w:space="0" w:color="auto"/>
      </w:divBdr>
    </w:div>
    <w:div w:id="365764670">
      <w:bodyDiv w:val="1"/>
      <w:marLeft w:val="0"/>
      <w:marRight w:val="0"/>
      <w:marTop w:val="0"/>
      <w:marBottom w:val="0"/>
      <w:divBdr>
        <w:top w:val="none" w:sz="0" w:space="0" w:color="auto"/>
        <w:left w:val="none" w:sz="0" w:space="0" w:color="auto"/>
        <w:bottom w:val="none" w:sz="0" w:space="0" w:color="auto"/>
        <w:right w:val="none" w:sz="0" w:space="0" w:color="auto"/>
      </w:divBdr>
    </w:div>
    <w:div w:id="370502109">
      <w:bodyDiv w:val="1"/>
      <w:marLeft w:val="0"/>
      <w:marRight w:val="0"/>
      <w:marTop w:val="0"/>
      <w:marBottom w:val="0"/>
      <w:divBdr>
        <w:top w:val="none" w:sz="0" w:space="0" w:color="auto"/>
        <w:left w:val="none" w:sz="0" w:space="0" w:color="auto"/>
        <w:bottom w:val="none" w:sz="0" w:space="0" w:color="auto"/>
        <w:right w:val="none" w:sz="0" w:space="0" w:color="auto"/>
      </w:divBdr>
    </w:div>
    <w:div w:id="562329749">
      <w:bodyDiv w:val="1"/>
      <w:marLeft w:val="0"/>
      <w:marRight w:val="0"/>
      <w:marTop w:val="0"/>
      <w:marBottom w:val="0"/>
      <w:divBdr>
        <w:top w:val="none" w:sz="0" w:space="0" w:color="auto"/>
        <w:left w:val="none" w:sz="0" w:space="0" w:color="auto"/>
        <w:bottom w:val="none" w:sz="0" w:space="0" w:color="auto"/>
        <w:right w:val="none" w:sz="0" w:space="0" w:color="auto"/>
      </w:divBdr>
    </w:div>
    <w:div w:id="659431325">
      <w:bodyDiv w:val="1"/>
      <w:marLeft w:val="0"/>
      <w:marRight w:val="0"/>
      <w:marTop w:val="0"/>
      <w:marBottom w:val="0"/>
      <w:divBdr>
        <w:top w:val="none" w:sz="0" w:space="0" w:color="auto"/>
        <w:left w:val="none" w:sz="0" w:space="0" w:color="auto"/>
        <w:bottom w:val="none" w:sz="0" w:space="0" w:color="auto"/>
        <w:right w:val="none" w:sz="0" w:space="0" w:color="auto"/>
      </w:divBdr>
    </w:div>
    <w:div w:id="697269616">
      <w:bodyDiv w:val="1"/>
      <w:marLeft w:val="0"/>
      <w:marRight w:val="0"/>
      <w:marTop w:val="0"/>
      <w:marBottom w:val="0"/>
      <w:divBdr>
        <w:top w:val="none" w:sz="0" w:space="0" w:color="auto"/>
        <w:left w:val="none" w:sz="0" w:space="0" w:color="auto"/>
        <w:bottom w:val="none" w:sz="0" w:space="0" w:color="auto"/>
        <w:right w:val="none" w:sz="0" w:space="0" w:color="auto"/>
      </w:divBdr>
    </w:div>
    <w:div w:id="708799792">
      <w:bodyDiv w:val="1"/>
      <w:marLeft w:val="0"/>
      <w:marRight w:val="0"/>
      <w:marTop w:val="0"/>
      <w:marBottom w:val="0"/>
      <w:divBdr>
        <w:top w:val="none" w:sz="0" w:space="0" w:color="auto"/>
        <w:left w:val="none" w:sz="0" w:space="0" w:color="auto"/>
        <w:bottom w:val="none" w:sz="0" w:space="0" w:color="auto"/>
        <w:right w:val="none" w:sz="0" w:space="0" w:color="auto"/>
      </w:divBdr>
    </w:div>
    <w:div w:id="711274559">
      <w:bodyDiv w:val="1"/>
      <w:marLeft w:val="0"/>
      <w:marRight w:val="0"/>
      <w:marTop w:val="0"/>
      <w:marBottom w:val="0"/>
      <w:divBdr>
        <w:top w:val="none" w:sz="0" w:space="0" w:color="auto"/>
        <w:left w:val="none" w:sz="0" w:space="0" w:color="auto"/>
        <w:bottom w:val="none" w:sz="0" w:space="0" w:color="auto"/>
        <w:right w:val="none" w:sz="0" w:space="0" w:color="auto"/>
      </w:divBdr>
    </w:div>
    <w:div w:id="721827802">
      <w:bodyDiv w:val="1"/>
      <w:marLeft w:val="0"/>
      <w:marRight w:val="0"/>
      <w:marTop w:val="0"/>
      <w:marBottom w:val="0"/>
      <w:divBdr>
        <w:top w:val="none" w:sz="0" w:space="0" w:color="auto"/>
        <w:left w:val="none" w:sz="0" w:space="0" w:color="auto"/>
        <w:bottom w:val="none" w:sz="0" w:space="0" w:color="auto"/>
        <w:right w:val="none" w:sz="0" w:space="0" w:color="auto"/>
      </w:divBdr>
    </w:div>
    <w:div w:id="842359872">
      <w:bodyDiv w:val="1"/>
      <w:marLeft w:val="0"/>
      <w:marRight w:val="0"/>
      <w:marTop w:val="0"/>
      <w:marBottom w:val="0"/>
      <w:divBdr>
        <w:top w:val="none" w:sz="0" w:space="0" w:color="auto"/>
        <w:left w:val="none" w:sz="0" w:space="0" w:color="auto"/>
        <w:bottom w:val="none" w:sz="0" w:space="0" w:color="auto"/>
        <w:right w:val="none" w:sz="0" w:space="0" w:color="auto"/>
      </w:divBdr>
    </w:div>
    <w:div w:id="846022320">
      <w:bodyDiv w:val="1"/>
      <w:marLeft w:val="0"/>
      <w:marRight w:val="0"/>
      <w:marTop w:val="0"/>
      <w:marBottom w:val="0"/>
      <w:divBdr>
        <w:top w:val="none" w:sz="0" w:space="0" w:color="auto"/>
        <w:left w:val="none" w:sz="0" w:space="0" w:color="auto"/>
        <w:bottom w:val="none" w:sz="0" w:space="0" w:color="auto"/>
        <w:right w:val="none" w:sz="0" w:space="0" w:color="auto"/>
      </w:divBdr>
    </w:div>
    <w:div w:id="847334014">
      <w:bodyDiv w:val="1"/>
      <w:marLeft w:val="0"/>
      <w:marRight w:val="0"/>
      <w:marTop w:val="0"/>
      <w:marBottom w:val="0"/>
      <w:divBdr>
        <w:top w:val="none" w:sz="0" w:space="0" w:color="auto"/>
        <w:left w:val="none" w:sz="0" w:space="0" w:color="auto"/>
        <w:bottom w:val="none" w:sz="0" w:space="0" w:color="auto"/>
        <w:right w:val="none" w:sz="0" w:space="0" w:color="auto"/>
      </w:divBdr>
    </w:div>
    <w:div w:id="994647749">
      <w:bodyDiv w:val="1"/>
      <w:marLeft w:val="0"/>
      <w:marRight w:val="0"/>
      <w:marTop w:val="0"/>
      <w:marBottom w:val="0"/>
      <w:divBdr>
        <w:top w:val="none" w:sz="0" w:space="0" w:color="auto"/>
        <w:left w:val="none" w:sz="0" w:space="0" w:color="auto"/>
        <w:bottom w:val="none" w:sz="0" w:space="0" w:color="auto"/>
        <w:right w:val="none" w:sz="0" w:space="0" w:color="auto"/>
      </w:divBdr>
    </w:div>
    <w:div w:id="1137062832">
      <w:bodyDiv w:val="1"/>
      <w:marLeft w:val="0"/>
      <w:marRight w:val="0"/>
      <w:marTop w:val="0"/>
      <w:marBottom w:val="0"/>
      <w:divBdr>
        <w:top w:val="none" w:sz="0" w:space="0" w:color="auto"/>
        <w:left w:val="none" w:sz="0" w:space="0" w:color="auto"/>
        <w:bottom w:val="none" w:sz="0" w:space="0" w:color="auto"/>
        <w:right w:val="none" w:sz="0" w:space="0" w:color="auto"/>
      </w:divBdr>
    </w:div>
    <w:div w:id="1142190773">
      <w:bodyDiv w:val="1"/>
      <w:marLeft w:val="0"/>
      <w:marRight w:val="0"/>
      <w:marTop w:val="0"/>
      <w:marBottom w:val="0"/>
      <w:divBdr>
        <w:top w:val="none" w:sz="0" w:space="0" w:color="auto"/>
        <w:left w:val="none" w:sz="0" w:space="0" w:color="auto"/>
        <w:bottom w:val="none" w:sz="0" w:space="0" w:color="auto"/>
        <w:right w:val="none" w:sz="0" w:space="0" w:color="auto"/>
      </w:divBdr>
    </w:div>
    <w:div w:id="1161696068">
      <w:bodyDiv w:val="1"/>
      <w:marLeft w:val="0"/>
      <w:marRight w:val="0"/>
      <w:marTop w:val="0"/>
      <w:marBottom w:val="0"/>
      <w:divBdr>
        <w:top w:val="none" w:sz="0" w:space="0" w:color="auto"/>
        <w:left w:val="none" w:sz="0" w:space="0" w:color="auto"/>
        <w:bottom w:val="none" w:sz="0" w:space="0" w:color="auto"/>
        <w:right w:val="none" w:sz="0" w:space="0" w:color="auto"/>
      </w:divBdr>
    </w:div>
    <w:div w:id="1180435406">
      <w:bodyDiv w:val="1"/>
      <w:marLeft w:val="0"/>
      <w:marRight w:val="0"/>
      <w:marTop w:val="0"/>
      <w:marBottom w:val="0"/>
      <w:divBdr>
        <w:top w:val="none" w:sz="0" w:space="0" w:color="auto"/>
        <w:left w:val="none" w:sz="0" w:space="0" w:color="auto"/>
        <w:bottom w:val="none" w:sz="0" w:space="0" w:color="auto"/>
        <w:right w:val="none" w:sz="0" w:space="0" w:color="auto"/>
      </w:divBdr>
    </w:div>
    <w:div w:id="1209537418">
      <w:bodyDiv w:val="1"/>
      <w:marLeft w:val="0"/>
      <w:marRight w:val="0"/>
      <w:marTop w:val="0"/>
      <w:marBottom w:val="0"/>
      <w:divBdr>
        <w:top w:val="none" w:sz="0" w:space="0" w:color="auto"/>
        <w:left w:val="none" w:sz="0" w:space="0" w:color="auto"/>
        <w:bottom w:val="none" w:sz="0" w:space="0" w:color="auto"/>
        <w:right w:val="none" w:sz="0" w:space="0" w:color="auto"/>
      </w:divBdr>
    </w:div>
    <w:div w:id="1221213706">
      <w:bodyDiv w:val="1"/>
      <w:marLeft w:val="0"/>
      <w:marRight w:val="0"/>
      <w:marTop w:val="0"/>
      <w:marBottom w:val="0"/>
      <w:divBdr>
        <w:top w:val="none" w:sz="0" w:space="0" w:color="auto"/>
        <w:left w:val="none" w:sz="0" w:space="0" w:color="auto"/>
        <w:bottom w:val="none" w:sz="0" w:space="0" w:color="auto"/>
        <w:right w:val="none" w:sz="0" w:space="0" w:color="auto"/>
      </w:divBdr>
    </w:div>
    <w:div w:id="1227300727">
      <w:bodyDiv w:val="1"/>
      <w:marLeft w:val="0"/>
      <w:marRight w:val="0"/>
      <w:marTop w:val="0"/>
      <w:marBottom w:val="0"/>
      <w:divBdr>
        <w:top w:val="none" w:sz="0" w:space="0" w:color="auto"/>
        <w:left w:val="none" w:sz="0" w:space="0" w:color="auto"/>
        <w:bottom w:val="none" w:sz="0" w:space="0" w:color="auto"/>
        <w:right w:val="none" w:sz="0" w:space="0" w:color="auto"/>
      </w:divBdr>
    </w:div>
    <w:div w:id="1294217912">
      <w:bodyDiv w:val="1"/>
      <w:marLeft w:val="0"/>
      <w:marRight w:val="0"/>
      <w:marTop w:val="0"/>
      <w:marBottom w:val="0"/>
      <w:divBdr>
        <w:top w:val="none" w:sz="0" w:space="0" w:color="auto"/>
        <w:left w:val="none" w:sz="0" w:space="0" w:color="auto"/>
        <w:bottom w:val="none" w:sz="0" w:space="0" w:color="auto"/>
        <w:right w:val="none" w:sz="0" w:space="0" w:color="auto"/>
      </w:divBdr>
    </w:div>
    <w:div w:id="1313873972">
      <w:bodyDiv w:val="1"/>
      <w:marLeft w:val="0"/>
      <w:marRight w:val="0"/>
      <w:marTop w:val="0"/>
      <w:marBottom w:val="0"/>
      <w:divBdr>
        <w:top w:val="none" w:sz="0" w:space="0" w:color="auto"/>
        <w:left w:val="none" w:sz="0" w:space="0" w:color="auto"/>
        <w:bottom w:val="none" w:sz="0" w:space="0" w:color="auto"/>
        <w:right w:val="none" w:sz="0" w:space="0" w:color="auto"/>
      </w:divBdr>
    </w:div>
    <w:div w:id="1371341084">
      <w:bodyDiv w:val="1"/>
      <w:marLeft w:val="0"/>
      <w:marRight w:val="0"/>
      <w:marTop w:val="0"/>
      <w:marBottom w:val="0"/>
      <w:divBdr>
        <w:top w:val="none" w:sz="0" w:space="0" w:color="auto"/>
        <w:left w:val="none" w:sz="0" w:space="0" w:color="auto"/>
        <w:bottom w:val="none" w:sz="0" w:space="0" w:color="auto"/>
        <w:right w:val="none" w:sz="0" w:space="0" w:color="auto"/>
      </w:divBdr>
    </w:div>
    <w:div w:id="1429695170">
      <w:bodyDiv w:val="1"/>
      <w:marLeft w:val="0"/>
      <w:marRight w:val="0"/>
      <w:marTop w:val="0"/>
      <w:marBottom w:val="0"/>
      <w:divBdr>
        <w:top w:val="none" w:sz="0" w:space="0" w:color="auto"/>
        <w:left w:val="none" w:sz="0" w:space="0" w:color="auto"/>
        <w:bottom w:val="none" w:sz="0" w:space="0" w:color="auto"/>
        <w:right w:val="none" w:sz="0" w:space="0" w:color="auto"/>
      </w:divBdr>
    </w:div>
    <w:div w:id="1487435652">
      <w:bodyDiv w:val="1"/>
      <w:marLeft w:val="0"/>
      <w:marRight w:val="0"/>
      <w:marTop w:val="0"/>
      <w:marBottom w:val="0"/>
      <w:divBdr>
        <w:top w:val="none" w:sz="0" w:space="0" w:color="auto"/>
        <w:left w:val="none" w:sz="0" w:space="0" w:color="auto"/>
        <w:bottom w:val="none" w:sz="0" w:space="0" w:color="auto"/>
        <w:right w:val="none" w:sz="0" w:space="0" w:color="auto"/>
      </w:divBdr>
    </w:div>
    <w:div w:id="1500804921">
      <w:bodyDiv w:val="1"/>
      <w:marLeft w:val="0"/>
      <w:marRight w:val="0"/>
      <w:marTop w:val="0"/>
      <w:marBottom w:val="0"/>
      <w:divBdr>
        <w:top w:val="none" w:sz="0" w:space="0" w:color="auto"/>
        <w:left w:val="none" w:sz="0" w:space="0" w:color="auto"/>
        <w:bottom w:val="none" w:sz="0" w:space="0" w:color="auto"/>
        <w:right w:val="none" w:sz="0" w:space="0" w:color="auto"/>
      </w:divBdr>
    </w:div>
    <w:div w:id="1525828082">
      <w:bodyDiv w:val="1"/>
      <w:marLeft w:val="0"/>
      <w:marRight w:val="0"/>
      <w:marTop w:val="0"/>
      <w:marBottom w:val="0"/>
      <w:divBdr>
        <w:top w:val="none" w:sz="0" w:space="0" w:color="auto"/>
        <w:left w:val="none" w:sz="0" w:space="0" w:color="auto"/>
        <w:bottom w:val="none" w:sz="0" w:space="0" w:color="auto"/>
        <w:right w:val="none" w:sz="0" w:space="0" w:color="auto"/>
      </w:divBdr>
    </w:div>
    <w:div w:id="1531645537">
      <w:bodyDiv w:val="1"/>
      <w:marLeft w:val="0"/>
      <w:marRight w:val="0"/>
      <w:marTop w:val="0"/>
      <w:marBottom w:val="0"/>
      <w:divBdr>
        <w:top w:val="none" w:sz="0" w:space="0" w:color="auto"/>
        <w:left w:val="none" w:sz="0" w:space="0" w:color="auto"/>
        <w:bottom w:val="none" w:sz="0" w:space="0" w:color="auto"/>
        <w:right w:val="none" w:sz="0" w:space="0" w:color="auto"/>
      </w:divBdr>
    </w:div>
    <w:div w:id="1549761426">
      <w:bodyDiv w:val="1"/>
      <w:marLeft w:val="0"/>
      <w:marRight w:val="0"/>
      <w:marTop w:val="0"/>
      <w:marBottom w:val="0"/>
      <w:divBdr>
        <w:top w:val="none" w:sz="0" w:space="0" w:color="auto"/>
        <w:left w:val="none" w:sz="0" w:space="0" w:color="auto"/>
        <w:bottom w:val="none" w:sz="0" w:space="0" w:color="auto"/>
        <w:right w:val="none" w:sz="0" w:space="0" w:color="auto"/>
      </w:divBdr>
    </w:div>
    <w:div w:id="1560356716">
      <w:bodyDiv w:val="1"/>
      <w:marLeft w:val="0"/>
      <w:marRight w:val="0"/>
      <w:marTop w:val="0"/>
      <w:marBottom w:val="0"/>
      <w:divBdr>
        <w:top w:val="none" w:sz="0" w:space="0" w:color="auto"/>
        <w:left w:val="none" w:sz="0" w:space="0" w:color="auto"/>
        <w:bottom w:val="none" w:sz="0" w:space="0" w:color="auto"/>
        <w:right w:val="none" w:sz="0" w:space="0" w:color="auto"/>
      </w:divBdr>
    </w:div>
    <w:div w:id="1605335474">
      <w:bodyDiv w:val="1"/>
      <w:marLeft w:val="0"/>
      <w:marRight w:val="0"/>
      <w:marTop w:val="0"/>
      <w:marBottom w:val="0"/>
      <w:divBdr>
        <w:top w:val="none" w:sz="0" w:space="0" w:color="auto"/>
        <w:left w:val="none" w:sz="0" w:space="0" w:color="auto"/>
        <w:bottom w:val="none" w:sz="0" w:space="0" w:color="auto"/>
        <w:right w:val="none" w:sz="0" w:space="0" w:color="auto"/>
      </w:divBdr>
    </w:div>
    <w:div w:id="1606425538">
      <w:bodyDiv w:val="1"/>
      <w:marLeft w:val="0"/>
      <w:marRight w:val="0"/>
      <w:marTop w:val="0"/>
      <w:marBottom w:val="0"/>
      <w:divBdr>
        <w:top w:val="none" w:sz="0" w:space="0" w:color="auto"/>
        <w:left w:val="none" w:sz="0" w:space="0" w:color="auto"/>
        <w:bottom w:val="none" w:sz="0" w:space="0" w:color="auto"/>
        <w:right w:val="none" w:sz="0" w:space="0" w:color="auto"/>
      </w:divBdr>
    </w:div>
    <w:div w:id="1632442245">
      <w:bodyDiv w:val="1"/>
      <w:marLeft w:val="0"/>
      <w:marRight w:val="0"/>
      <w:marTop w:val="0"/>
      <w:marBottom w:val="0"/>
      <w:divBdr>
        <w:top w:val="none" w:sz="0" w:space="0" w:color="auto"/>
        <w:left w:val="none" w:sz="0" w:space="0" w:color="auto"/>
        <w:bottom w:val="none" w:sz="0" w:space="0" w:color="auto"/>
        <w:right w:val="none" w:sz="0" w:space="0" w:color="auto"/>
      </w:divBdr>
    </w:div>
    <w:div w:id="1694769809">
      <w:bodyDiv w:val="1"/>
      <w:marLeft w:val="0"/>
      <w:marRight w:val="0"/>
      <w:marTop w:val="0"/>
      <w:marBottom w:val="0"/>
      <w:divBdr>
        <w:top w:val="none" w:sz="0" w:space="0" w:color="auto"/>
        <w:left w:val="none" w:sz="0" w:space="0" w:color="auto"/>
        <w:bottom w:val="none" w:sz="0" w:space="0" w:color="auto"/>
        <w:right w:val="none" w:sz="0" w:space="0" w:color="auto"/>
      </w:divBdr>
    </w:div>
    <w:div w:id="1709067048">
      <w:bodyDiv w:val="1"/>
      <w:marLeft w:val="0"/>
      <w:marRight w:val="0"/>
      <w:marTop w:val="0"/>
      <w:marBottom w:val="0"/>
      <w:divBdr>
        <w:top w:val="none" w:sz="0" w:space="0" w:color="auto"/>
        <w:left w:val="none" w:sz="0" w:space="0" w:color="auto"/>
        <w:bottom w:val="none" w:sz="0" w:space="0" w:color="auto"/>
        <w:right w:val="none" w:sz="0" w:space="0" w:color="auto"/>
      </w:divBdr>
    </w:div>
    <w:div w:id="1806727876">
      <w:bodyDiv w:val="1"/>
      <w:marLeft w:val="0"/>
      <w:marRight w:val="0"/>
      <w:marTop w:val="0"/>
      <w:marBottom w:val="0"/>
      <w:divBdr>
        <w:top w:val="none" w:sz="0" w:space="0" w:color="auto"/>
        <w:left w:val="none" w:sz="0" w:space="0" w:color="auto"/>
        <w:bottom w:val="none" w:sz="0" w:space="0" w:color="auto"/>
        <w:right w:val="none" w:sz="0" w:space="0" w:color="auto"/>
      </w:divBdr>
    </w:div>
    <w:div w:id="1872763420">
      <w:bodyDiv w:val="1"/>
      <w:marLeft w:val="0"/>
      <w:marRight w:val="0"/>
      <w:marTop w:val="0"/>
      <w:marBottom w:val="0"/>
      <w:divBdr>
        <w:top w:val="none" w:sz="0" w:space="0" w:color="auto"/>
        <w:left w:val="none" w:sz="0" w:space="0" w:color="auto"/>
        <w:bottom w:val="none" w:sz="0" w:space="0" w:color="auto"/>
        <w:right w:val="none" w:sz="0" w:space="0" w:color="auto"/>
      </w:divBdr>
    </w:div>
    <w:div w:id="1914465757">
      <w:bodyDiv w:val="1"/>
      <w:marLeft w:val="0"/>
      <w:marRight w:val="0"/>
      <w:marTop w:val="0"/>
      <w:marBottom w:val="0"/>
      <w:divBdr>
        <w:top w:val="none" w:sz="0" w:space="0" w:color="auto"/>
        <w:left w:val="none" w:sz="0" w:space="0" w:color="auto"/>
        <w:bottom w:val="none" w:sz="0" w:space="0" w:color="auto"/>
        <w:right w:val="none" w:sz="0" w:space="0" w:color="auto"/>
      </w:divBdr>
    </w:div>
    <w:div w:id="1965378762">
      <w:bodyDiv w:val="1"/>
      <w:marLeft w:val="0"/>
      <w:marRight w:val="0"/>
      <w:marTop w:val="0"/>
      <w:marBottom w:val="0"/>
      <w:divBdr>
        <w:top w:val="none" w:sz="0" w:space="0" w:color="auto"/>
        <w:left w:val="none" w:sz="0" w:space="0" w:color="auto"/>
        <w:bottom w:val="none" w:sz="0" w:space="0" w:color="auto"/>
        <w:right w:val="none" w:sz="0" w:space="0" w:color="auto"/>
      </w:divBdr>
    </w:div>
    <w:div w:id="1996494698">
      <w:bodyDiv w:val="1"/>
      <w:marLeft w:val="0"/>
      <w:marRight w:val="0"/>
      <w:marTop w:val="0"/>
      <w:marBottom w:val="0"/>
      <w:divBdr>
        <w:top w:val="none" w:sz="0" w:space="0" w:color="auto"/>
        <w:left w:val="none" w:sz="0" w:space="0" w:color="auto"/>
        <w:bottom w:val="none" w:sz="0" w:space="0" w:color="auto"/>
        <w:right w:val="none" w:sz="0" w:space="0" w:color="auto"/>
      </w:divBdr>
    </w:div>
    <w:div w:id="2090884605">
      <w:bodyDiv w:val="1"/>
      <w:marLeft w:val="0"/>
      <w:marRight w:val="0"/>
      <w:marTop w:val="0"/>
      <w:marBottom w:val="0"/>
      <w:divBdr>
        <w:top w:val="none" w:sz="0" w:space="0" w:color="auto"/>
        <w:left w:val="none" w:sz="0" w:space="0" w:color="auto"/>
        <w:bottom w:val="none" w:sz="0" w:space="0" w:color="auto"/>
        <w:right w:val="none" w:sz="0" w:space="0" w:color="auto"/>
      </w:divBdr>
    </w:div>
    <w:div w:id="2120831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hyperlink" Target="https://www.genecards.org/cgi-bin/carddisp.pl?gene=GATA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5" Type="http://schemas.openxmlformats.org/officeDocument/2006/relationships/image" Target="media/image5.png"/><Relationship Id="rId10" Type="http://schemas.openxmlformats.org/officeDocument/2006/relationships/footer" Target="foot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0EFD5A-E048-44A8-B86C-D510CA01C4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5283</Words>
  <Characters>30117</Characters>
  <Application>Microsoft Office Word</Application>
  <DocSecurity>0</DocSecurity>
  <Lines>250</Lines>
  <Paragraphs>70</Paragraphs>
  <ScaleCrop>false</ScaleCrop>
  <HeadingPairs>
    <vt:vector size="6" baseType="variant">
      <vt:variant>
        <vt:lpstr>Tytuł</vt:lpstr>
      </vt:variant>
      <vt:variant>
        <vt:i4>1</vt:i4>
      </vt:variant>
      <vt:variant>
        <vt:lpstr>Title</vt:lpstr>
      </vt:variant>
      <vt:variant>
        <vt:i4>1</vt:i4>
      </vt:variant>
      <vt:variant>
        <vt:lpstr>Titel</vt:lpstr>
      </vt:variant>
      <vt:variant>
        <vt:i4>1</vt:i4>
      </vt:variant>
    </vt:vector>
  </HeadingPairs>
  <TitlesOfParts>
    <vt:vector size="3" baseType="lpstr">
      <vt:lpstr/>
      <vt:lpstr/>
      <vt:lpstr/>
    </vt:vector>
  </TitlesOfParts>
  <Company>Uniklinikum Freiburg</Company>
  <LinksUpToDate>false</LinksUpToDate>
  <CharactersWithSpaces>35330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med. Rebecca Voss</dc:creator>
  <cp:keywords/>
  <dc:description/>
  <cp:lastModifiedBy>Emilia Kozyra</cp:lastModifiedBy>
  <cp:revision>9</cp:revision>
  <cp:lastPrinted>2019-09-18T21:42:00Z</cp:lastPrinted>
  <dcterms:created xsi:type="dcterms:W3CDTF">2019-09-18T17:50:00Z</dcterms:created>
  <dcterms:modified xsi:type="dcterms:W3CDTF">2020-05-19T13:22:00Z</dcterms:modified>
</cp:coreProperties>
</file>