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6FFB57" w14:textId="77777777" w:rsidR="000579F5" w:rsidRPr="000579F5" w:rsidRDefault="000579F5" w:rsidP="000579F5">
      <w:pPr>
        <w:autoSpaceDE w:val="0"/>
        <w:autoSpaceDN w:val="0"/>
        <w:adjustRightInd w:val="0"/>
        <w:spacing w:after="0" w:line="240" w:lineRule="auto"/>
        <w:rPr>
          <w:rFonts w:ascii="Cambria" w:eastAsiaTheme="minorHAnsi" w:hAnsi="Cambria" w:cs="Cambria"/>
          <w:b/>
          <w:sz w:val="28"/>
          <w:szCs w:val="28"/>
          <w:lang w:val="en-US"/>
        </w:rPr>
      </w:pPr>
    </w:p>
    <w:p w14:paraId="1B09F214" w14:textId="4EFC10EF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b/>
          <w:sz w:val="28"/>
          <w:szCs w:val="28"/>
          <w:lang w:val="en-US"/>
        </w:rPr>
      </w:pPr>
      <w:r w:rsidRPr="000579F5"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This is the peer review</w:t>
      </w:r>
      <w:r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e</w:t>
      </w:r>
      <w:r w:rsidRPr="000579F5"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d version of the following article:</w:t>
      </w:r>
    </w:p>
    <w:p w14:paraId="6798A8F4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sz w:val="24"/>
          <w:szCs w:val="24"/>
          <w:lang w:val="en-US"/>
        </w:rPr>
      </w:pPr>
    </w:p>
    <w:p w14:paraId="6696819D" w14:textId="433CB97E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eastAsiaTheme="minorHAnsi" w:hAnsiTheme="minorHAnsi" w:cstheme="minorHAnsi"/>
          <w:sz w:val="24"/>
          <w:szCs w:val="24"/>
          <w:lang w:val="en-US"/>
        </w:rPr>
      </w:pPr>
      <w:r>
        <w:rPr>
          <w:rFonts w:asciiTheme="minorHAnsi" w:eastAsiaTheme="minorHAnsi" w:hAnsiTheme="minorHAnsi" w:cstheme="minorHAnsi"/>
          <w:sz w:val="24"/>
          <w:szCs w:val="24"/>
          <w:lang w:val="it-IT"/>
        </w:rPr>
        <w:t>ORSINI Francesco</w:t>
      </w:r>
    </w:p>
    <w:p w14:paraId="19FD5FAC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b/>
          <w:sz w:val="24"/>
          <w:szCs w:val="24"/>
          <w:lang w:val="it-IT"/>
        </w:rPr>
      </w:pPr>
      <w:r w:rsidRPr="000579F5">
        <w:rPr>
          <w:rFonts w:asciiTheme="minorHAnsi" w:eastAsiaTheme="minorHAnsi" w:hAnsiTheme="minorHAnsi" w:cstheme="minorHAnsi"/>
          <w:b/>
          <w:sz w:val="24"/>
          <w:szCs w:val="24"/>
          <w:lang w:val="it-IT"/>
        </w:rPr>
        <w:t>Tecnologie sostenibili per la coltivazione in vertical farms.</w:t>
      </w:r>
    </w:p>
    <w:p w14:paraId="48CDCC5D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sz w:val="24"/>
          <w:szCs w:val="24"/>
          <w:lang w:val="en-US"/>
        </w:rPr>
      </w:pPr>
    </w:p>
    <w:p w14:paraId="1A25D8F7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b/>
          <w:sz w:val="28"/>
          <w:szCs w:val="28"/>
          <w:lang w:val="en-US"/>
        </w:rPr>
      </w:pPr>
      <w:r w:rsidRPr="000579F5"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which has been published in final form in:</w:t>
      </w:r>
    </w:p>
    <w:p w14:paraId="390132A7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b/>
          <w:sz w:val="28"/>
          <w:szCs w:val="28"/>
          <w:lang w:val="en-US"/>
        </w:rPr>
      </w:pPr>
    </w:p>
    <w:p w14:paraId="7E010FF9" w14:textId="39347C84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sz w:val="24"/>
          <w:szCs w:val="24"/>
          <w:lang w:val="en-US"/>
        </w:rPr>
      </w:pPr>
      <w:r>
        <w:rPr>
          <w:rFonts w:asciiTheme="minorHAnsi" w:eastAsiaTheme="minorHAnsi" w:hAnsiTheme="minorHAnsi" w:cstheme="minorHAnsi"/>
          <w:sz w:val="24"/>
          <w:szCs w:val="24"/>
          <w:lang w:val="en-US"/>
        </w:rPr>
        <w:t xml:space="preserve">Equilibri, 2020; 1: 125-32 DOI </w:t>
      </w:r>
      <w:r w:rsidRPr="000579F5">
        <w:rPr>
          <w:rFonts w:asciiTheme="minorHAnsi" w:eastAsiaTheme="minorHAnsi" w:hAnsiTheme="minorHAnsi" w:cstheme="minorHAnsi"/>
          <w:sz w:val="24"/>
          <w:szCs w:val="24"/>
          <w:lang w:val="en-US"/>
        </w:rPr>
        <w:t>http://dx.doi.org/10.1406/97543</w:t>
      </w:r>
    </w:p>
    <w:p w14:paraId="09CEC576" w14:textId="7777777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sz w:val="24"/>
          <w:szCs w:val="24"/>
          <w:lang w:val="en-US"/>
        </w:rPr>
      </w:pPr>
    </w:p>
    <w:p w14:paraId="5C79F909" w14:textId="6E2EF557" w:rsidR="000579F5" w:rsidRPr="000579F5" w:rsidRDefault="000579F5" w:rsidP="000579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theme="minorHAnsi"/>
          <w:b/>
          <w:sz w:val="28"/>
          <w:szCs w:val="28"/>
          <w:lang w:val="en-US"/>
        </w:rPr>
      </w:pPr>
      <w:r w:rsidRPr="000579F5"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This article may be used for non commerc</w:t>
      </w:r>
      <w:r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 xml:space="preserve">ial purposes in accordance with IL MULINO Editore </w:t>
      </w:r>
      <w:r w:rsidRPr="000579F5">
        <w:rPr>
          <w:rFonts w:asciiTheme="minorHAnsi" w:eastAsiaTheme="minorHAnsi" w:hAnsiTheme="minorHAnsi" w:cstheme="minorHAnsi"/>
          <w:b/>
          <w:sz w:val="28"/>
          <w:szCs w:val="28"/>
          <w:lang w:val="en-US"/>
        </w:rPr>
        <w:t>Terms and Conditions for Use of Self Archived Versions.</w:t>
      </w:r>
    </w:p>
    <w:p w14:paraId="4E53BED0" w14:textId="77777777" w:rsidR="000579F5" w:rsidRPr="000579F5" w:rsidRDefault="000579F5" w:rsidP="000579F5">
      <w:pPr>
        <w:autoSpaceDE w:val="0"/>
        <w:autoSpaceDN w:val="0"/>
        <w:adjustRightInd w:val="0"/>
        <w:spacing w:after="0" w:line="240" w:lineRule="auto"/>
        <w:rPr>
          <w:rFonts w:ascii="Arial Black" w:eastAsiaTheme="minorHAnsi" w:hAnsi="Arial Black" w:cstheme="minorBidi"/>
          <w:b/>
          <w:sz w:val="28"/>
          <w:szCs w:val="28"/>
          <w:lang w:val="en-US"/>
        </w:rPr>
      </w:pPr>
    </w:p>
    <w:p w14:paraId="34CAF470" w14:textId="0A925BB5" w:rsidR="00C03BA2" w:rsidRPr="00094D91" w:rsidRDefault="000579F5" w:rsidP="00C03BA2">
      <w:pPr>
        <w:spacing w:after="0" w:line="240" w:lineRule="auto"/>
        <w:jc w:val="both"/>
        <w:rPr>
          <w:rFonts w:ascii="Cambria" w:hAnsi="Cambria" w:cstheme="minorHAnsi"/>
          <w:b/>
          <w:sz w:val="24"/>
          <w:szCs w:val="24"/>
          <w:lang w:val="it-IT"/>
        </w:rPr>
      </w:pPr>
      <w:r>
        <w:rPr>
          <w:rFonts w:ascii="Cambria" w:hAnsi="Cambria" w:cstheme="minorHAnsi"/>
          <w:b/>
          <w:sz w:val="24"/>
          <w:szCs w:val="24"/>
          <w:lang w:val="it-IT"/>
        </w:rPr>
        <w:br w:type="column"/>
      </w:r>
      <w:bookmarkStart w:id="0" w:name="_GoBack"/>
      <w:bookmarkEnd w:id="0"/>
      <w:r w:rsidR="00C03BA2" w:rsidRPr="00094D91">
        <w:rPr>
          <w:rFonts w:ascii="Cambria" w:hAnsi="Cambria" w:cstheme="minorHAnsi"/>
          <w:b/>
          <w:sz w:val="24"/>
          <w:szCs w:val="24"/>
          <w:lang w:val="it-IT"/>
        </w:rPr>
        <w:lastRenderedPageBreak/>
        <w:t>Tecnologie sostenibili</w:t>
      </w:r>
      <w:r w:rsidR="00C03BA2">
        <w:rPr>
          <w:rFonts w:ascii="Cambria" w:hAnsi="Cambria" w:cstheme="minorHAnsi"/>
          <w:b/>
          <w:sz w:val="24"/>
          <w:szCs w:val="24"/>
          <w:lang w:val="it-IT"/>
        </w:rPr>
        <w:t xml:space="preserve"> per la coltivazione in</w:t>
      </w:r>
      <w:r w:rsidR="00C03BA2" w:rsidRPr="00094D91">
        <w:rPr>
          <w:rFonts w:ascii="Cambria" w:hAnsi="Cambria" w:cstheme="minorHAnsi"/>
          <w:b/>
          <w:sz w:val="24"/>
          <w:szCs w:val="24"/>
          <w:lang w:val="it-IT"/>
        </w:rPr>
        <w:t xml:space="preserve"> vertical farms.</w:t>
      </w:r>
    </w:p>
    <w:p w14:paraId="5B6735EF" w14:textId="1AD9FFF7" w:rsidR="00E55CE2" w:rsidRDefault="00E55CE2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highlight w:val="yellow"/>
          <w:lang w:val="it-IT"/>
        </w:rPr>
      </w:pPr>
    </w:p>
    <w:p w14:paraId="383D6B5E" w14:textId="2A507DF1" w:rsidR="00E07343" w:rsidRPr="00E07343" w:rsidRDefault="00E07343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lang w:val="it-IT"/>
        </w:rPr>
      </w:pPr>
      <w:r w:rsidRPr="00E07343">
        <w:rPr>
          <w:rFonts w:ascii="Cambria" w:hAnsi="Cambria" w:cstheme="minorHAnsi"/>
          <w:b/>
          <w:bCs/>
          <w:sz w:val="24"/>
          <w:szCs w:val="24"/>
          <w:lang w:val="it-IT"/>
        </w:rPr>
        <w:t>Abstract</w:t>
      </w:r>
    </w:p>
    <w:p w14:paraId="22578B30" w14:textId="3B01529B" w:rsidR="00E07343" w:rsidRPr="00E07343" w:rsidRDefault="00E07343" w:rsidP="00B72D13">
      <w:pPr>
        <w:spacing w:after="0" w:line="240" w:lineRule="auto"/>
        <w:jc w:val="both"/>
        <w:rPr>
          <w:rFonts w:ascii="Cambria" w:hAnsi="Cambria" w:cstheme="minorHAnsi"/>
          <w:bCs/>
          <w:sz w:val="24"/>
          <w:szCs w:val="24"/>
          <w:lang w:val="it-IT"/>
        </w:rPr>
      </w:pPr>
      <w:r>
        <w:rPr>
          <w:rFonts w:ascii="Cambria" w:hAnsi="Cambria" w:cstheme="minorHAnsi"/>
          <w:bCs/>
          <w:sz w:val="24"/>
          <w:szCs w:val="24"/>
          <w:lang w:val="it-IT"/>
        </w:rPr>
        <w:t>La crescente urbanizzazione, combinata agli effetti del cambio climatico e della riduzione delle risorse mettono a rischio i correnti sistemi agrari e alimentari. Le recenti innovazioni tecnologiche hanno consentito lo sviluppo e la diffusione delle cosiddette Vertical Farms, nelle quali le produzioni agrarie sono ottenute in assenza di radiazione solare tramite l’impiego di illuminazione LED, sistemi di coltivazione idroponica e di controllo delle variabili climatiche e ambientali. Nel presente articolo verranno illustrate le principali componenti tecnologiche e di sostenibilità di questi nuovi sistemi di produzione.</w:t>
      </w:r>
    </w:p>
    <w:p w14:paraId="5F39F136" w14:textId="439537C7" w:rsidR="00E07343" w:rsidRDefault="00E07343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highlight w:val="yellow"/>
          <w:lang w:val="it-IT"/>
        </w:rPr>
      </w:pPr>
    </w:p>
    <w:p w14:paraId="4E89A8A1" w14:textId="77777777" w:rsidR="00E07343" w:rsidRPr="00926065" w:rsidRDefault="00E07343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highlight w:val="yellow"/>
          <w:lang w:val="it-IT"/>
        </w:rPr>
      </w:pPr>
    </w:p>
    <w:p w14:paraId="6401AEBB" w14:textId="3C5B9C8C" w:rsidR="00DC2134" w:rsidRDefault="00B72D13" w:rsidP="00094D91">
      <w:pPr>
        <w:spacing w:after="0" w:line="240" w:lineRule="auto"/>
        <w:ind w:firstLine="426"/>
        <w:jc w:val="both"/>
        <w:rPr>
          <w:rFonts w:ascii="Cambria" w:hAnsi="Cambria" w:cstheme="minorHAnsi"/>
          <w:sz w:val="24"/>
          <w:szCs w:val="24"/>
          <w:lang w:val="it-IT"/>
        </w:rPr>
      </w:pPr>
      <w:r w:rsidRPr="00B72D13">
        <w:rPr>
          <w:rFonts w:ascii="Cambria" w:hAnsi="Cambria" w:cstheme="minorHAnsi"/>
          <w:bCs/>
          <w:sz w:val="24"/>
          <w:szCs w:val="24"/>
          <w:lang w:val="it-IT"/>
        </w:rPr>
        <w:t xml:space="preserve">Le grandi sfide dell’agricoltura contemporanea sono principalmente associate alla </w:t>
      </w:r>
      <w:r w:rsidR="00704616">
        <w:rPr>
          <w:rFonts w:ascii="Cambria" w:hAnsi="Cambria" w:cstheme="minorHAnsi"/>
          <w:bCs/>
          <w:sz w:val="24"/>
          <w:szCs w:val="24"/>
          <w:lang w:val="it-IT"/>
        </w:rPr>
        <w:t xml:space="preserve">ridotta </w:t>
      </w:r>
      <w:r w:rsidRPr="00B72D13">
        <w:rPr>
          <w:rFonts w:ascii="Cambria" w:hAnsi="Cambria" w:cstheme="minorHAnsi"/>
          <w:sz w:val="24"/>
          <w:szCs w:val="24"/>
          <w:lang w:val="it-IT"/>
        </w:rPr>
        <w:t>disponibilità di risorse naturali</w:t>
      </w:r>
      <w:r>
        <w:rPr>
          <w:rFonts w:ascii="Cambria" w:hAnsi="Cambria" w:cstheme="minorHAnsi"/>
          <w:sz w:val="24"/>
          <w:szCs w:val="24"/>
          <w:lang w:val="it-IT"/>
        </w:rPr>
        <w:t xml:space="preserve"> e</w:t>
      </w:r>
      <w:r w:rsidR="00704616">
        <w:rPr>
          <w:rFonts w:ascii="Cambria" w:hAnsi="Cambria" w:cstheme="minorHAnsi"/>
          <w:sz w:val="24"/>
          <w:szCs w:val="24"/>
          <w:lang w:val="it-IT"/>
        </w:rPr>
        <w:t xml:space="preserve"> all’</w:t>
      </w:r>
      <w:r>
        <w:rPr>
          <w:rFonts w:ascii="Cambria" w:hAnsi="Cambria" w:cstheme="minorHAnsi"/>
          <w:sz w:val="24"/>
          <w:szCs w:val="24"/>
          <w:lang w:val="it-IT"/>
        </w:rPr>
        <w:t>adattabilità a condizioni climatiche difficilmente prevedibili</w:t>
      </w:r>
      <w:r w:rsidRPr="00B72D13">
        <w:rPr>
          <w:rFonts w:ascii="Cambria" w:hAnsi="Cambria" w:cstheme="minorHAnsi"/>
          <w:sz w:val="24"/>
          <w:szCs w:val="24"/>
          <w:lang w:val="it-IT"/>
        </w:rPr>
        <w:t>. La crescita della popolazione mondiale da 2,5 miliardi nel 1950 a 7,7 miliardi nel 2019 e la stima di 11,2 miliardi entro la fine del secolo</w:t>
      </w:r>
      <w:r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"/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sta portando a due fenomeni collegati. In primo luogo, si stima che l'area </w:t>
      </w:r>
      <w:r w:rsidR="00FA0B5A">
        <w:rPr>
          <w:rFonts w:ascii="Cambria" w:hAnsi="Cambria" w:cstheme="minorHAnsi"/>
          <w:sz w:val="24"/>
          <w:szCs w:val="24"/>
          <w:lang w:val="it-IT"/>
        </w:rPr>
        <w:t>metropolitana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globale aumenterà </w:t>
      </w:r>
      <w:r w:rsidR="00FA0B5A">
        <w:rPr>
          <w:rFonts w:ascii="Cambria" w:hAnsi="Cambria" w:cstheme="minorHAnsi"/>
          <w:sz w:val="24"/>
          <w:szCs w:val="24"/>
          <w:lang w:val="it-IT"/>
        </w:rPr>
        <w:t>fino al 70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% </w:t>
      </w:r>
      <w:r w:rsidR="00FA0B5A">
        <w:rPr>
          <w:rFonts w:ascii="Cambria" w:hAnsi="Cambria" w:cstheme="minorHAnsi"/>
          <w:sz w:val="24"/>
          <w:szCs w:val="24"/>
          <w:lang w:val="it-IT"/>
        </w:rPr>
        <w:t>tra il 2013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FA0B5A">
        <w:rPr>
          <w:rFonts w:ascii="Cambria" w:hAnsi="Cambria" w:cstheme="minorHAnsi"/>
          <w:sz w:val="24"/>
          <w:szCs w:val="24"/>
          <w:lang w:val="it-IT"/>
        </w:rPr>
        <w:t>e il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2050 per accogliere una popolazione urbana in crescita, portando a una diminuzione della disponibilità di terreni agricoli (ad oggi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pari </w:t>
      </w:r>
      <w:r w:rsidRPr="00B72D13">
        <w:rPr>
          <w:rFonts w:ascii="Cambria" w:hAnsi="Cambria" w:cstheme="minorHAnsi"/>
          <w:sz w:val="24"/>
          <w:szCs w:val="24"/>
          <w:lang w:val="it-IT"/>
        </w:rPr>
        <w:t>a 0,7 ha pro capite )</w:t>
      </w:r>
      <w:r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"/>
      </w:r>
      <w:r w:rsidRPr="00B72D13">
        <w:rPr>
          <w:rFonts w:ascii="Cambria" w:hAnsi="Cambria" w:cstheme="minorHAnsi"/>
          <w:sz w:val="24"/>
          <w:szCs w:val="24"/>
          <w:lang w:val="it-IT"/>
        </w:rPr>
        <w:t>. In secondo luogo, è previsto un aumento della domanda alimentare globale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, che si rifletterà in una necessità di suoli coltivati aumentata del 60% </w:t>
      </w:r>
      <w:r w:rsidRPr="00B72D13">
        <w:rPr>
          <w:rFonts w:ascii="Cambria" w:hAnsi="Cambria" w:cstheme="minorHAnsi"/>
          <w:sz w:val="24"/>
          <w:szCs w:val="24"/>
          <w:lang w:val="it-IT"/>
        </w:rPr>
        <w:t>entro il 2050. Queste tendenze aumenteranno la pres</w:t>
      </w:r>
      <w:r w:rsidR="00D27460">
        <w:rPr>
          <w:rFonts w:ascii="Cambria" w:hAnsi="Cambria" w:cstheme="minorHAnsi"/>
          <w:sz w:val="24"/>
          <w:szCs w:val="24"/>
          <w:lang w:val="it-IT"/>
        </w:rPr>
        <w:t>sione sui bacini idrici (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già colpiti dai cambiamenti climatici e dalle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conseguenti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fluttuazioni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nei regimi </w:t>
      </w:r>
      <w:r w:rsidRPr="00B72D13">
        <w:rPr>
          <w:rFonts w:ascii="Cambria" w:hAnsi="Cambria" w:cstheme="minorHAnsi"/>
          <w:sz w:val="24"/>
          <w:szCs w:val="24"/>
          <w:lang w:val="it-IT"/>
        </w:rPr>
        <w:t>di precipitazione</w:t>
      </w:r>
      <w:r w:rsidR="00D27460">
        <w:rPr>
          <w:rFonts w:ascii="Cambria" w:hAnsi="Cambria" w:cstheme="minorHAnsi"/>
          <w:sz w:val="24"/>
          <w:szCs w:val="24"/>
          <w:lang w:val="it-IT"/>
        </w:rPr>
        <w:t>)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, e di conseguenza sulle attività agricole, </w:t>
      </w:r>
      <w:r w:rsidR="00FF0A3B">
        <w:rPr>
          <w:rFonts w:ascii="Cambria" w:hAnsi="Cambria" w:cstheme="minorHAnsi"/>
          <w:sz w:val="24"/>
          <w:szCs w:val="24"/>
          <w:lang w:val="it-IT"/>
        </w:rPr>
        <w:t xml:space="preserve">responsabili del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70% </w:t>
      </w:r>
      <w:r w:rsidR="00FF0A3B">
        <w:rPr>
          <w:rFonts w:ascii="Cambria" w:hAnsi="Cambria" w:cstheme="minorHAnsi"/>
          <w:sz w:val="24"/>
          <w:szCs w:val="24"/>
          <w:lang w:val="it-IT"/>
        </w:rPr>
        <w:t xml:space="preserve">dei consumi </w:t>
      </w:r>
      <w:r w:rsidR="00D27460">
        <w:rPr>
          <w:rFonts w:ascii="Cambria" w:hAnsi="Cambria" w:cstheme="minorHAnsi"/>
          <w:sz w:val="24"/>
          <w:szCs w:val="24"/>
          <w:lang w:val="it-IT"/>
        </w:rPr>
        <w:t>idric</w:t>
      </w:r>
      <w:r w:rsidR="00FF0A3B">
        <w:rPr>
          <w:rFonts w:ascii="Cambria" w:hAnsi="Cambria" w:cstheme="minorHAnsi"/>
          <w:sz w:val="24"/>
          <w:szCs w:val="24"/>
          <w:lang w:val="it-IT"/>
        </w:rPr>
        <w:t>i a livello globale</w:t>
      </w:r>
      <w:r w:rsidRPr="00B72D13">
        <w:rPr>
          <w:rFonts w:ascii="Cambria" w:hAnsi="Cambria" w:cstheme="minorHAnsi"/>
          <w:sz w:val="24"/>
          <w:szCs w:val="24"/>
          <w:lang w:val="it-IT"/>
        </w:rPr>
        <w:t>.</w:t>
      </w:r>
      <w:r w:rsidR="00FA0B5A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3"/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 Inoltre, l’elevato impiego di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fertilizzanti </w:t>
      </w:r>
      <w:r w:rsidRPr="00B72D13">
        <w:rPr>
          <w:rFonts w:ascii="Cambria" w:hAnsi="Cambria" w:cstheme="minorHAnsi"/>
          <w:sz w:val="24"/>
          <w:szCs w:val="24"/>
          <w:lang w:val="it-IT"/>
        </w:rPr>
        <w:t>mineral</w:t>
      </w:r>
      <w:r w:rsidR="00FA0B5A">
        <w:rPr>
          <w:rFonts w:ascii="Cambria" w:hAnsi="Cambria" w:cstheme="minorHAnsi"/>
          <w:sz w:val="24"/>
          <w:szCs w:val="24"/>
          <w:lang w:val="it-IT"/>
        </w:rPr>
        <w:t>i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sta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minando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la sostenibilità </w:t>
      </w:r>
      <w:r w:rsidR="00D27460">
        <w:rPr>
          <w:rFonts w:ascii="Cambria" w:hAnsi="Cambria" w:cstheme="minorHAnsi"/>
          <w:sz w:val="24"/>
          <w:szCs w:val="24"/>
          <w:lang w:val="it-IT"/>
        </w:rPr>
        <w:t>de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i sistemi </w:t>
      </w:r>
      <w:r w:rsidR="00FA0B5A">
        <w:rPr>
          <w:rFonts w:ascii="Cambria" w:hAnsi="Cambria" w:cstheme="minorHAnsi"/>
          <w:sz w:val="24"/>
          <w:szCs w:val="24"/>
          <w:lang w:val="it-IT"/>
        </w:rPr>
        <w:t>agrari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. Dalla rivoluzione verde, l'uso indiscriminato di fertilizzanti azotati ha provocato 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diverse forme di </w:t>
      </w:r>
      <w:r w:rsidRPr="00B72D13">
        <w:rPr>
          <w:rFonts w:ascii="Cambria" w:hAnsi="Cambria" w:cstheme="minorHAnsi"/>
          <w:sz w:val="24"/>
          <w:szCs w:val="24"/>
          <w:lang w:val="it-IT"/>
        </w:rPr>
        <w:t>inquinamento ambientale, tra cui eutrofizzazione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 dei suoli</w:t>
      </w:r>
      <w:r w:rsidRPr="00B72D13">
        <w:rPr>
          <w:rFonts w:ascii="Cambria" w:hAnsi="Cambria" w:cstheme="minorHAnsi"/>
          <w:sz w:val="24"/>
          <w:szCs w:val="24"/>
          <w:lang w:val="it-IT"/>
        </w:rPr>
        <w:t>, acidificazione dell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e </w:t>
      </w:r>
      <w:r w:rsidRPr="00B72D13">
        <w:rPr>
          <w:rFonts w:ascii="Cambria" w:hAnsi="Cambria" w:cstheme="minorHAnsi"/>
          <w:sz w:val="24"/>
          <w:szCs w:val="24"/>
          <w:lang w:val="it-IT"/>
        </w:rPr>
        <w:t>acqu</w:t>
      </w:r>
      <w:r w:rsidR="00FA0B5A">
        <w:rPr>
          <w:rFonts w:ascii="Cambria" w:hAnsi="Cambria" w:cstheme="minorHAnsi"/>
          <w:sz w:val="24"/>
          <w:szCs w:val="24"/>
          <w:lang w:val="it-IT"/>
        </w:rPr>
        <w:t xml:space="preserve">e ed </w:t>
      </w:r>
      <w:r w:rsidRPr="00B72D13">
        <w:rPr>
          <w:rFonts w:ascii="Cambria" w:hAnsi="Cambria" w:cstheme="minorHAnsi"/>
          <w:sz w:val="24"/>
          <w:szCs w:val="24"/>
          <w:lang w:val="it-IT"/>
        </w:rPr>
        <w:t>emissione di N</w:t>
      </w:r>
      <w:r w:rsidRPr="00FA0B5A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O nell'atmosfera, aumentando le emissioni di gas serra a un tasso medio del 3,9% all'anno </w:t>
      </w:r>
      <w:r w:rsidR="00704616">
        <w:rPr>
          <w:rFonts w:ascii="Cambria" w:hAnsi="Cambria" w:cstheme="minorHAnsi"/>
          <w:sz w:val="24"/>
          <w:szCs w:val="24"/>
          <w:lang w:val="it-IT"/>
        </w:rPr>
        <w:t xml:space="preserve">tra il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1961 </w:t>
      </w:r>
      <w:r w:rsidR="00704616">
        <w:rPr>
          <w:rFonts w:ascii="Cambria" w:hAnsi="Cambria" w:cstheme="minorHAnsi"/>
          <w:sz w:val="24"/>
          <w:szCs w:val="24"/>
          <w:lang w:val="it-IT"/>
        </w:rPr>
        <w:t xml:space="preserve">e il </w:t>
      </w:r>
      <w:r w:rsidRPr="00B72D13">
        <w:rPr>
          <w:rFonts w:ascii="Cambria" w:hAnsi="Cambria" w:cstheme="minorHAnsi"/>
          <w:sz w:val="24"/>
          <w:szCs w:val="24"/>
          <w:lang w:val="it-IT"/>
        </w:rPr>
        <w:t>2010</w:t>
      </w:r>
      <w:r w:rsidR="00704616">
        <w:rPr>
          <w:rFonts w:ascii="Cambria" w:hAnsi="Cambria" w:cstheme="minorHAnsi"/>
          <w:sz w:val="24"/>
          <w:szCs w:val="24"/>
          <w:lang w:val="it-IT"/>
        </w:rPr>
        <w:t>.</w:t>
      </w:r>
      <w:r w:rsidR="0070461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4"/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FF0A3B">
        <w:rPr>
          <w:rFonts w:ascii="Cambria" w:hAnsi="Cambria" w:cstheme="minorHAnsi"/>
          <w:sz w:val="24"/>
          <w:szCs w:val="24"/>
          <w:lang w:val="it-IT"/>
        </w:rPr>
        <w:t>S</w:t>
      </w:r>
      <w:r w:rsidR="00D27460">
        <w:rPr>
          <w:rFonts w:ascii="Cambria" w:hAnsi="Cambria" w:cstheme="minorHAnsi"/>
          <w:sz w:val="24"/>
          <w:szCs w:val="24"/>
          <w:lang w:val="it-IT"/>
        </w:rPr>
        <w:t>i stima</w:t>
      </w:r>
      <w:r w:rsidR="00FF0A3B">
        <w:rPr>
          <w:rFonts w:ascii="Cambria" w:hAnsi="Cambria" w:cstheme="minorHAnsi"/>
          <w:sz w:val="24"/>
          <w:szCs w:val="24"/>
          <w:lang w:val="it-IT"/>
        </w:rPr>
        <w:t>,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FF0A3B">
        <w:rPr>
          <w:rFonts w:ascii="Cambria" w:hAnsi="Cambria" w:cstheme="minorHAnsi"/>
          <w:sz w:val="24"/>
          <w:szCs w:val="24"/>
          <w:lang w:val="it-IT"/>
        </w:rPr>
        <w:t xml:space="preserve">inoltre,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che le riserve globali di alcuni nutrienti minerali (tra cui il fosfato), saranno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esaurite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nei prossimi </w:t>
      </w:r>
      <w:r w:rsidRPr="00B72D13">
        <w:rPr>
          <w:rFonts w:ascii="Cambria" w:hAnsi="Cambria" w:cstheme="minorHAnsi"/>
          <w:sz w:val="24"/>
          <w:szCs w:val="24"/>
          <w:lang w:val="it-IT"/>
        </w:rPr>
        <w:t>50-100 anni</w:t>
      </w:r>
      <w:r w:rsidR="00D27460">
        <w:rPr>
          <w:rFonts w:ascii="Cambria" w:hAnsi="Cambria" w:cstheme="minorHAnsi"/>
          <w:sz w:val="24"/>
          <w:szCs w:val="24"/>
          <w:lang w:val="it-IT"/>
        </w:rPr>
        <w:t>.</w:t>
      </w:r>
      <w:r w:rsidR="00D27460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5"/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In questo contesto complesso, sistemi innovativi </w:t>
      </w:r>
      <w:r w:rsidR="00D27460">
        <w:rPr>
          <w:rFonts w:ascii="Cambria" w:hAnsi="Cambria" w:cstheme="minorHAnsi"/>
          <w:sz w:val="24"/>
          <w:szCs w:val="24"/>
          <w:lang w:val="it-IT"/>
        </w:rPr>
        <w:t>per la produzione di cibo in città stanno acquisendo popolarità, con particolare riferimento a</w:t>
      </w:r>
      <w:r w:rsidR="009466A7">
        <w:rPr>
          <w:rFonts w:ascii="Cambria" w:hAnsi="Cambria" w:cstheme="minorHAnsi"/>
          <w:sz w:val="24"/>
          <w:szCs w:val="24"/>
          <w:lang w:val="it-IT"/>
        </w:rPr>
        <w:t>lle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 tecnologie per le cosiddette vertical farms</w:t>
      </w:r>
      <w:r w:rsidR="00967933">
        <w:rPr>
          <w:rFonts w:ascii="Cambria" w:hAnsi="Cambria" w:cstheme="minorHAnsi"/>
          <w:sz w:val="24"/>
          <w:szCs w:val="24"/>
          <w:lang w:val="it-IT"/>
        </w:rPr>
        <w:t xml:space="preserve"> (VFs)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,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sistemi di produzione di piante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in ambienti </w:t>
      </w:r>
      <w:r w:rsidRPr="00B72D13">
        <w:rPr>
          <w:rFonts w:ascii="Cambria" w:hAnsi="Cambria" w:cstheme="minorHAnsi"/>
          <w:sz w:val="24"/>
          <w:szCs w:val="24"/>
          <w:lang w:val="it-IT"/>
        </w:rPr>
        <w:t>chiusi</w:t>
      </w:r>
      <w:r w:rsidR="00D27460">
        <w:rPr>
          <w:rFonts w:ascii="Cambria" w:hAnsi="Cambria" w:cstheme="minorHAnsi"/>
          <w:sz w:val="24"/>
          <w:szCs w:val="24"/>
          <w:lang w:val="it-IT"/>
        </w:rPr>
        <w:t>, all’interno dei quali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vengono controllati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rigorosamente i </w:t>
      </w:r>
      <w:r w:rsidRPr="00B72D13">
        <w:rPr>
          <w:rFonts w:ascii="Cambria" w:hAnsi="Cambria" w:cstheme="minorHAnsi"/>
          <w:sz w:val="24"/>
          <w:szCs w:val="24"/>
          <w:lang w:val="it-IT"/>
        </w:rPr>
        <w:t>fattori ambientali (temperatura, umidità, luce, concentrazione di CO</w:t>
      </w:r>
      <w:r w:rsidRPr="00D27460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), riducendo al minimo le interazioni con il clima esterno.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Le principali realtà commerciali operative si riscontrano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in Giappone (Spread Co., Ltd., </w:t>
      </w:r>
      <w:hyperlink r:id="rId11" w:history="1">
        <w:r w:rsidR="00D27460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http://www.spread.co.jp/en/</w:t>
        </w:r>
      </w:hyperlink>
      <w:r w:rsidR="00D27460">
        <w:rPr>
          <w:rFonts w:ascii="Cambria" w:hAnsi="Cambria" w:cstheme="minorHAnsi"/>
          <w:sz w:val="24"/>
          <w:szCs w:val="24"/>
          <w:lang w:val="it-IT"/>
        </w:rPr>
        <w:t xml:space="preserve">;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Mirai Co., Ltd., </w:t>
      </w:r>
      <w:hyperlink r:id="rId12" w:history="1">
        <w:r w:rsidR="00D27460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http://miraigroup.jp/en/</w:t>
        </w:r>
      </w:hyperlink>
      <w:r w:rsidRPr="00B72D13">
        <w:rPr>
          <w:rFonts w:ascii="Cambria" w:hAnsi="Cambria" w:cstheme="minorHAnsi"/>
          <w:sz w:val="24"/>
          <w:szCs w:val="24"/>
          <w:lang w:val="it-IT"/>
        </w:rPr>
        <w:t xml:space="preserve">), Stati Uniti (AeroFarms, </w:t>
      </w:r>
      <w:hyperlink r:id="rId13" w:history="1">
        <w:r w:rsidR="00D27460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https://aerofarms.com/</w:t>
        </w:r>
      </w:hyperlink>
      <w:r w:rsidRPr="00B72D13">
        <w:rPr>
          <w:rFonts w:ascii="Cambria" w:hAnsi="Cambria" w:cstheme="minorHAnsi"/>
          <w:sz w:val="24"/>
          <w:szCs w:val="24"/>
          <w:lang w:val="it-IT"/>
        </w:rPr>
        <w:t>)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 e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Olanda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(GROWx, </w:t>
      </w:r>
      <w:hyperlink r:id="rId14" w:history="1">
        <w:r w:rsidR="00D27460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https://www.growx.co/</w:t>
        </w:r>
      </w:hyperlink>
      <w:r w:rsidRPr="00B72D13">
        <w:rPr>
          <w:rFonts w:ascii="Cambria" w:hAnsi="Cambria" w:cstheme="minorHAnsi"/>
          <w:sz w:val="24"/>
          <w:szCs w:val="24"/>
          <w:lang w:val="it-IT"/>
        </w:rPr>
        <w:t>)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, anche se esperienze innovative stanno cominciando a prendere piede anche in Italia 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sia con riferimento alla produzione di cibo </w:t>
      </w:r>
      <w:r w:rsidR="00D27460">
        <w:rPr>
          <w:rFonts w:ascii="Cambria" w:hAnsi="Cambria" w:cstheme="minorHAnsi"/>
          <w:sz w:val="24"/>
          <w:szCs w:val="24"/>
          <w:lang w:val="it-IT"/>
        </w:rPr>
        <w:t xml:space="preserve">(Agricola Moderna, </w:t>
      </w:r>
      <w:hyperlink r:id="rId15" w:history="1">
        <w:r w:rsidR="00D27460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https://agricolamoderna.com/</w:t>
        </w:r>
      </w:hyperlink>
      <w:r w:rsidR="00D27460">
        <w:rPr>
          <w:rFonts w:ascii="Cambria" w:hAnsi="Cambria" w:cstheme="minorHAnsi"/>
          <w:sz w:val="24"/>
          <w:szCs w:val="24"/>
          <w:lang w:val="it-IT"/>
        </w:rPr>
        <w:t>)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 che alla realizzazione di tecnologie per la coltivazione (Flytech, </w:t>
      </w:r>
      <w:hyperlink r:id="rId16" w:history="1">
        <w:r w:rsidR="009466A7" w:rsidRPr="0065718C">
          <w:rPr>
            <w:rStyle w:val="Collegamentoipertestuale"/>
            <w:rFonts w:ascii="Cambria" w:hAnsi="Cambria" w:cstheme="minorHAnsi"/>
            <w:sz w:val="24"/>
            <w:szCs w:val="24"/>
            <w:lang w:val="it-IT"/>
          </w:rPr>
          <w:t>http://flygrow.it/</w:t>
        </w:r>
      </w:hyperlink>
      <w:r w:rsidR="009466A7">
        <w:rPr>
          <w:rFonts w:ascii="Cambria" w:hAnsi="Cambria" w:cstheme="minorHAnsi"/>
          <w:sz w:val="24"/>
          <w:szCs w:val="24"/>
          <w:lang w:val="it-IT"/>
        </w:rPr>
        <w:t>)</w:t>
      </w:r>
      <w:r w:rsidR="00D27460">
        <w:rPr>
          <w:rFonts w:ascii="Cambria" w:hAnsi="Cambria" w:cstheme="minorHAnsi"/>
          <w:sz w:val="24"/>
          <w:szCs w:val="24"/>
          <w:lang w:val="it-IT"/>
        </w:rPr>
        <w:t>.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967933">
        <w:rPr>
          <w:rFonts w:ascii="Cambria" w:hAnsi="Cambria" w:cstheme="minorHAnsi"/>
          <w:sz w:val="24"/>
          <w:szCs w:val="24"/>
          <w:lang w:val="it-IT"/>
        </w:rPr>
        <w:t xml:space="preserve">I principali elementi delle VFs sono la struttura protettiva (con pareti </w:t>
      </w:r>
      <w:r w:rsidR="00967933">
        <w:rPr>
          <w:rFonts w:ascii="Cambria" w:hAnsi="Cambria" w:cstheme="minorHAnsi"/>
          <w:sz w:val="24"/>
          <w:szCs w:val="24"/>
          <w:lang w:val="it-IT"/>
        </w:rPr>
        <w:lastRenderedPageBreak/>
        <w:t xml:space="preserve">opache e isolata ermeticamente dall’ambiente esterno), l’impiego di luce artificiale e </w:t>
      </w:r>
      <w:r w:rsidR="00FF0A3B">
        <w:rPr>
          <w:rFonts w:ascii="Cambria" w:hAnsi="Cambria" w:cstheme="minorHAnsi"/>
          <w:sz w:val="24"/>
          <w:szCs w:val="24"/>
          <w:lang w:val="it-IT"/>
        </w:rPr>
        <w:t xml:space="preserve">di sistemi per il </w:t>
      </w:r>
      <w:r w:rsidR="00967933">
        <w:rPr>
          <w:rFonts w:ascii="Cambria" w:hAnsi="Cambria" w:cstheme="minorHAnsi"/>
          <w:sz w:val="24"/>
          <w:szCs w:val="24"/>
          <w:lang w:val="it-IT"/>
        </w:rPr>
        <w:t>controllo climatico, l’uso di sistemi idroponici ad elevata tecnologia e di sistemi per la somministrazione di CO</w:t>
      </w:r>
      <w:r w:rsidR="00967933" w:rsidRPr="00967933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="00967933">
        <w:rPr>
          <w:rFonts w:ascii="Cambria" w:hAnsi="Cambria" w:cstheme="minorHAnsi"/>
          <w:sz w:val="24"/>
          <w:szCs w:val="24"/>
          <w:lang w:val="it-IT"/>
        </w:rPr>
        <w:t>.</w:t>
      </w:r>
      <w:r w:rsidR="00967933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6"/>
      </w:r>
      <w:r w:rsidR="00967933">
        <w:rPr>
          <w:rFonts w:ascii="Cambria" w:hAnsi="Cambria" w:cstheme="minorHAnsi"/>
          <w:sz w:val="24"/>
          <w:szCs w:val="24"/>
          <w:lang w:val="it-IT"/>
        </w:rPr>
        <w:t xml:space="preserve"> Numerosi studi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hanno </w:t>
      </w:r>
      <w:r w:rsidR="00BF5D5D">
        <w:rPr>
          <w:rFonts w:ascii="Cambria" w:hAnsi="Cambria" w:cstheme="minorHAnsi"/>
          <w:sz w:val="24"/>
          <w:szCs w:val="24"/>
          <w:lang w:val="it-IT"/>
        </w:rPr>
        <w:t xml:space="preserve">recentemente </w:t>
      </w:r>
      <w:r w:rsidR="00967933">
        <w:rPr>
          <w:rFonts w:ascii="Cambria" w:hAnsi="Cambria" w:cstheme="minorHAnsi"/>
          <w:sz w:val="24"/>
          <w:szCs w:val="24"/>
          <w:lang w:val="it-IT"/>
        </w:rPr>
        <w:t xml:space="preserve">evidenziato </w:t>
      </w:r>
      <w:r w:rsidR="00BF5D5D">
        <w:rPr>
          <w:rFonts w:ascii="Cambria" w:hAnsi="Cambria" w:cstheme="minorHAnsi"/>
          <w:sz w:val="24"/>
          <w:szCs w:val="24"/>
          <w:lang w:val="it-IT"/>
        </w:rPr>
        <w:t>i vantaggi d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i </w:t>
      </w:r>
      <w:r w:rsidR="00BF5D5D">
        <w:rPr>
          <w:rFonts w:ascii="Cambria" w:hAnsi="Cambria" w:cstheme="minorHAnsi"/>
          <w:sz w:val="24"/>
          <w:szCs w:val="24"/>
          <w:lang w:val="it-IT"/>
        </w:rPr>
        <w:t xml:space="preserve">tali 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sistemi </w:t>
      </w:r>
      <w:r w:rsidR="00BF5D5D">
        <w:rPr>
          <w:rFonts w:ascii="Cambria" w:hAnsi="Cambria" w:cstheme="minorHAnsi"/>
          <w:sz w:val="24"/>
          <w:szCs w:val="24"/>
          <w:lang w:val="it-IT"/>
        </w:rPr>
        <w:t>con riferimento alla stabilizzazione delle produzioni (grazie al controllo dei parametri ambientali)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, </w:t>
      </w:r>
      <w:r w:rsidR="00BF5D5D">
        <w:rPr>
          <w:rFonts w:ascii="Cambria" w:hAnsi="Cambria" w:cstheme="minorHAnsi"/>
          <w:sz w:val="24"/>
          <w:szCs w:val="24"/>
          <w:lang w:val="it-IT"/>
        </w:rPr>
        <w:t>al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la </w:t>
      </w:r>
      <w:r w:rsidR="00BF5D5D">
        <w:rPr>
          <w:rFonts w:ascii="Cambria" w:hAnsi="Cambria" w:cstheme="minorHAnsi"/>
          <w:sz w:val="24"/>
          <w:szCs w:val="24"/>
          <w:lang w:val="it-IT"/>
        </w:rPr>
        <w:t>migliore qualità degli alimenti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 (</w:t>
      </w:r>
      <w:r w:rsidR="00926065">
        <w:rPr>
          <w:rFonts w:ascii="Cambria" w:hAnsi="Cambria" w:cstheme="minorHAnsi"/>
          <w:sz w:val="24"/>
          <w:szCs w:val="24"/>
          <w:lang w:val="it-IT"/>
        </w:rPr>
        <w:t xml:space="preserve">tramite </w:t>
      </w:r>
      <w:r w:rsidRPr="00B72D13">
        <w:rPr>
          <w:rFonts w:ascii="Cambria" w:hAnsi="Cambria" w:cstheme="minorHAnsi"/>
          <w:sz w:val="24"/>
          <w:szCs w:val="24"/>
          <w:lang w:val="it-IT"/>
        </w:rPr>
        <w:t>riduzione dell'uso di pesticidi</w:t>
      </w:r>
      <w:r w:rsidR="00926065">
        <w:rPr>
          <w:rFonts w:ascii="Cambria" w:hAnsi="Cambria" w:cstheme="minorHAnsi"/>
          <w:sz w:val="24"/>
          <w:szCs w:val="24"/>
          <w:lang w:val="it-IT"/>
        </w:rPr>
        <w:t xml:space="preserve"> e miglioramento nella biosintesi di metaboliti secondari</w:t>
      </w:r>
      <w:r w:rsidRPr="00B72D13">
        <w:rPr>
          <w:rFonts w:ascii="Cambria" w:hAnsi="Cambria" w:cstheme="minorHAnsi"/>
          <w:sz w:val="24"/>
          <w:szCs w:val="24"/>
          <w:lang w:val="it-IT"/>
        </w:rPr>
        <w:t>)</w:t>
      </w:r>
      <w:r w:rsidR="00926065">
        <w:rPr>
          <w:rFonts w:ascii="Cambria" w:hAnsi="Cambria" w:cstheme="minorHAnsi"/>
          <w:sz w:val="24"/>
          <w:szCs w:val="24"/>
          <w:lang w:val="it-IT"/>
        </w:rPr>
        <w:t xml:space="preserve">, nonché alla maggior freschezza dei prodotti e alla riduzione degli impatti ambientali associati a </w:t>
      </w:r>
      <w:r w:rsidR="00926065" w:rsidRPr="009466A7">
        <w:rPr>
          <w:rFonts w:ascii="Cambria" w:hAnsi="Cambria" w:cstheme="minorHAnsi"/>
          <w:sz w:val="24"/>
          <w:szCs w:val="24"/>
          <w:lang w:val="it-IT"/>
        </w:rPr>
        <w:t>trasporto e conservazione degli stessi.</w:t>
      </w:r>
      <w:r w:rsidR="009466A7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7"/>
      </w:r>
      <w:r w:rsidR="00926065" w:rsidRPr="009466A7">
        <w:rPr>
          <w:rFonts w:ascii="Cambria" w:hAnsi="Cambria" w:cstheme="minorHAnsi"/>
          <w:sz w:val="24"/>
          <w:szCs w:val="24"/>
          <w:lang w:val="it-IT"/>
        </w:rPr>
        <w:t xml:space="preserve"> Inoltre, </w:t>
      </w:r>
      <w:r w:rsidR="009466A7" w:rsidRPr="009466A7">
        <w:rPr>
          <w:rFonts w:ascii="Cambria" w:hAnsi="Cambria" w:cstheme="minorHAnsi"/>
          <w:sz w:val="24"/>
          <w:szCs w:val="24"/>
          <w:lang w:val="it-IT"/>
        </w:rPr>
        <w:t xml:space="preserve">è tema di estremo interesse la </w:t>
      </w:r>
      <w:r w:rsidRPr="009466A7">
        <w:rPr>
          <w:rFonts w:ascii="Cambria" w:hAnsi="Cambria" w:cstheme="minorHAnsi"/>
          <w:sz w:val="24"/>
          <w:szCs w:val="24"/>
          <w:lang w:val="it-IT"/>
        </w:rPr>
        <w:t xml:space="preserve">capacità </w:t>
      </w:r>
      <w:r w:rsidR="009466A7" w:rsidRPr="009466A7">
        <w:rPr>
          <w:rFonts w:ascii="Cambria" w:hAnsi="Cambria" w:cstheme="minorHAnsi"/>
          <w:sz w:val="24"/>
          <w:szCs w:val="24"/>
          <w:lang w:val="it-IT"/>
        </w:rPr>
        <w:t xml:space="preserve">delle VFs </w:t>
      </w:r>
      <w:r w:rsidRPr="009466A7">
        <w:rPr>
          <w:rFonts w:ascii="Cambria" w:hAnsi="Cambria" w:cstheme="minorHAnsi"/>
          <w:sz w:val="24"/>
          <w:szCs w:val="24"/>
          <w:lang w:val="it-IT"/>
        </w:rPr>
        <w:t>di migliorare l'efficienza dell'uso delle risorse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. La possibilità di esplorare </w:t>
      </w:r>
      <w:r w:rsidRPr="009466A7">
        <w:rPr>
          <w:rFonts w:ascii="Cambria" w:hAnsi="Cambria" w:cstheme="minorHAnsi"/>
          <w:sz w:val="24"/>
          <w:szCs w:val="24"/>
          <w:lang w:val="it-IT"/>
        </w:rPr>
        <w:t xml:space="preserve">la dimensione verticale 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nella coltivazione consente di produrre </w:t>
      </w:r>
      <w:r w:rsidRPr="009466A7">
        <w:rPr>
          <w:rFonts w:ascii="Cambria" w:hAnsi="Cambria" w:cstheme="minorHAnsi"/>
          <w:sz w:val="24"/>
          <w:szCs w:val="24"/>
          <w:lang w:val="it-IT"/>
        </w:rPr>
        <w:t xml:space="preserve">grandi quantità di </w:t>
      </w:r>
      <w:r w:rsidR="009466A7">
        <w:rPr>
          <w:rFonts w:ascii="Cambria" w:hAnsi="Cambria" w:cstheme="minorHAnsi"/>
          <w:sz w:val="24"/>
          <w:szCs w:val="24"/>
          <w:lang w:val="it-IT"/>
        </w:rPr>
        <w:t xml:space="preserve">cibo in </w:t>
      </w:r>
      <w:r w:rsidRPr="009466A7">
        <w:rPr>
          <w:rFonts w:ascii="Cambria" w:hAnsi="Cambria" w:cstheme="minorHAnsi"/>
          <w:sz w:val="24"/>
          <w:szCs w:val="24"/>
          <w:lang w:val="it-IT"/>
        </w:rPr>
        <w:t xml:space="preserve">superfici </w:t>
      </w:r>
      <w:r w:rsidR="009466A7">
        <w:rPr>
          <w:rFonts w:ascii="Cambria" w:hAnsi="Cambria" w:cstheme="minorHAnsi"/>
          <w:sz w:val="24"/>
          <w:szCs w:val="24"/>
          <w:lang w:val="it-IT"/>
        </w:rPr>
        <w:t>ridotte</w:t>
      </w:r>
      <w:r w:rsidR="00DC2134">
        <w:rPr>
          <w:rFonts w:ascii="Cambria" w:hAnsi="Cambria" w:cstheme="minorHAnsi"/>
          <w:sz w:val="24"/>
          <w:szCs w:val="24"/>
          <w:lang w:val="it-IT"/>
        </w:rPr>
        <w:t>.</w:t>
      </w:r>
      <w:r w:rsidR="00DC213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8"/>
      </w:r>
      <w:r w:rsidR="00DC2134">
        <w:rPr>
          <w:rFonts w:ascii="Cambria" w:hAnsi="Cambria" w:cstheme="minorHAnsi"/>
          <w:sz w:val="24"/>
          <w:szCs w:val="24"/>
          <w:lang w:val="it-IT"/>
        </w:rPr>
        <w:t xml:space="preserve"> Inoltre, l’impiego di sistemi idroponici a ciclo chiuso e l’adozione di sistemi per la condensazione dell’acqua traspirata e la re-immissione della stessa nel sistema irriguo consentono notevoli risparmi di acqua e nutrienti.</w:t>
      </w:r>
      <w:r w:rsidR="00DC213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9"/>
      </w:r>
      <w:r w:rsidR="00DC2134">
        <w:rPr>
          <w:rFonts w:ascii="Cambria" w:hAnsi="Cambria" w:cstheme="minorHAnsi"/>
          <w:sz w:val="24"/>
          <w:szCs w:val="24"/>
          <w:lang w:val="it-IT"/>
        </w:rPr>
        <w:t xml:space="preserve"> D’altro canto però</w:t>
      </w:r>
      <w:r w:rsidRPr="00B72D13">
        <w:rPr>
          <w:rFonts w:ascii="Cambria" w:hAnsi="Cambria" w:cstheme="minorHAnsi"/>
          <w:sz w:val="24"/>
          <w:szCs w:val="24"/>
          <w:lang w:val="it-IT"/>
        </w:rPr>
        <w:t xml:space="preserve">, </w:t>
      </w:r>
      <w:r w:rsidR="00DC2134">
        <w:rPr>
          <w:rFonts w:ascii="Cambria" w:hAnsi="Cambria" w:cstheme="minorHAnsi"/>
          <w:sz w:val="24"/>
          <w:szCs w:val="24"/>
          <w:lang w:val="it-IT"/>
        </w:rPr>
        <w:t>i principali limiti alla diffusione delle VFs oggi riguardano gli elevati costi sia per l’investimento iniziale che per gli elevati consumi energetici associati all’impiego di illuminazione artificiale.</w:t>
      </w:r>
      <w:r w:rsidR="00DC213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0"/>
      </w:r>
      <w:r w:rsidR="00094D91">
        <w:rPr>
          <w:rFonts w:ascii="Cambria" w:hAnsi="Cambria" w:cstheme="minorHAnsi"/>
          <w:sz w:val="24"/>
          <w:szCs w:val="24"/>
          <w:lang w:val="it-IT"/>
        </w:rPr>
        <w:t xml:space="preserve"> In questo articolo verranno illustrate le principali strategie e linee di ricerca mirate all’ottimizzazione dell’uso delle risorse in sistemi per il vertical farming.</w:t>
      </w:r>
    </w:p>
    <w:p w14:paraId="7E4A711C" w14:textId="6F08CD2E" w:rsidR="00094D91" w:rsidRDefault="00094D91" w:rsidP="00094D91">
      <w:pPr>
        <w:spacing w:after="0" w:line="240" w:lineRule="auto"/>
        <w:jc w:val="both"/>
        <w:rPr>
          <w:rFonts w:ascii="Cambria" w:hAnsi="Cambria" w:cstheme="minorHAnsi"/>
          <w:sz w:val="24"/>
          <w:szCs w:val="24"/>
          <w:lang w:val="it-IT"/>
        </w:rPr>
      </w:pPr>
    </w:p>
    <w:p w14:paraId="6D0230A0" w14:textId="2EBB4C42" w:rsidR="00423A26" w:rsidRPr="00927B35" w:rsidRDefault="00927B35" w:rsidP="00B72D13">
      <w:pPr>
        <w:spacing w:after="0" w:line="240" w:lineRule="auto"/>
        <w:jc w:val="both"/>
        <w:rPr>
          <w:rFonts w:ascii="Cambria" w:hAnsi="Cambria" w:cstheme="minorHAnsi"/>
          <w:b/>
          <w:sz w:val="24"/>
          <w:szCs w:val="24"/>
          <w:lang w:val="it-IT"/>
        </w:rPr>
      </w:pPr>
      <w:r w:rsidRPr="00927B35">
        <w:rPr>
          <w:rFonts w:ascii="Cambria" w:hAnsi="Cambria" w:cstheme="minorHAnsi"/>
          <w:b/>
          <w:sz w:val="24"/>
          <w:szCs w:val="24"/>
          <w:lang w:val="it-IT"/>
        </w:rPr>
        <w:t>Illuminazione LED</w:t>
      </w:r>
    </w:p>
    <w:p w14:paraId="7066040E" w14:textId="156CB059" w:rsidR="00181646" w:rsidRDefault="00FF0A3B" w:rsidP="00CF7274">
      <w:pPr>
        <w:spacing w:after="0" w:line="240" w:lineRule="auto"/>
        <w:ind w:firstLine="426"/>
        <w:jc w:val="both"/>
        <w:rPr>
          <w:rFonts w:ascii="Cambria" w:hAnsi="Cambria" w:cstheme="minorHAnsi"/>
          <w:sz w:val="24"/>
          <w:szCs w:val="24"/>
          <w:lang w:val="it-IT"/>
        </w:rPr>
      </w:pPr>
      <w:r>
        <w:rPr>
          <w:rFonts w:ascii="Cambria" w:hAnsi="Cambria" w:cstheme="minorHAnsi"/>
          <w:sz w:val="24"/>
          <w:szCs w:val="24"/>
          <w:lang w:val="it-IT"/>
        </w:rPr>
        <w:t>All’interno delle VFs</w:t>
      </w:r>
      <w:r w:rsidR="008C2062">
        <w:rPr>
          <w:rFonts w:ascii="Cambria" w:hAnsi="Cambria" w:cstheme="minorHAnsi"/>
          <w:sz w:val="24"/>
          <w:szCs w:val="24"/>
          <w:lang w:val="it-IT"/>
        </w:rPr>
        <w:t>, l’innovazione tecnologica nei sistemi per l’illuminazione artificiale riveste un ruolo fondamentale, in quanto i costi per l’energia elettrica rappresentano una quota maggioritaria dei costi di produzione.</w:t>
      </w:r>
      <w:r w:rsidR="008C2062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1"/>
      </w:r>
      <w:r w:rsidR="008C2062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Negli ultimi decenni, </w:t>
      </w:r>
      <w:r w:rsidR="008C2062">
        <w:rPr>
          <w:rFonts w:ascii="Cambria" w:hAnsi="Cambria" w:cstheme="minorHAnsi"/>
          <w:sz w:val="24"/>
          <w:szCs w:val="24"/>
          <w:lang w:val="it-IT"/>
        </w:rPr>
        <w:t xml:space="preserve">l’innovazione tecnologica nella tecnologia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LED </w:t>
      </w:r>
      <w:r w:rsidR="008C2062">
        <w:rPr>
          <w:rFonts w:ascii="Cambria" w:hAnsi="Cambria" w:cstheme="minorHAnsi"/>
          <w:sz w:val="24"/>
          <w:szCs w:val="24"/>
          <w:lang w:val="it-IT"/>
        </w:rPr>
        <w:t xml:space="preserve">ha portato alla diffusione di sistemi ad elevata efficienza </w:t>
      </w:r>
      <w:r w:rsidR="008C2062" w:rsidRPr="00927B35">
        <w:rPr>
          <w:rFonts w:ascii="Cambria" w:hAnsi="Cambria" w:cstheme="minorHAnsi"/>
          <w:sz w:val="24"/>
          <w:szCs w:val="24"/>
          <w:lang w:val="it-IT"/>
        </w:rPr>
        <w:t>energetica</w:t>
      </w:r>
      <w:r w:rsidR="008C2062">
        <w:rPr>
          <w:rFonts w:ascii="Cambria" w:hAnsi="Cambria" w:cstheme="minorHAnsi"/>
          <w:sz w:val="24"/>
          <w:szCs w:val="24"/>
          <w:lang w:val="it-IT"/>
        </w:rPr>
        <w:t>, nei quali è possibile conc</w:t>
      </w:r>
      <w:r w:rsidR="00875170">
        <w:rPr>
          <w:rFonts w:ascii="Cambria" w:hAnsi="Cambria" w:cstheme="minorHAnsi"/>
          <w:sz w:val="24"/>
          <w:szCs w:val="24"/>
          <w:lang w:val="it-IT"/>
        </w:rPr>
        <w:t>entrare la radiazione luminosa ne</w:t>
      </w:r>
      <w:r w:rsidR="008C2062">
        <w:rPr>
          <w:rFonts w:ascii="Cambria" w:hAnsi="Cambria" w:cstheme="minorHAnsi"/>
          <w:sz w:val="24"/>
          <w:szCs w:val="24"/>
          <w:lang w:val="it-IT"/>
        </w:rPr>
        <w:t>lle regioni dello spettro più rilevanti per la crescita delle piante.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Ad esempio, è stato riportato che le foglie di lattuga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assorbano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il 90% della luce dalle regioni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del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ross</w:t>
      </w:r>
      <w:r w:rsidR="00CF7274">
        <w:rPr>
          <w:rFonts w:ascii="Cambria" w:hAnsi="Cambria" w:cstheme="minorHAnsi"/>
          <w:sz w:val="24"/>
          <w:szCs w:val="24"/>
          <w:lang w:val="it-IT"/>
        </w:rPr>
        <w:t>o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(600-700 nm) e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del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blu (400-500 nm)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all’interno della cosiddetta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radiazione fotosinteticamente attiva </w:t>
      </w:r>
      <w:r w:rsidR="00CF7274">
        <w:rPr>
          <w:rFonts w:ascii="Cambria" w:hAnsi="Cambria" w:cstheme="minorHAnsi"/>
          <w:sz w:val="24"/>
          <w:szCs w:val="24"/>
          <w:lang w:val="it-IT"/>
        </w:rPr>
        <w:t>(PAR, Photosyntetically Active Radiation</w:t>
      </w:r>
      <w:r w:rsidR="00875170">
        <w:rPr>
          <w:rFonts w:ascii="Cambria" w:hAnsi="Cambria" w:cstheme="minorHAnsi"/>
          <w:sz w:val="24"/>
          <w:szCs w:val="24"/>
          <w:lang w:val="it-IT"/>
        </w:rPr>
        <w:t>)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.</w:t>
      </w:r>
      <w:r w:rsidR="00CF727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2"/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CF7274">
        <w:rPr>
          <w:rFonts w:ascii="Cambria" w:hAnsi="Cambria" w:cstheme="minorHAnsi"/>
          <w:sz w:val="24"/>
          <w:szCs w:val="24"/>
          <w:lang w:val="it-IT"/>
        </w:rPr>
        <w:t>La corretta modulazione del rapporto tra la radiazione rossa e blu emessa da sorgenti LED ha di conseguenza permesso di ottimizzare produzioni e caratteristiche nutrizionali del prodotto, migliorando peraltro l’efficienza d’uso delle risorse in diverse specie orticole ed aromatiche.</w:t>
      </w:r>
      <w:r w:rsidR="00CF727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3"/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Inoltre, anche altre regioni dello spettro stanno guadagnando crescente attenzione. È stato segnalato che la luce verde (500-600 nm) aument</w:t>
      </w:r>
      <w:r w:rsidR="00CF7274">
        <w:rPr>
          <w:rFonts w:ascii="Cambria" w:hAnsi="Cambria" w:cstheme="minorHAnsi"/>
          <w:sz w:val="24"/>
          <w:szCs w:val="24"/>
          <w:lang w:val="it-IT"/>
        </w:rPr>
        <w:t>i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l'assimilazione del carbonio e la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conseguente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lastRenderedPageBreak/>
        <w:t xml:space="preserve">resa delle piante, grazie alla capacità di penetrare </w:t>
      </w:r>
      <w:r w:rsidR="00CF7274">
        <w:rPr>
          <w:rFonts w:ascii="Cambria" w:hAnsi="Cambria" w:cstheme="minorHAnsi"/>
          <w:sz w:val="24"/>
          <w:szCs w:val="24"/>
          <w:lang w:val="it-IT"/>
        </w:rPr>
        <w:t>meglio n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el</w:t>
      </w:r>
      <w:r w:rsidR="00CF7274">
        <w:rPr>
          <w:rFonts w:ascii="Cambria" w:hAnsi="Cambria" w:cstheme="minorHAnsi"/>
          <w:sz w:val="24"/>
          <w:szCs w:val="24"/>
          <w:lang w:val="it-IT"/>
        </w:rPr>
        <w:t>la chioma,</w:t>
      </w:r>
      <w:r w:rsidR="00CF727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4"/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 con effetti benefici anche nel contenuti in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clorofilla e</w:t>
      </w:r>
      <w:r w:rsidR="00CF7274">
        <w:rPr>
          <w:rFonts w:ascii="Cambria" w:hAnsi="Cambria" w:cstheme="minorHAnsi"/>
          <w:sz w:val="24"/>
          <w:szCs w:val="24"/>
          <w:lang w:val="it-IT"/>
        </w:rPr>
        <w:t>d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acido ascorbico.</w:t>
      </w:r>
      <w:r w:rsidR="00CF7274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5"/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CF7274">
        <w:rPr>
          <w:rFonts w:ascii="Cambria" w:hAnsi="Cambria" w:cstheme="minorHAnsi"/>
          <w:sz w:val="24"/>
          <w:szCs w:val="24"/>
          <w:lang w:val="it-IT"/>
        </w:rPr>
        <w:t xml:space="preserve">L’integrazione di 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luce nell’ambito della regione del rosso lontano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(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Far red con lunghezza d’onda superiore ai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700 nm)</w:t>
      </w:r>
      <w:r w:rsidR="00181646">
        <w:rPr>
          <w:rFonts w:ascii="Cambria" w:hAnsi="Cambria" w:cstheme="minorHAnsi"/>
          <w:sz w:val="24"/>
          <w:szCs w:val="24"/>
          <w:lang w:val="it-IT"/>
        </w:rPr>
        <w:t>, ha consentito di modulare la fotomorfogenesi ed aumentare la capacità della pianta di intercettazione della luce somministrata e di conseguenza la fotosintesi netta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.</w:t>
      </w:r>
      <w:r w:rsidR="0018164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6"/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181646">
        <w:rPr>
          <w:rFonts w:ascii="Cambria" w:hAnsi="Cambria" w:cstheme="minorHAnsi"/>
          <w:sz w:val="24"/>
          <w:szCs w:val="24"/>
          <w:lang w:val="it-IT"/>
        </w:rPr>
        <w:t>D’altro canto però, eccedere nella somministrazione del rosso lontano potrebbe portare a modifiche dell’architettura della pianta tali da indurne una maggiore suscettibilità ai patogeni fogliari (es. botrite).</w:t>
      </w:r>
      <w:r w:rsidR="0018164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7"/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 Più in generale, </w:t>
      </w:r>
      <w:r w:rsidR="00875170">
        <w:rPr>
          <w:rFonts w:ascii="Cambria" w:hAnsi="Cambria" w:cstheme="minorHAnsi"/>
          <w:sz w:val="24"/>
          <w:szCs w:val="24"/>
          <w:lang w:val="it-IT"/>
        </w:rPr>
        <w:t>la risposta delle piante ai regimi luminosi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è </w:t>
      </w:r>
      <w:r w:rsidR="00181646">
        <w:rPr>
          <w:rFonts w:ascii="Cambria" w:hAnsi="Cambria" w:cstheme="minorHAnsi"/>
          <w:sz w:val="24"/>
          <w:szCs w:val="24"/>
          <w:lang w:val="it-IT"/>
        </w:rPr>
        <w:t>fortemente legat</w:t>
      </w:r>
      <w:r w:rsidR="00875170">
        <w:rPr>
          <w:rFonts w:ascii="Cambria" w:hAnsi="Cambria" w:cstheme="minorHAnsi"/>
          <w:sz w:val="24"/>
          <w:szCs w:val="24"/>
          <w:lang w:val="it-IT"/>
        </w:rPr>
        <w:t>a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 alle specie o cultivar impiegate, e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può </w:t>
      </w:r>
      <w:r w:rsidR="00181646">
        <w:rPr>
          <w:rFonts w:ascii="Cambria" w:hAnsi="Cambria" w:cstheme="minorHAnsi"/>
          <w:sz w:val="24"/>
          <w:szCs w:val="24"/>
          <w:lang w:val="it-IT"/>
        </w:rPr>
        <w:t>essere anche influenzat</w:t>
      </w:r>
      <w:r w:rsidR="00875170">
        <w:rPr>
          <w:rFonts w:ascii="Cambria" w:hAnsi="Cambria" w:cstheme="minorHAnsi"/>
          <w:sz w:val="24"/>
          <w:szCs w:val="24"/>
          <w:lang w:val="it-IT"/>
        </w:rPr>
        <w:t>a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 dalle 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condizioni ambientali (</w:t>
      </w:r>
      <w:r w:rsidR="00181646">
        <w:rPr>
          <w:rFonts w:ascii="Cambria" w:hAnsi="Cambria" w:cstheme="minorHAnsi"/>
          <w:sz w:val="24"/>
          <w:szCs w:val="24"/>
          <w:lang w:val="it-IT"/>
        </w:rPr>
        <w:t>t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emperatura dell'aria, umidità, concentrazione di CO</w:t>
      </w:r>
      <w:r w:rsidR="00927B35" w:rsidRPr="00181646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>) dell'ambiente di coltivazione.</w:t>
      </w:r>
      <w:r w:rsidR="0018164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8"/>
      </w:r>
      <w:r w:rsidR="00927B35"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</w:p>
    <w:p w14:paraId="78A9AD64" w14:textId="4FCCE192" w:rsidR="006D265F" w:rsidRPr="00C03BA2" w:rsidRDefault="00927B35" w:rsidP="00B72D13">
      <w:pPr>
        <w:spacing w:after="0" w:line="240" w:lineRule="auto"/>
        <w:ind w:firstLine="426"/>
        <w:jc w:val="both"/>
        <w:rPr>
          <w:rFonts w:ascii="Cambria" w:hAnsi="Cambria" w:cstheme="minorHAnsi"/>
          <w:sz w:val="24"/>
          <w:szCs w:val="24"/>
          <w:highlight w:val="yellow"/>
          <w:lang w:val="it-IT"/>
        </w:rPr>
      </w:pPr>
      <w:r w:rsidRPr="00927B35">
        <w:rPr>
          <w:rFonts w:ascii="Cambria" w:hAnsi="Cambria" w:cstheme="minorHAnsi"/>
          <w:sz w:val="24"/>
          <w:szCs w:val="24"/>
          <w:lang w:val="it-IT"/>
        </w:rPr>
        <w:t xml:space="preserve">Oltre ai vantaggi </w:t>
      </w:r>
      <w:r w:rsidR="00875170">
        <w:rPr>
          <w:rFonts w:ascii="Cambria" w:hAnsi="Cambria" w:cstheme="minorHAnsi"/>
          <w:sz w:val="24"/>
          <w:szCs w:val="24"/>
          <w:lang w:val="it-IT"/>
        </w:rPr>
        <w:t>legati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 a</w:t>
      </w:r>
      <w:r w:rsidR="00C03BA2">
        <w:rPr>
          <w:rFonts w:ascii="Cambria" w:hAnsi="Cambria" w:cstheme="minorHAnsi"/>
          <w:sz w:val="24"/>
          <w:szCs w:val="24"/>
          <w:lang w:val="it-IT"/>
        </w:rPr>
        <w:t>lle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 possibili manipolazioni della composizione spettrale, 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i principali benefici associati alla tecnologia LED sono </w:t>
      </w:r>
      <w:r w:rsidR="00875170">
        <w:rPr>
          <w:rFonts w:ascii="Cambria" w:hAnsi="Cambria" w:cstheme="minorHAnsi"/>
          <w:sz w:val="24"/>
          <w:szCs w:val="24"/>
          <w:lang w:val="it-IT"/>
        </w:rPr>
        <w:t>dovuti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 a 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dimensioni ridotte, robustezza fisica 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e durata dei sistemi, nonché alla </w:t>
      </w:r>
      <w:r w:rsidRPr="00927B35">
        <w:rPr>
          <w:rFonts w:ascii="Cambria" w:hAnsi="Cambria" w:cstheme="minorHAnsi"/>
          <w:sz w:val="24"/>
          <w:szCs w:val="24"/>
          <w:lang w:val="it-IT"/>
        </w:rPr>
        <w:t>scarsa emissione di calore radiante,</w:t>
      </w:r>
      <w:r w:rsidR="0018164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19"/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che ne 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consente </w:t>
      </w:r>
      <w:r w:rsidR="00181646">
        <w:rPr>
          <w:rFonts w:ascii="Cambria" w:hAnsi="Cambria" w:cstheme="minorHAnsi"/>
          <w:sz w:val="24"/>
          <w:szCs w:val="24"/>
          <w:lang w:val="it-IT"/>
        </w:rPr>
        <w:t>l’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installazione anche </w:t>
      </w:r>
      <w:r w:rsidR="00181646">
        <w:rPr>
          <w:rFonts w:ascii="Cambria" w:hAnsi="Cambria" w:cstheme="minorHAnsi"/>
          <w:sz w:val="24"/>
          <w:szCs w:val="24"/>
          <w:lang w:val="it-IT"/>
        </w:rPr>
        <w:t>in prossimità della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 chioma delle piante e riduce</w:t>
      </w:r>
      <w:r w:rsidR="00181646">
        <w:rPr>
          <w:rFonts w:ascii="Cambria" w:hAnsi="Cambria" w:cstheme="minorHAnsi"/>
          <w:sz w:val="24"/>
          <w:szCs w:val="24"/>
          <w:lang w:val="it-IT"/>
        </w:rPr>
        <w:t xml:space="preserve"> i volumi necessari nel caso di coltivazione in </w:t>
      </w:r>
      <w:r w:rsidR="00C03BA2">
        <w:rPr>
          <w:rFonts w:ascii="Cambria" w:hAnsi="Cambria" w:cstheme="minorHAnsi"/>
          <w:sz w:val="24"/>
          <w:szCs w:val="24"/>
          <w:lang w:val="it-IT"/>
        </w:rPr>
        <w:t>livelli sovrapposti</w:t>
      </w:r>
      <w:r w:rsidRPr="00927B35">
        <w:rPr>
          <w:rFonts w:ascii="Cambria" w:hAnsi="Cambria" w:cstheme="minorHAnsi"/>
          <w:sz w:val="24"/>
          <w:szCs w:val="24"/>
          <w:lang w:val="it-IT"/>
        </w:rPr>
        <w:t>.</w:t>
      </w:r>
      <w:r w:rsidR="00C03BA2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0"/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 Purtroppo le tecnologie presentano tuttora costi di installazione molto elevati, anche in misura di </w:t>
      </w:r>
      <w:r w:rsidRPr="00927B35">
        <w:rPr>
          <w:rFonts w:ascii="Cambria" w:hAnsi="Cambria" w:cstheme="minorHAnsi"/>
          <w:sz w:val="24"/>
          <w:szCs w:val="24"/>
          <w:lang w:val="it-IT"/>
        </w:rPr>
        <w:t>5-10 volte superiore rispetto alle lampade HPS</w:t>
      </w:r>
      <w:r w:rsidR="00C03BA2">
        <w:rPr>
          <w:rFonts w:ascii="Cambria" w:hAnsi="Cambria" w:cstheme="minorHAnsi"/>
          <w:sz w:val="24"/>
          <w:szCs w:val="24"/>
          <w:lang w:val="it-IT"/>
        </w:rPr>
        <w:t>.</w:t>
      </w:r>
      <w:r w:rsidR="00C03BA2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1"/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Ciononostante, l’elevato 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costo iniziale </w:t>
      </w:r>
      <w:r w:rsidR="00C03BA2">
        <w:rPr>
          <w:rFonts w:ascii="Cambria" w:hAnsi="Cambria" w:cstheme="minorHAnsi"/>
          <w:sz w:val="24"/>
          <w:szCs w:val="24"/>
          <w:lang w:val="it-IT"/>
        </w:rPr>
        <w:t>va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 controbilanciato 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con la loro maggiore </w:t>
      </w:r>
      <w:r w:rsidRPr="00927B35">
        <w:rPr>
          <w:rFonts w:ascii="Cambria" w:hAnsi="Cambria" w:cstheme="minorHAnsi"/>
          <w:sz w:val="24"/>
          <w:szCs w:val="24"/>
          <w:lang w:val="it-IT"/>
        </w:rPr>
        <w:t xml:space="preserve">durata </w:t>
      </w:r>
      <w:r w:rsidR="00C03BA2">
        <w:rPr>
          <w:rFonts w:ascii="Cambria" w:hAnsi="Cambria" w:cstheme="minorHAnsi"/>
          <w:sz w:val="24"/>
          <w:szCs w:val="24"/>
          <w:lang w:val="it-IT"/>
        </w:rPr>
        <w:t xml:space="preserve">(30’000-50'000 ore </w:t>
      </w:r>
      <w:r w:rsidR="00C03BA2" w:rsidRPr="00C03BA2">
        <w:rPr>
          <w:rFonts w:ascii="Cambria" w:hAnsi="Cambria" w:cstheme="minorHAnsi"/>
          <w:sz w:val="24"/>
          <w:szCs w:val="24"/>
          <w:lang w:val="it-IT"/>
        </w:rPr>
        <w:t xml:space="preserve">di utilizzo) </w:t>
      </w:r>
      <w:r w:rsidRPr="00C03BA2">
        <w:rPr>
          <w:rFonts w:ascii="Cambria" w:hAnsi="Cambria" w:cstheme="minorHAnsi"/>
          <w:sz w:val="24"/>
          <w:szCs w:val="24"/>
          <w:lang w:val="it-IT"/>
        </w:rPr>
        <w:t>e maggiore efficacia</w:t>
      </w:r>
      <w:r w:rsidR="00C03BA2" w:rsidRPr="00C03BA2">
        <w:rPr>
          <w:rFonts w:ascii="Cambria" w:hAnsi="Cambria" w:cstheme="minorHAnsi"/>
          <w:sz w:val="24"/>
          <w:szCs w:val="24"/>
          <w:lang w:val="it-IT"/>
        </w:rPr>
        <w:t xml:space="preserve"> (fino a 2.5 </w:t>
      </w:r>
      <w:r w:rsidR="00374102" w:rsidRPr="00C03BA2">
        <w:rPr>
          <w:rFonts w:ascii="Cambria" w:hAnsi="Cambria" w:cstheme="minorHAnsi"/>
          <w:sz w:val="24"/>
          <w:szCs w:val="24"/>
          <w:lang w:val="it-IT"/>
        </w:rPr>
        <w:t>µ</w:t>
      </w:r>
      <w:r w:rsidR="009372DF" w:rsidRPr="00C03BA2">
        <w:rPr>
          <w:rFonts w:ascii="Cambria" w:hAnsi="Cambria" w:cstheme="minorHAnsi"/>
          <w:sz w:val="24"/>
          <w:szCs w:val="24"/>
          <w:lang w:val="it-IT"/>
        </w:rPr>
        <w:t>mol J</w:t>
      </w:r>
      <w:r w:rsidR="009372DF" w:rsidRPr="00C03BA2">
        <w:rPr>
          <w:rFonts w:ascii="Cambria" w:hAnsi="Cambria" w:cstheme="minorHAnsi"/>
          <w:sz w:val="24"/>
          <w:szCs w:val="24"/>
          <w:vertAlign w:val="superscript"/>
          <w:lang w:val="it-IT"/>
        </w:rPr>
        <w:t>-1</w:t>
      </w:r>
      <w:r w:rsidR="009372DF" w:rsidRPr="00C03BA2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C03BA2" w:rsidRPr="00C03BA2">
        <w:rPr>
          <w:rFonts w:ascii="Cambria" w:hAnsi="Cambria" w:cstheme="minorHAnsi"/>
          <w:sz w:val="24"/>
          <w:szCs w:val="24"/>
          <w:lang w:val="it-IT"/>
        </w:rPr>
        <w:t>nei sistemi in commercio), che comporta risparmi in misura del 50% rispetto ai consumi normalmente osservati in lampade HPS.</w:t>
      </w:r>
      <w:r w:rsidR="00C03BA2" w:rsidRPr="00C03BA2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2"/>
      </w:r>
    </w:p>
    <w:p w14:paraId="1C4DB0F9" w14:textId="02B52E0B" w:rsidR="005F6DB4" w:rsidRPr="00E07343" w:rsidRDefault="005F6DB4" w:rsidP="00C03BA2">
      <w:pPr>
        <w:spacing w:after="0" w:line="240" w:lineRule="auto"/>
        <w:jc w:val="both"/>
        <w:rPr>
          <w:rFonts w:ascii="Cambria" w:hAnsi="Cambria" w:cstheme="minorHAnsi"/>
          <w:sz w:val="24"/>
          <w:szCs w:val="24"/>
          <w:highlight w:val="yellow"/>
          <w:lang w:val="it-IT"/>
        </w:rPr>
      </w:pPr>
    </w:p>
    <w:p w14:paraId="3694DF0A" w14:textId="209F39E0" w:rsidR="00D12D40" w:rsidRPr="00C03BA2" w:rsidRDefault="00C03BA2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lang w:val="it-IT"/>
        </w:rPr>
      </w:pPr>
      <w:r w:rsidRPr="00C03BA2">
        <w:rPr>
          <w:rFonts w:ascii="Cambria" w:hAnsi="Cambria" w:cstheme="minorHAnsi"/>
          <w:b/>
          <w:bCs/>
          <w:sz w:val="24"/>
          <w:szCs w:val="24"/>
          <w:lang w:val="it-IT"/>
        </w:rPr>
        <w:t>Sistemi di coltivazione idroponica</w:t>
      </w:r>
    </w:p>
    <w:p w14:paraId="6693C102" w14:textId="127B5A6C" w:rsidR="006F3DED" w:rsidRDefault="00C03BA2" w:rsidP="00C03BA2">
      <w:pPr>
        <w:spacing w:after="0" w:line="240" w:lineRule="auto"/>
        <w:ind w:firstLine="567"/>
        <w:jc w:val="both"/>
        <w:rPr>
          <w:rFonts w:ascii="Cambria" w:hAnsi="Cambria" w:cstheme="minorHAnsi"/>
          <w:sz w:val="24"/>
          <w:szCs w:val="24"/>
          <w:lang w:val="it-IT"/>
        </w:rPr>
      </w:pPr>
      <w:r w:rsidRPr="00C03BA2">
        <w:rPr>
          <w:rFonts w:ascii="Cambria" w:hAnsi="Cambria" w:cstheme="minorHAnsi"/>
          <w:sz w:val="24"/>
          <w:szCs w:val="24"/>
          <w:lang w:val="it-IT"/>
        </w:rPr>
        <w:t>Il metodo di coltivazione più comunemente adottato ne</w:t>
      </w:r>
      <w:r>
        <w:rPr>
          <w:rFonts w:ascii="Cambria" w:hAnsi="Cambria" w:cstheme="minorHAnsi"/>
          <w:sz w:val="24"/>
          <w:szCs w:val="24"/>
          <w:lang w:val="it-IT"/>
        </w:rPr>
        <w:t xml:space="preserve">lle VFs </w:t>
      </w:r>
      <w:r w:rsidRPr="00C03BA2">
        <w:rPr>
          <w:rFonts w:ascii="Cambria" w:hAnsi="Cambria" w:cstheme="minorHAnsi"/>
          <w:sz w:val="24"/>
          <w:szCs w:val="24"/>
          <w:lang w:val="it-IT"/>
        </w:rPr>
        <w:t xml:space="preserve">è l'idroponica, </w:t>
      </w:r>
      <w:r>
        <w:rPr>
          <w:rFonts w:ascii="Cambria" w:hAnsi="Cambria" w:cstheme="minorHAnsi"/>
          <w:sz w:val="24"/>
          <w:szCs w:val="24"/>
          <w:lang w:val="it-IT"/>
        </w:rPr>
        <w:t xml:space="preserve">in quanto </w:t>
      </w:r>
      <w:r w:rsidRPr="00C03BA2">
        <w:rPr>
          <w:rFonts w:ascii="Cambria" w:hAnsi="Cambria" w:cstheme="minorHAnsi"/>
          <w:sz w:val="24"/>
          <w:szCs w:val="24"/>
          <w:lang w:val="it-IT"/>
        </w:rPr>
        <w:t xml:space="preserve">consente di automatizzare la gestione dell'irrigazione e della </w:t>
      </w:r>
      <w:r>
        <w:rPr>
          <w:rFonts w:ascii="Cambria" w:hAnsi="Cambria" w:cstheme="minorHAnsi"/>
          <w:sz w:val="24"/>
          <w:szCs w:val="24"/>
          <w:lang w:val="it-IT"/>
        </w:rPr>
        <w:t>fertilizzazione</w:t>
      </w:r>
      <w:r w:rsidR="00D854E6">
        <w:rPr>
          <w:rFonts w:ascii="Cambria" w:hAnsi="Cambria" w:cstheme="minorHAnsi"/>
          <w:sz w:val="24"/>
          <w:szCs w:val="24"/>
          <w:lang w:val="it-IT"/>
        </w:rPr>
        <w:t xml:space="preserve"> e di </w:t>
      </w:r>
      <w:r w:rsidR="006F3DED">
        <w:rPr>
          <w:rFonts w:ascii="Cambria" w:hAnsi="Cambria" w:cstheme="minorHAnsi"/>
          <w:sz w:val="24"/>
          <w:szCs w:val="24"/>
          <w:lang w:val="it-IT"/>
        </w:rPr>
        <w:t>ridurre l’impiego di acqua e nutrienti grazie all’adozione di cicli chiusi</w:t>
      </w:r>
      <w:r w:rsidRPr="00C03BA2">
        <w:rPr>
          <w:rFonts w:ascii="Cambria" w:hAnsi="Cambria" w:cstheme="minorHAnsi"/>
          <w:sz w:val="24"/>
          <w:szCs w:val="24"/>
          <w:lang w:val="it-IT"/>
        </w:rPr>
        <w:t>.</w:t>
      </w:r>
      <w:r w:rsidR="006F3DED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3"/>
      </w:r>
      <w:r w:rsidRPr="00C03BA2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6F3DED">
        <w:rPr>
          <w:rFonts w:ascii="Cambria" w:hAnsi="Cambria" w:cstheme="minorHAnsi"/>
          <w:sz w:val="24"/>
          <w:szCs w:val="24"/>
          <w:lang w:val="it-IT"/>
        </w:rPr>
        <w:t>Nelle VFs, i sistemi di coltivazione più comunemente utilizzati includono la tecnica del flusso e riflusso (ebb-and-flow), la coltivazione in mezzo acquoso permanente (</w:t>
      </w:r>
      <w:r w:rsidR="00D854E6">
        <w:rPr>
          <w:rFonts w:ascii="Cambria" w:hAnsi="Cambria" w:cstheme="minorHAnsi"/>
          <w:sz w:val="24"/>
          <w:szCs w:val="24"/>
          <w:lang w:val="it-IT"/>
        </w:rPr>
        <w:t xml:space="preserve">deep </w:t>
      </w:r>
      <w:r w:rsidR="006F3DED">
        <w:rPr>
          <w:rFonts w:ascii="Cambria" w:hAnsi="Cambria" w:cstheme="minorHAnsi"/>
          <w:sz w:val="24"/>
          <w:szCs w:val="24"/>
          <w:lang w:val="it-IT"/>
        </w:rPr>
        <w:t>water</w:t>
      </w:r>
      <w:r w:rsidR="00D854E6">
        <w:rPr>
          <w:rFonts w:ascii="Cambria" w:hAnsi="Cambria" w:cstheme="minorHAnsi"/>
          <w:sz w:val="24"/>
          <w:szCs w:val="24"/>
          <w:lang w:val="it-IT"/>
        </w:rPr>
        <w:t xml:space="preserve"> </w:t>
      </w:r>
      <w:r w:rsidR="006F3DED">
        <w:rPr>
          <w:rFonts w:ascii="Cambria" w:hAnsi="Cambria" w:cstheme="minorHAnsi"/>
          <w:sz w:val="24"/>
          <w:szCs w:val="24"/>
          <w:lang w:val="it-IT"/>
        </w:rPr>
        <w:t>culture</w:t>
      </w:r>
      <w:r w:rsidR="00D854E6">
        <w:rPr>
          <w:rFonts w:ascii="Cambria" w:hAnsi="Cambria" w:cstheme="minorHAnsi"/>
          <w:sz w:val="24"/>
          <w:szCs w:val="24"/>
          <w:lang w:val="it-IT"/>
        </w:rPr>
        <w:t>, DWC</w:t>
      </w:r>
      <w:r w:rsidR="006F3DED">
        <w:rPr>
          <w:rFonts w:ascii="Cambria" w:hAnsi="Cambria" w:cstheme="minorHAnsi"/>
          <w:sz w:val="24"/>
          <w:szCs w:val="24"/>
          <w:lang w:val="it-IT"/>
        </w:rPr>
        <w:t xml:space="preserve">), la coltivazione in film nutritivo (NFT) e i sistemi aeroponici (nei quali la soluzione nutritiva viene nebulizzata direttamente </w:t>
      </w:r>
      <w:r w:rsidR="00D854E6">
        <w:rPr>
          <w:rFonts w:ascii="Cambria" w:hAnsi="Cambria" w:cstheme="minorHAnsi"/>
          <w:sz w:val="24"/>
          <w:szCs w:val="24"/>
          <w:lang w:val="it-IT"/>
        </w:rPr>
        <w:t xml:space="preserve">sull’apparato radicale). La gestione della nutrizione minerale avviene in forma </w:t>
      </w:r>
      <w:r w:rsidR="00D854E6">
        <w:rPr>
          <w:rFonts w:ascii="Cambria" w:hAnsi="Cambria" w:cstheme="minorHAnsi"/>
          <w:sz w:val="24"/>
          <w:szCs w:val="24"/>
          <w:lang w:val="it-IT"/>
        </w:rPr>
        <w:lastRenderedPageBreak/>
        <w:t xml:space="preserve">dinamica, adattando la composizione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della </w:t>
      </w:r>
      <w:r w:rsidR="00D854E6">
        <w:rPr>
          <w:rFonts w:ascii="Cambria" w:hAnsi="Cambria" w:cstheme="minorHAnsi"/>
          <w:sz w:val="24"/>
          <w:szCs w:val="24"/>
          <w:lang w:val="it-IT"/>
        </w:rPr>
        <w:t>soluzione nutritiva alle esigenze della pianta e ricostituendo la soluzione di drenaggio con gli elementi necessari. Il monitoraggio della soluzione drenata avviene attraverso sonde di conducibilità elettrica e pH, o anche di sensori ionici, anche se questi ultimi presentano minore durata e stabilità rispetto ai sistemi tradizionali.</w:t>
      </w:r>
      <w:r w:rsidR="00D854E6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4"/>
      </w:r>
      <w:r w:rsidR="00D854E6">
        <w:rPr>
          <w:rFonts w:ascii="Cambria" w:hAnsi="Cambria" w:cstheme="minorHAnsi"/>
          <w:sz w:val="24"/>
          <w:szCs w:val="24"/>
          <w:lang w:val="it-IT"/>
        </w:rPr>
        <w:t xml:space="preserve"> Negli ultimi anni, la gestione multipla e coordinata d</w:t>
      </w:r>
      <w:r w:rsidR="00066BAC">
        <w:rPr>
          <w:rFonts w:ascii="Cambria" w:hAnsi="Cambria" w:cstheme="minorHAnsi"/>
          <w:sz w:val="24"/>
          <w:szCs w:val="24"/>
          <w:lang w:val="it-IT"/>
        </w:rPr>
        <w:t>ei parametri ambientali, della rizosfera e della soluzione nutritiva ha consentito di integrare sistemi di Internet of Things (IoT), nei quali vengono messe a punto delle cosiddette reti neurali profonde (Deep Neural Networks), e diventa possibile la gestione automatizzata e dinamica della produzione.</w:t>
      </w:r>
      <w:r w:rsidR="00066BAC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5"/>
      </w:r>
    </w:p>
    <w:p w14:paraId="6AC82E21" w14:textId="1DE14CF9" w:rsidR="0057372A" w:rsidRPr="00E07343" w:rsidRDefault="0057372A" w:rsidP="00B72D13">
      <w:pPr>
        <w:spacing w:after="0" w:line="240" w:lineRule="auto"/>
        <w:jc w:val="both"/>
        <w:rPr>
          <w:rFonts w:ascii="Cambria" w:hAnsi="Cambria" w:cstheme="minorHAnsi"/>
          <w:sz w:val="24"/>
          <w:szCs w:val="24"/>
          <w:lang w:val="it-IT"/>
        </w:rPr>
      </w:pPr>
    </w:p>
    <w:p w14:paraId="083D4639" w14:textId="6ECD5274" w:rsidR="00D12D40" w:rsidRPr="00066BAC" w:rsidRDefault="00066BAC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lang w:val="it-IT"/>
        </w:rPr>
      </w:pPr>
      <w:r w:rsidRPr="00066BAC">
        <w:rPr>
          <w:rFonts w:ascii="Cambria" w:hAnsi="Cambria" w:cstheme="minorHAnsi"/>
          <w:b/>
          <w:bCs/>
          <w:sz w:val="24"/>
          <w:szCs w:val="24"/>
          <w:lang w:val="it-IT"/>
        </w:rPr>
        <w:t>Sistemi per il controllo climatico e ambientale</w:t>
      </w:r>
    </w:p>
    <w:p w14:paraId="0D703832" w14:textId="1BAA476A" w:rsidR="00851F29" w:rsidRDefault="00066BAC" w:rsidP="00851F29">
      <w:pPr>
        <w:spacing w:after="0" w:line="240" w:lineRule="auto"/>
        <w:ind w:firstLine="426"/>
        <w:jc w:val="both"/>
        <w:rPr>
          <w:rFonts w:ascii="Cambria" w:hAnsi="Cambria" w:cstheme="minorHAnsi"/>
          <w:sz w:val="24"/>
          <w:szCs w:val="24"/>
          <w:lang w:val="it-IT"/>
        </w:rPr>
      </w:pPr>
      <w:r>
        <w:rPr>
          <w:rFonts w:ascii="Cambria" w:hAnsi="Cambria" w:cstheme="minorHAnsi"/>
          <w:sz w:val="24"/>
          <w:szCs w:val="24"/>
          <w:lang w:val="it-IT"/>
        </w:rPr>
        <w:t>L</w:t>
      </w:r>
      <w:r w:rsidRPr="00066BAC">
        <w:rPr>
          <w:rFonts w:ascii="Cambria" w:hAnsi="Cambria" w:cstheme="minorHAnsi"/>
          <w:sz w:val="24"/>
          <w:szCs w:val="24"/>
          <w:lang w:val="it-IT"/>
        </w:rPr>
        <w:t>a gestione delle condizioni microclima</w:t>
      </w:r>
      <w:r>
        <w:rPr>
          <w:rFonts w:ascii="Cambria" w:hAnsi="Cambria" w:cstheme="minorHAnsi"/>
          <w:sz w:val="24"/>
          <w:szCs w:val="24"/>
          <w:lang w:val="it-IT"/>
        </w:rPr>
        <w:t>tiche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 è </w:t>
      </w:r>
      <w:r>
        <w:rPr>
          <w:rFonts w:ascii="Cambria" w:hAnsi="Cambria" w:cstheme="minorHAnsi"/>
          <w:sz w:val="24"/>
          <w:szCs w:val="24"/>
          <w:lang w:val="it-IT"/>
        </w:rPr>
        <w:t xml:space="preserve">di 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fondamentale </w:t>
      </w:r>
      <w:r>
        <w:rPr>
          <w:rFonts w:ascii="Cambria" w:hAnsi="Cambria" w:cstheme="minorHAnsi"/>
          <w:sz w:val="24"/>
          <w:szCs w:val="24"/>
          <w:lang w:val="it-IT"/>
        </w:rPr>
        <w:t xml:space="preserve">importanza al fine di 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garantire </w:t>
      </w:r>
      <w:r>
        <w:rPr>
          <w:rFonts w:ascii="Cambria" w:hAnsi="Cambria" w:cstheme="minorHAnsi"/>
          <w:sz w:val="24"/>
          <w:szCs w:val="24"/>
          <w:lang w:val="it-IT"/>
        </w:rPr>
        <w:t xml:space="preserve">il 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corretto sviluppo delle piante. A </w:t>
      </w:r>
      <w:r>
        <w:rPr>
          <w:rFonts w:ascii="Cambria" w:hAnsi="Cambria" w:cstheme="minorHAnsi"/>
          <w:sz w:val="24"/>
          <w:szCs w:val="24"/>
          <w:lang w:val="it-IT"/>
        </w:rPr>
        <w:t xml:space="preserve">fronte della chiusura </w:t>
      </w:r>
      <w:r w:rsidRPr="00066BAC">
        <w:rPr>
          <w:rFonts w:ascii="Cambria" w:hAnsi="Cambria" w:cstheme="minorHAnsi"/>
          <w:sz w:val="24"/>
          <w:szCs w:val="24"/>
          <w:lang w:val="it-IT"/>
        </w:rPr>
        <w:t>ermetic</w:t>
      </w:r>
      <w:r>
        <w:rPr>
          <w:rFonts w:ascii="Cambria" w:hAnsi="Cambria" w:cstheme="minorHAnsi"/>
          <w:sz w:val="24"/>
          <w:szCs w:val="24"/>
          <w:lang w:val="it-IT"/>
        </w:rPr>
        <w:t>a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 dell'ambiente di coltivazione</w:t>
      </w:r>
      <w:r>
        <w:rPr>
          <w:rFonts w:ascii="Cambria" w:hAnsi="Cambria" w:cstheme="minorHAnsi"/>
          <w:sz w:val="24"/>
          <w:szCs w:val="24"/>
          <w:lang w:val="it-IT"/>
        </w:rPr>
        <w:t xml:space="preserve"> (funzionale al risparmio idrico</w:t>
      </w:r>
      <w:r w:rsidR="00DF7485">
        <w:rPr>
          <w:rFonts w:ascii="Cambria" w:hAnsi="Cambria" w:cstheme="minorHAnsi"/>
          <w:sz w:val="24"/>
          <w:szCs w:val="24"/>
          <w:lang w:val="it-IT"/>
        </w:rPr>
        <w:t>, al mantenimento dell</w:t>
      </w:r>
      <w:r w:rsidR="00875170">
        <w:rPr>
          <w:rFonts w:ascii="Cambria" w:hAnsi="Cambria" w:cstheme="minorHAnsi"/>
          <w:sz w:val="24"/>
          <w:szCs w:val="24"/>
          <w:lang w:val="it-IT"/>
        </w:rPr>
        <w:t>a CO</w:t>
      </w:r>
      <w:r w:rsidR="00875170" w:rsidRPr="00875170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 immessa nel sistema</w:t>
      </w:r>
      <w:r>
        <w:rPr>
          <w:rFonts w:ascii="Cambria" w:hAnsi="Cambria" w:cstheme="minorHAnsi"/>
          <w:sz w:val="24"/>
          <w:szCs w:val="24"/>
          <w:lang w:val="it-IT"/>
        </w:rPr>
        <w:t xml:space="preserve"> e alla riduzione delle infestazioni patogene)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, </w:t>
      </w:r>
      <w:r>
        <w:rPr>
          <w:rFonts w:ascii="Cambria" w:hAnsi="Cambria" w:cstheme="minorHAnsi"/>
          <w:sz w:val="24"/>
          <w:szCs w:val="24"/>
          <w:lang w:val="it-IT"/>
        </w:rPr>
        <w:t xml:space="preserve">diviene 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necessaria </w:t>
      </w:r>
      <w:r>
        <w:rPr>
          <w:rFonts w:ascii="Cambria" w:hAnsi="Cambria" w:cstheme="minorHAnsi"/>
          <w:sz w:val="24"/>
          <w:szCs w:val="24"/>
          <w:lang w:val="it-IT"/>
        </w:rPr>
        <w:t xml:space="preserve">una continua </w:t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deumidificazione </w:t>
      </w:r>
      <w:r>
        <w:rPr>
          <w:rFonts w:ascii="Cambria" w:hAnsi="Cambria" w:cstheme="minorHAnsi"/>
          <w:sz w:val="24"/>
          <w:szCs w:val="24"/>
          <w:lang w:val="it-IT"/>
        </w:rPr>
        <w:t>dell’ambiente al fine di mantenere costante l’umidità relativa atmosferica e conseguentemente il processo fotosintetico delle piante</w:t>
      </w:r>
      <w:r w:rsidRPr="00066BAC">
        <w:rPr>
          <w:rFonts w:ascii="Cambria" w:hAnsi="Cambria" w:cstheme="minorHAnsi"/>
          <w:sz w:val="24"/>
          <w:szCs w:val="24"/>
          <w:lang w:val="it-IT"/>
        </w:rPr>
        <w:t>.</w:t>
      </w:r>
      <w:r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6"/>
      </w:r>
      <w:r w:rsidRPr="00066BAC">
        <w:rPr>
          <w:rFonts w:ascii="Cambria" w:hAnsi="Cambria" w:cstheme="minorHAnsi"/>
          <w:sz w:val="24"/>
          <w:szCs w:val="24"/>
          <w:lang w:val="it-IT"/>
        </w:rPr>
        <w:t xml:space="preserve"> </w:t>
      </w:r>
      <w:r>
        <w:rPr>
          <w:rFonts w:ascii="Cambria" w:hAnsi="Cambria" w:cstheme="minorHAnsi"/>
          <w:sz w:val="24"/>
          <w:szCs w:val="24"/>
          <w:lang w:val="it-IT"/>
        </w:rPr>
        <w:t>La corretta gestione dell’umidità relativa è inoltre cruciale al fine di contrastare lo sviluppo di difetti del prodotto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 (come ad esempio il tipburn)</w:t>
      </w:r>
      <w:r>
        <w:rPr>
          <w:rFonts w:ascii="Cambria" w:hAnsi="Cambria" w:cstheme="minorHAnsi"/>
          <w:sz w:val="24"/>
          <w:szCs w:val="24"/>
          <w:lang w:val="it-IT"/>
        </w:rPr>
        <w:t>.</w:t>
      </w:r>
      <w:r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7"/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 La deumidificazione dell’aria consente di raccogliere l’acqua traspirata per poi reimmetterla nel sistema irriguo, e generalmente avviene attraverso pompa di calore o metodi di assorbimento. A fronte dell’elevata densità di piante e dell’elevato tasso fotosintetico delle stesse, è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inoltre 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comune l’impiego di sistemi per la fornitura di </w:t>
      </w:r>
      <w:r w:rsidR="00875170">
        <w:rPr>
          <w:rFonts w:ascii="Cambria" w:hAnsi="Cambria" w:cstheme="minorHAnsi"/>
          <w:sz w:val="24"/>
          <w:szCs w:val="24"/>
          <w:lang w:val="it-IT"/>
        </w:rPr>
        <w:t>CO</w:t>
      </w:r>
      <w:r w:rsidR="00875170" w:rsidRPr="00875170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, </w:t>
      </w:r>
      <w:r w:rsidR="00DF7485">
        <w:rPr>
          <w:rFonts w:ascii="Cambria" w:hAnsi="Cambria" w:cstheme="minorHAnsi"/>
          <w:sz w:val="24"/>
          <w:szCs w:val="24"/>
          <w:lang w:val="it-IT"/>
        </w:rPr>
        <w:t>in grado di mantener</w:t>
      </w:r>
      <w:r w:rsidR="00875170">
        <w:rPr>
          <w:rFonts w:ascii="Cambria" w:hAnsi="Cambria" w:cstheme="minorHAnsi"/>
          <w:sz w:val="24"/>
          <w:szCs w:val="24"/>
          <w:lang w:val="it-IT"/>
        </w:rPr>
        <w:t>n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e la concentrazione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ad </w:t>
      </w:r>
      <w:r w:rsidR="00DF7485">
        <w:rPr>
          <w:rFonts w:ascii="Cambria" w:hAnsi="Cambria" w:cstheme="minorHAnsi"/>
          <w:sz w:val="24"/>
          <w:szCs w:val="24"/>
          <w:lang w:val="it-IT"/>
        </w:rPr>
        <w:t>almeno 800 ppm.</w:t>
      </w:r>
      <w:r w:rsidR="00DF7485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8"/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 Vanno </w:t>
      </w:r>
      <w:r w:rsidR="00875170">
        <w:rPr>
          <w:rFonts w:ascii="Cambria" w:hAnsi="Cambria" w:cstheme="minorHAnsi"/>
          <w:sz w:val="24"/>
          <w:szCs w:val="24"/>
          <w:lang w:val="it-IT"/>
        </w:rPr>
        <w:t>infine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 evitati i gradienti termici verticali, in quanto modificherebbero la velocità di crescita delle piante, ed è pertanto comune l’impiego di pompe di calore e ventole. Nel loro insieme, i sistemi di gestione del clima contribuiscono per circa il 30% del costo energetico totale di una </w:t>
      </w:r>
      <w:r w:rsidR="00875170">
        <w:rPr>
          <w:rFonts w:ascii="Cambria" w:hAnsi="Cambria" w:cstheme="minorHAnsi"/>
          <w:sz w:val="24"/>
          <w:szCs w:val="24"/>
          <w:lang w:val="it-IT"/>
        </w:rPr>
        <w:t>VF</w:t>
      </w:r>
      <w:r w:rsidR="00DF7485">
        <w:rPr>
          <w:rFonts w:ascii="Cambria" w:hAnsi="Cambria" w:cstheme="minorHAnsi"/>
          <w:sz w:val="24"/>
          <w:szCs w:val="24"/>
          <w:lang w:val="it-IT"/>
        </w:rPr>
        <w:t>.</w:t>
      </w:r>
      <w:r w:rsidR="00DF7485">
        <w:rPr>
          <w:rStyle w:val="Rimandonotaapidipagina"/>
          <w:rFonts w:ascii="Cambria" w:hAnsi="Cambria" w:cstheme="minorHAnsi"/>
          <w:sz w:val="24"/>
          <w:szCs w:val="24"/>
          <w:lang w:val="it-IT"/>
        </w:rPr>
        <w:footnoteReference w:id="29"/>
      </w:r>
      <w:r w:rsidR="00DF7485" w:rsidRPr="00DF7485">
        <w:rPr>
          <w:rFonts w:ascii="Cambria" w:hAnsi="Cambria" w:cstheme="minorHAnsi"/>
          <w:sz w:val="24"/>
          <w:szCs w:val="24"/>
          <w:vertAlign w:val="superscript"/>
          <w:lang w:val="it-IT"/>
        </w:rPr>
        <w:t xml:space="preserve"> </w:t>
      </w:r>
      <w:r w:rsidR="00DF7485">
        <w:rPr>
          <w:rFonts w:ascii="Cambria" w:hAnsi="Cambria" w:cstheme="minorHAnsi"/>
          <w:sz w:val="24"/>
          <w:szCs w:val="24"/>
          <w:lang w:val="it-IT"/>
        </w:rPr>
        <w:t>Al riguardo, l’</w:t>
      </w:r>
      <w:r w:rsidR="00851F29">
        <w:rPr>
          <w:rFonts w:ascii="Cambria" w:hAnsi="Cambria" w:cstheme="minorHAnsi"/>
          <w:sz w:val="24"/>
          <w:szCs w:val="24"/>
          <w:lang w:val="it-IT"/>
        </w:rPr>
        <w:t>impiego dei cosiddetti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 sistemi di co-generazione</w:t>
      </w:r>
      <w:r w:rsidR="00851F29">
        <w:rPr>
          <w:rFonts w:ascii="Cambria" w:hAnsi="Cambria" w:cstheme="minorHAnsi"/>
          <w:sz w:val="24"/>
          <w:szCs w:val="24"/>
          <w:lang w:val="it-IT"/>
        </w:rPr>
        <w:t xml:space="preserve"> o </w:t>
      </w:r>
      <w:r w:rsidR="00DF7485">
        <w:rPr>
          <w:rFonts w:ascii="Cambria" w:hAnsi="Cambria" w:cstheme="minorHAnsi"/>
          <w:sz w:val="24"/>
          <w:szCs w:val="24"/>
          <w:lang w:val="it-IT"/>
        </w:rPr>
        <w:t xml:space="preserve">tri-generazione (che </w:t>
      </w:r>
      <w:r w:rsidR="00851F29">
        <w:rPr>
          <w:rFonts w:ascii="Cambria" w:hAnsi="Cambria" w:cstheme="minorHAnsi"/>
          <w:sz w:val="24"/>
          <w:szCs w:val="24"/>
          <w:lang w:val="it-IT"/>
        </w:rPr>
        <w:t>producono calore, elettricità e CO</w:t>
      </w:r>
      <w:r w:rsidR="00851F29" w:rsidRPr="00851F29">
        <w:rPr>
          <w:rFonts w:ascii="Cambria" w:hAnsi="Cambria" w:cstheme="minorHAnsi"/>
          <w:sz w:val="24"/>
          <w:szCs w:val="24"/>
          <w:vertAlign w:val="subscript"/>
          <w:lang w:val="it-IT"/>
        </w:rPr>
        <w:t>2</w:t>
      </w:r>
      <w:r w:rsidR="00851F29">
        <w:rPr>
          <w:rFonts w:ascii="Cambria" w:hAnsi="Cambria" w:cstheme="minorHAnsi"/>
          <w:sz w:val="24"/>
          <w:szCs w:val="24"/>
          <w:lang w:val="it-IT"/>
        </w:rPr>
        <w:t xml:space="preserve">) consentono notevoli risparmi. È stato dimostrato che il passaggio da un sistema di gestione climatica </w:t>
      </w:r>
      <w:r w:rsidR="00875170">
        <w:rPr>
          <w:rFonts w:ascii="Cambria" w:hAnsi="Cambria" w:cstheme="minorHAnsi"/>
          <w:sz w:val="24"/>
          <w:szCs w:val="24"/>
          <w:lang w:val="it-IT"/>
        </w:rPr>
        <w:t>con</w:t>
      </w:r>
      <w:r w:rsidR="00851F29">
        <w:rPr>
          <w:rFonts w:ascii="Cambria" w:hAnsi="Cambria" w:cstheme="minorHAnsi"/>
          <w:sz w:val="24"/>
          <w:szCs w:val="24"/>
          <w:lang w:val="it-IT"/>
        </w:rPr>
        <w:t xml:space="preserve"> pompa di calore ad un sistema di co-generazione possa ridurre in una </w:t>
      </w:r>
      <w:r w:rsidR="00875170">
        <w:rPr>
          <w:rFonts w:ascii="Cambria" w:hAnsi="Cambria" w:cstheme="minorHAnsi"/>
          <w:sz w:val="24"/>
          <w:szCs w:val="24"/>
          <w:lang w:val="it-IT"/>
        </w:rPr>
        <w:t xml:space="preserve">VF </w:t>
      </w:r>
      <w:r w:rsidR="00851F29">
        <w:rPr>
          <w:rFonts w:ascii="Cambria" w:hAnsi="Cambria" w:cstheme="minorHAnsi"/>
          <w:sz w:val="24"/>
          <w:szCs w:val="24"/>
          <w:lang w:val="it-IT"/>
        </w:rPr>
        <w:t>i costi energetici associati alla gestione del clima in misura del 30%.</w:t>
      </w:r>
    </w:p>
    <w:p w14:paraId="1F55A355" w14:textId="77777777" w:rsidR="00066BAC" w:rsidRPr="00851F29" w:rsidRDefault="00066BAC" w:rsidP="00B72D13">
      <w:pPr>
        <w:spacing w:after="0" w:line="240" w:lineRule="auto"/>
        <w:jc w:val="both"/>
        <w:rPr>
          <w:rFonts w:ascii="Cambria" w:hAnsi="Cambria" w:cstheme="minorHAnsi"/>
          <w:sz w:val="24"/>
          <w:szCs w:val="24"/>
          <w:lang w:val="it-IT"/>
        </w:rPr>
      </w:pPr>
    </w:p>
    <w:p w14:paraId="712FF29E" w14:textId="0B3B32D2" w:rsidR="00582E3D" w:rsidRPr="00851F29" w:rsidRDefault="00851F29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lang w:val="it-IT"/>
        </w:rPr>
      </w:pPr>
      <w:r w:rsidRPr="00851F29">
        <w:rPr>
          <w:rFonts w:ascii="Cambria" w:hAnsi="Cambria" w:cstheme="minorHAnsi"/>
          <w:b/>
          <w:bCs/>
          <w:sz w:val="24"/>
          <w:szCs w:val="24"/>
          <w:lang w:val="it-IT"/>
        </w:rPr>
        <w:t>Conclusioni</w:t>
      </w:r>
    </w:p>
    <w:p w14:paraId="27524008" w14:textId="2FC32FD8" w:rsidR="00F1548D" w:rsidRDefault="00851F29" w:rsidP="00875170">
      <w:pPr>
        <w:spacing w:after="0" w:line="240" w:lineRule="auto"/>
        <w:ind w:firstLine="426"/>
        <w:jc w:val="both"/>
        <w:rPr>
          <w:rFonts w:ascii="Cambria" w:hAnsi="Cambria" w:cstheme="minorHAnsi"/>
          <w:sz w:val="24"/>
          <w:szCs w:val="24"/>
          <w:lang w:val="it-IT"/>
        </w:rPr>
      </w:pPr>
      <w:r w:rsidRPr="00851F29">
        <w:rPr>
          <w:rFonts w:ascii="Cambria" w:hAnsi="Cambria" w:cstheme="minorHAnsi"/>
          <w:sz w:val="24"/>
          <w:szCs w:val="24"/>
          <w:lang w:val="it-IT"/>
        </w:rPr>
        <w:t xml:space="preserve">La produzione di alimenti freschi, in particolare </w:t>
      </w:r>
      <w:r>
        <w:rPr>
          <w:rFonts w:ascii="Cambria" w:hAnsi="Cambria" w:cstheme="minorHAnsi"/>
          <w:sz w:val="24"/>
          <w:szCs w:val="24"/>
          <w:lang w:val="it-IT"/>
        </w:rPr>
        <w:t>orticole d</w:t>
      </w:r>
      <w:r w:rsidRPr="00851F29">
        <w:rPr>
          <w:rFonts w:ascii="Cambria" w:hAnsi="Cambria" w:cstheme="minorHAnsi"/>
          <w:sz w:val="24"/>
          <w:szCs w:val="24"/>
          <w:lang w:val="it-IT"/>
        </w:rPr>
        <w:t>a foglia</w:t>
      </w:r>
      <w:r>
        <w:rPr>
          <w:rFonts w:ascii="Cambria" w:hAnsi="Cambria" w:cstheme="minorHAnsi"/>
          <w:sz w:val="24"/>
          <w:szCs w:val="24"/>
          <w:lang w:val="it-IT"/>
        </w:rPr>
        <w:t xml:space="preserve"> e piante aromatiche,</w:t>
      </w:r>
      <w:r w:rsidRPr="00851F29">
        <w:rPr>
          <w:rFonts w:ascii="Cambria" w:hAnsi="Cambria" w:cstheme="minorHAnsi"/>
          <w:sz w:val="24"/>
          <w:szCs w:val="24"/>
          <w:lang w:val="it-IT"/>
        </w:rPr>
        <w:t xml:space="preserve"> </w:t>
      </w:r>
      <w:r>
        <w:rPr>
          <w:rFonts w:ascii="Cambria" w:hAnsi="Cambria" w:cstheme="minorHAnsi"/>
          <w:sz w:val="24"/>
          <w:szCs w:val="24"/>
          <w:lang w:val="it-IT"/>
        </w:rPr>
        <w:t>all’interno di vertical farms</w:t>
      </w:r>
      <w:r w:rsidRPr="00851F29">
        <w:rPr>
          <w:rFonts w:ascii="Cambria" w:hAnsi="Cambria" w:cstheme="minorHAnsi"/>
          <w:sz w:val="24"/>
          <w:szCs w:val="24"/>
          <w:lang w:val="it-IT"/>
        </w:rPr>
        <w:t xml:space="preserve">, </w:t>
      </w:r>
      <w:r>
        <w:rPr>
          <w:rFonts w:ascii="Cambria" w:hAnsi="Cambria" w:cstheme="minorHAnsi"/>
          <w:sz w:val="24"/>
          <w:szCs w:val="24"/>
          <w:lang w:val="it-IT"/>
        </w:rPr>
        <w:t xml:space="preserve">può consentire di ridurre l’impronta ecologica associata all’approvvigionamento di cibo fresco e nutriente nelle aree urbane, contribuendo all’efficienza </w:t>
      </w:r>
      <w:r>
        <w:rPr>
          <w:rFonts w:ascii="Cambria" w:hAnsi="Cambria" w:cstheme="minorHAnsi"/>
          <w:sz w:val="24"/>
          <w:szCs w:val="24"/>
          <w:lang w:val="it-IT"/>
        </w:rPr>
        <w:lastRenderedPageBreak/>
        <w:t xml:space="preserve">di uso delle risorse </w:t>
      </w:r>
      <w:r w:rsidR="00FF0A3B">
        <w:rPr>
          <w:rFonts w:ascii="Cambria" w:hAnsi="Cambria" w:cstheme="minorHAnsi"/>
          <w:sz w:val="24"/>
          <w:szCs w:val="24"/>
          <w:lang w:val="it-IT"/>
        </w:rPr>
        <w:t xml:space="preserve">in agricoltura </w:t>
      </w:r>
      <w:r>
        <w:rPr>
          <w:rFonts w:ascii="Cambria" w:hAnsi="Cambria" w:cstheme="minorHAnsi"/>
          <w:sz w:val="24"/>
          <w:szCs w:val="24"/>
          <w:lang w:val="it-IT"/>
        </w:rPr>
        <w:t>e alla resilienza a cambi climatici e alle previsioni di crescita demografica</w:t>
      </w:r>
      <w:r w:rsidRPr="00851F29">
        <w:rPr>
          <w:rFonts w:ascii="Cambria" w:hAnsi="Cambria" w:cstheme="minorHAnsi"/>
          <w:sz w:val="24"/>
          <w:szCs w:val="24"/>
          <w:lang w:val="it-IT"/>
        </w:rPr>
        <w:t xml:space="preserve">. </w:t>
      </w:r>
      <w:r w:rsidR="00FF0A3B">
        <w:rPr>
          <w:rFonts w:ascii="Cambria" w:hAnsi="Cambria" w:cstheme="minorHAnsi"/>
          <w:sz w:val="24"/>
          <w:szCs w:val="24"/>
          <w:lang w:val="it-IT"/>
        </w:rPr>
        <w:t>Negli ultimi anni sono stati notevoli gli sviluppi nelle tecnologie per la coltivazione in vertical farms, sia con riferimento ai sistemi di coltivazione e gestione del clima, che nella messa a punto di sistemi e strategie per l’illuminazione artificiale. Anche se ad oggi la diffusione del sistema è limitata dagli elevati costi di installazione e d’uso dell’energia, tali sistemi presentano notevoli potenzialità in termini di uso sostenibile delle risorse (suolo, acqua e nutrienti). Diventa pertanto fondamentale il ruolo della ricerca nella definizione di tecnologie e protocolli di gestione che consentano di ridurre i consumi energetici del sistema, migliorandone così l’applicabilità ai diversi contesti.</w:t>
      </w:r>
    </w:p>
    <w:p w14:paraId="483B1F04" w14:textId="77777777" w:rsidR="00851F29" w:rsidRPr="00851F29" w:rsidRDefault="00851F29" w:rsidP="00851F29">
      <w:pPr>
        <w:spacing w:after="0" w:line="240" w:lineRule="auto"/>
        <w:ind w:firstLine="426"/>
        <w:rPr>
          <w:rFonts w:ascii="Cambria" w:hAnsi="Cambria" w:cstheme="minorHAnsi"/>
          <w:sz w:val="24"/>
          <w:szCs w:val="24"/>
          <w:highlight w:val="yellow"/>
          <w:lang w:val="it-IT"/>
        </w:rPr>
      </w:pPr>
    </w:p>
    <w:p w14:paraId="20CE0023" w14:textId="544F5448" w:rsidR="0046332B" w:rsidRDefault="0046332B" w:rsidP="00B72D13">
      <w:pPr>
        <w:spacing w:after="0" w:line="240" w:lineRule="auto"/>
        <w:jc w:val="both"/>
        <w:rPr>
          <w:rFonts w:ascii="Cambria" w:hAnsi="Cambria" w:cstheme="minorHAnsi"/>
          <w:bCs/>
          <w:sz w:val="24"/>
          <w:szCs w:val="24"/>
          <w:lang w:val="it-IT"/>
        </w:rPr>
      </w:pPr>
      <w:r w:rsidRPr="0046332B">
        <w:rPr>
          <w:rFonts w:ascii="Cambria" w:hAnsi="Cambria" w:cstheme="minorHAnsi"/>
          <w:b/>
          <w:bCs/>
          <w:sz w:val="24"/>
          <w:szCs w:val="24"/>
          <w:lang w:val="it-IT"/>
        </w:rPr>
        <w:t xml:space="preserve">Francesco Orsini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>è</w:t>
      </w:r>
      <w:r w:rsidRPr="0046332B">
        <w:rPr>
          <w:rFonts w:ascii="Cambria" w:hAnsi="Cambria" w:cstheme="minorHAnsi"/>
          <w:b/>
          <w:bCs/>
          <w:sz w:val="24"/>
          <w:szCs w:val="24"/>
          <w:lang w:val="it-IT"/>
        </w:rPr>
        <w:t xml:space="preserve">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 xml:space="preserve">Professore Associato di </w:t>
      </w:r>
      <w:r>
        <w:rPr>
          <w:rFonts w:ascii="Cambria" w:hAnsi="Cambria" w:cstheme="minorHAnsi"/>
          <w:bCs/>
          <w:sz w:val="24"/>
          <w:szCs w:val="24"/>
          <w:lang w:val="it-IT"/>
        </w:rPr>
        <w:t>Orticoltura presso il Dipartimento di Scienze e Tecnologie Agroalimentari dell’Università di Bologna. Attualmente riveste la carica di Chair della Divisione in Landscape and Urban Horticulture della International Society for Horticultural Sciences (ISHS) e coordina il progetto FoodE (Food Systems in European Cities), finanziato dall’Unione Europea nell’ambito del programma Horizon2020.</w:t>
      </w:r>
    </w:p>
    <w:p w14:paraId="02613F74" w14:textId="4386F281" w:rsidR="0046332B" w:rsidRDefault="0046332B" w:rsidP="00B72D13">
      <w:pPr>
        <w:spacing w:after="0" w:line="240" w:lineRule="auto"/>
        <w:jc w:val="both"/>
        <w:rPr>
          <w:rFonts w:ascii="Cambria" w:hAnsi="Cambria" w:cstheme="minorHAnsi"/>
          <w:bCs/>
          <w:sz w:val="24"/>
          <w:szCs w:val="24"/>
          <w:lang w:val="it-IT"/>
        </w:rPr>
      </w:pPr>
    </w:p>
    <w:p w14:paraId="2B122717" w14:textId="449E079C" w:rsidR="0046332B" w:rsidRPr="00926065" w:rsidRDefault="0046332B" w:rsidP="00B72D13">
      <w:pPr>
        <w:spacing w:after="0" w:line="240" w:lineRule="auto"/>
        <w:jc w:val="both"/>
        <w:rPr>
          <w:rFonts w:ascii="Cambria" w:hAnsi="Cambria" w:cstheme="minorHAnsi"/>
          <w:b/>
          <w:bCs/>
          <w:sz w:val="24"/>
          <w:szCs w:val="24"/>
          <w:lang w:val="it-IT"/>
        </w:rPr>
      </w:pPr>
      <w:r w:rsidRPr="00926065">
        <w:rPr>
          <w:rFonts w:ascii="Cambria" w:hAnsi="Cambria" w:cstheme="minorHAnsi"/>
          <w:b/>
          <w:bCs/>
          <w:sz w:val="24"/>
          <w:szCs w:val="24"/>
          <w:lang w:val="it-IT"/>
        </w:rPr>
        <w:t>Ringraziamenti</w:t>
      </w:r>
    </w:p>
    <w:p w14:paraId="7D96B2ED" w14:textId="581EAD9D" w:rsidR="0046332B" w:rsidRPr="00B72D13" w:rsidRDefault="0046332B" w:rsidP="00B72D13">
      <w:pPr>
        <w:spacing w:after="0" w:line="240" w:lineRule="auto"/>
        <w:jc w:val="both"/>
        <w:rPr>
          <w:rFonts w:ascii="Cambria" w:hAnsi="Cambria" w:cstheme="minorHAnsi"/>
          <w:bCs/>
          <w:sz w:val="24"/>
          <w:szCs w:val="24"/>
          <w:lang w:val="it-IT"/>
        </w:rPr>
      </w:pPr>
      <w:r w:rsidRPr="0046332B">
        <w:rPr>
          <w:rFonts w:ascii="Cambria" w:hAnsi="Cambria" w:cstheme="minorHAnsi"/>
          <w:bCs/>
          <w:sz w:val="24"/>
          <w:szCs w:val="24"/>
          <w:lang w:val="it-IT"/>
        </w:rPr>
        <w:t xml:space="preserve">La ricerca che ha consentito la realizzazione di questa pubblicazione è stata </w:t>
      </w:r>
      <w:r>
        <w:rPr>
          <w:rFonts w:ascii="Cambria" w:hAnsi="Cambria" w:cstheme="minorHAnsi"/>
          <w:bCs/>
          <w:sz w:val="24"/>
          <w:szCs w:val="24"/>
          <w:lang w:val="it-IT"/>
        </w:rPr>
        <w:t xml:space="preserve">supportata dall’Unione Europea </w:t>
      </w:r>
      <w:r w:rsidR="00875170">
        <w:rPr>
          <w:rFonts w:ascii="Cambria" w:hAnsi="Cambria" w:cstheme="minorHAnsi"/>
          <w:bCs/>
          <w:sz w:val="24"/>
          <w:szCs w:val="24"/>
          <w:lang w:val="it-IT"/>
        </w:rPr>
        <w:t xml:space="preserve">attraverso il </w:t>
      </w:r>
      <w:r>
        <w:rPr>
          <w:rFonts w:ascii="Cambria" w:hAnsi="Cambria" w:cstheme="minorHAnsi"/>
          <w:bCs/>
          <w:sz w:val="24"/>
          <w:szCs w:val="24"/>
          <w:lang w:val="it-IT"/>
        </w:rPr>
        <w:t xml:space="preserve">programma di ricerca e innovazione Horizon2020, nell’ambito del Grant Agreement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 xml:space="preserve">No 862663. </w:t>
      </w:r>
      <w:r>
        <w:rPr>
          <w:rFonts w:ascii="Cambria" w:hAnsi="Cambria" w:cstheme="minorHAnsi"/>
          <w:bCs/>
          <w:sz w:val="24"/>
          <w:szCs w:val="24"/>
          <w:lang w:val="it-IT"/>
        </w:rPr>
        <w:t xml:space="preserve">Nonostante </w:t>
      </w:r>
      <w:r w:rsidR="00B72D13">
        <w:rPr>
          <w:rFonts w:ascii="Cambria" w:hAnsi="Cambria" w:cstheme="minorHAnsi"/>
          <w:bCs/>
          <w:sz w:val="24"/>
          <w:szCs w:val="24"/>
          <w:lang w:val="it-IT"/>
        </w:rPr>
        <w:t xml:space="preserve">questa </w:t>
      </w:r>
      <w:r>
        <w:rPr>
          <w:rFonts w:ascii="Cambria" w:hAnsi="Cambria" w:cstheme="minorHAnsi"/>
          <w:bCs/>
          <w:sz w:val="24"/>
          <w:szCs w:val="24"/>
          <w:lang w:val="it-IT"/>
        </w:rPr>
        <w:t xml:space="preserve">pubblicazione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>sia stata realizzata con il sostegno finanziario dell’U</w:t>
      </w:r>
      <w:r>
        <w:rPr>
          <w:rFonts w:ascii="Cambria" w:hAnsi="Cambria" w:cstheme="minorHAnsi"/>
          <w:bCs/>
          <w:sz w:val="24"/>
          <w:szCs w:val="24"/>
          <w:lang w:val="it-IT"/>
        </w:rPr>
        <w:t xml:space="preserve">nione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>E</w:t>
      </w:r>
      <w:r>
        <w:rPr>
          <w:rFonts w:ascii="Cambria" w:hAnsi="Cambria" w:cstheme="minorHAnsi"/>
          <w:bCs/>
          <w:sz w:val="24"/>
          <w:szCs w:val="24"/>
          <w:lang w:val="it-IT"/>
        </w:rPr>
        <w:t>uropea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 xml:space="preserve">, le posizioni espresse sono quelle degli autori e non riflettono necessariamente </w:t>
      </w:r>
      <w:r w:rsidR="00B72D13">
        <w:rPr>
          <w:rFonts w:ascii="Cambria" w:hAnsi="Cambria" w:cstheme="minorHAnsi"/>
          <w:bCs/>
          <w:sz w:val="24"/>
          <w:szCs w:val="24"/>
          <w:lang w:val="it-IT"/>
        </w:rPr>
        <w:t xml:space="preserve">la visione della 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>Research Executive Agency (REA)</w:t>
      </w:r>
      <w:r w:rsidR="00B72D13">
        <w:rPr>
          <w:rFonts w:ascii="Cambria" w:hAnsi="Cambria" w:cstheme="minorHAnsi"/>
          <w:bCs/>
          <w:sz w:val="24"/>
          <w:szCs w:val="24"/>
          <w:lang w:val="it-IT"/>
        </w:rPr>
        <w:t>, che non</w:t>
      </w:r>
      <w:r w:rsidRPr="0046332B">
        <w:rPr>
          <w:rFonts w:ascii="Cambria" w:hAnsi="Cambria" w:cstheme="minorHAnsi"/>
          <w:bCs/>
          <w:sz w:val="24"/>
          <w:szCs w:val="24"/>
          <w:lang w:val="it-IT"/>
        </w:rPr>
        <w:t xml:space="preserve"> è </w:t>
      </w:r>
      <w:r>
        <w:rPr>
          <w:rFonts w:ascii="Cambria" w:hAnsi="Cambria" w:cstheme="minorHAnsi"/>
          <w:bCs/>
          <w:sz w:val="24"/>
          <w:szCs w:val="24"/>
          <w:lang w:val="it-IT"/>
        </w:rPr>
        <w:t>responsabile per l’utilizzo delle informazioni contenute all’interno del presente documento.</w:t>
      </w:r>
    </w:p>
    <w:sectPr w:rsidR="0046332B" w:rsidRPr="00B72D13" w:rsidSect="00875170">
      <w:footerReference w:type="defaul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CB1BE4" w14:textId="77777777" w:rsidR="00D81212" w:rsidRDefault="00D81212" w:rsidP="00E55CE2">
      <w:pPr>
        <w:spacing w:after="0" w:line="240" w:lineRule="auto"/>
      </w:pPr>
      <w:r>
        <w:separator/>
      </w:r>
    </w:p>
  </w:endnote>
  <w:endnote w:type="continuationSeparator" w:id="0">
    <w:p w14:paraId="5EA1BFA5" w14:textId="77777777" w:rsidR="00D81212" w:rsidRDefault="00D81212" w:rsidP="00E55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9617948"/>
      <w:docPartObj>
        <w:docPartGallery w:val="Page Numbers (Bottom of Page)"/>
        <w:docPartUnique/>
      </w:docPartObj>
    </w:sdtPr>
    <w:sdtEndPr/>
    <w:sdtContent>
      <w:p w14:paraId="1B9818E0" w14:textId="18D7D722" w:rsidR="00066BAC" w:rsidRDefault="00066BA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3C81" w:rsidRPr="00413C81">
          <w:rPr>
            <w:noProof/>
            <w:lang w:val="it-IT"/>
          </w:rPr>
          <w:t>6</w:t>
        </w:r>
        <w:r>
          <w:fldChar w:fldCharType="end"/>
        </w:r>
      </w:p>
    </w:sdtContent>
  </w:sdt>
  <w:p w14:paraId="43B90691" w14:textId="77777777" w:rsidR="00066BAC" w:rsidRDefault="00066BA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55B160" w14:textId="77777777" w:rsidR="00D81212" w:rsidRDefault="00D81212" w:rsidP="00E55CE2">
      <w:pPr>
        <w:spacing w:after="0" w:line="240" w:lineRule="auto"/>
      </w:pPr>
      <w:r>
        <w:separator/>
      </w:r>
    </w:p>
  </w:footnote>
  <w:footnote w:type="continuationSeparator" w:id="0">
    <w:p w14:paraId="0673A601" w14:textId="77777777" w:rsidR="00D81212" w:rsidRDefault="00D81212" w:rsidP="00E55CE2">
      <w:pPr>
        <w:spacing w:after="0" w:line="240" w:lineRule="auto"/>
      </w:pPr>
      <w:r>
        <w:continuationSeparator/>
      </w:r>
    </w:p>
  </w:footnote>
  <w:footnote w:id="1">
    <w:p w14:paraId="35C62A86" w14:textId="04F290D5" w:rsidR="00066BAC" w:rsidRPr="00B72D13" w:rsidRDefault="00066BAC" w:rsidP="00FA0B5A">
      <w:pPr>
        <w:spacing w:after="0" w:line="240" w:lineRule="auto"/>
        <w:ind w:left="720" w:hanging="706"/>
        <w:jc w:val="both"/>
        <w:rPr>
          <w:sz w:val="20"/>
          <w:szCs w:val="20"/>
          <w:lang w:val="en-GB"/>
        </w:rPr>
      </w:pPr>
      <w:r w:rsidRPr="00B72D13">
        <w:rPr>
          <w:rStyle w:val="Rimandonotaapidipagina"/>
        </w:rPr>
        <w:footnoteRef/>
      </w:r>
      <w:r w:rsidRPr="00B72D13">
        <w:rPr>
          <w:lang w:val="en-GB"/>
        </w:rPr>
        <w:t xml:space="preserve"> </w:t>
      </w:r>
      <w:r w:rsidRPr="00B72D13">
        <w:rPr>
          <w:sz w:val="20"/>
          <w:szCs w:val="20"/>
          <w:lang w:val="en-GB"/>
        </w:rPr>
        <w:t>United Nations — World Population Prospects 2017</w:t>
      </w:r>
    </w:p>
  </w:footnote>
  <w:footnote w:id="2">
    <w:p w14:paraId="473EC036" w14:textId="0BD4E863" w:rsidR="00066BAC" w:rsidRPr="00926065" w:rsidRDefault="00066BAC" w:rsidP="00704616">
      <w:pPr>
        <w:spacing w:after="0" w:line="240" w:lineRule="auto"/>
        <w:ind w:firstLine="14"/>
        <w:jc w:val="both"/>
        <w:rPr>
          <w:lang w:val="en-GB"/>
        </w:rPr>
      </w:pPr>
      <w:r w:rsidRPr="00B72D13">
        <w:rPr>
          <w:sz w:val="20"/>
          <w:szCs w:val="20"/>
          <w:lang w:val="en-GB"/>
        </w:rPr>
        <w:footnoteRef/>
      </w:r>
      <w:r w:rsidRPr="00B72D13">
        <w:rPr>
          <w:sz w:val="20"/>
          <w:szCs w:val="20"/>
          <w:lang w:val="en-GB"/>
        </w:rPr>
        <w:t xml:space="preserve"> Li, X., Zhou, Y., Eom, J., Yu, S., and Asrar, G. R</w:t>
      </w:r>
      <w:r w:rsidRPr="00967933">
        <w:rPr>
          <w:sz w:val="20"/>
          <w:szCs w:val="20"/>
          <w:lang w:val="en-GB"/>
        </w:rPr>
        <w:t>. (2019). Projecting global urban area growth through 2100 based on historical time series data and future shared socioeconomic pathways. Earth's Future, 7(4), 351-362. https://doi.org/10.1029/2019EF001152</w:t>
      </w:r>
    </w:p>
  </w:footnote>
  <w:footnote w:id="3">
    <w:p w14:paraId="7755A19A" w14:textId="58609B7D" w:rsidR="00066BAC" w:rsidRPr="00926065" w:rsidRDefault="00066BAC" w:rsidP="00FA0B5A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FA0B5A">
        <w:rPr>
          <w:lang w:val="en-GB"/>
        </w:rPr>
        <w:t xml:space="preserve"> Patle, G. T., Kumar, M., and Khanna, M. (2019). Climate-smart water technologies for sustainable agriculture: A review. </w:t>
      </w:r>
      <w:r w:rsidRPr="00926065">
        <w:rPr>
          <w:lang w:val="en-GB"/>
        </w:rPr>
        <w:t>J. Water. Clim. Change. https://doi.org/10.2166/wcc.2019.257</w:t>
      </w:r>
    </w:p>
  </w:footnote>
  <w:footnote w:id="4">
    <w:p w14:paraId="3B7A5E11" w14:textId="518A4F75" w:rsidR="00066BAC" w:rsidRPr="00704616" w:rsidRDefault="00066BAC" w:rsidP="00704616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704616">
        <w:rPr>
          <w:lang w:val="en-GB"/>
        </w:rPr>
        <w:t xml:space="preserve"> Lal, R. (2018). Saving global land resources by enhancing eco-efficiency of agroecosystems. J. Soil and Water Conservation, 73(4), 100A-106A. https://doi.org/10.2489/jswc.73.4.100A</w:t>
      </w:r>
    </w:p>
  </w:footnote>
  <w:footnote w:id="5">
    <w:p w14:paraId="418955EE" w14:textId="370D156F" w:rsidR="00066BAC" w:rsidRPr="00D27460" w:rsidRDefault="00066BAC" w:rsidP="00D27460">
      <w:pPr>
        <w:pStyle w:val="Testonotaapidipagina"/>
      </w:pPr>
      <w:r>
        <w:rPr>
          <w:rStyle w:val="Rimandonotaapidipagina"/>
        </w:rPr>
        <w:footnoteRef/>
      </w:r>
      <w:r w:rsidRPr="00D27460">
        <w:rPr>
          <w:lang w:val="en-GB"/>
        </w:rPr>
        <w:t xml:space="preserve"> Cordell, D., Drangert, J. O., and White, S. (2009). The story of phosphorus: global food security and food for thought. </w:t>
      </w:r>
      <w:r w:rsidRPr="00D27460">
        <w:t>Global Environ. Change, 19(2), 292-305. https://doi.org/10.1016/j.gloenvcha.2008.10.009</w:t>
      </w:r>
    </w:p>
  </w:footnote>
  <w:footnote w:id="6">
    <w:p w14:paraId="3C3D1D0F" w14:textId="5E16E007" w:rsidR="00066BAC" w:rsidRPr="00E07343" w:rsidRDefault="00066BAC" w:rsidP="00967933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926065">
        <w:t xml:space="preserve"> Kozai, T. (2019). </w:t>
      </w:r>
      <w:r w:rsidRPr="00967933">
        <w:rPr>
          <w:lang w:val="en-GB"/>
        </w:rPr>
        <w:t xml:space="preserve">Towards sustainable plant factories with artificial lighting (PFALs) for achieving SDGs. Int. J. Agric. </w:t>
      </w:r>
      <w:r w:rsidRPr="00967933">
        <w:t xml:space="preserve">Biol. </w:t>
      </w:r>
      <w:r w:rsidRPr="00E07343">
        <w:rPr>
          <w:lang w:val="en-GB"/>
        </w:rPr>
        <w:t>Eng, 12(5), 28-37. https://doi.org/10.25165/j.ijabe.20191205.5177</w:t>
      </w:r>
    </w:p>
  </w:footnote>
  <w:footnote w:id="7">
    <w:p w14:paraId="3BAAD631" w14:textId="7D5638D9" w:rsidR="00066BAC" w:rsidRPr="00E07343" w:rsidRDefault="00066BAC" w:rsidP="009466A7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9466A7">
        <w:rPr>
          <w:lang w:val="en-GB"/>
        </w:rPr>
        <w:t xml:space="preserve"> Gómez, C., and Izzo, L.G. (2018). Increasing efficiency of crop production with LEDs. </w:t>
      </w:r>
      <w:r w:rsidRPr="00E07343">
        <w:rPr>
          <w:lang w:val="en-GB"/>
        </w:rPr>
        <w:t>AIMS Agric. Food 3, 135–153. https://doi.org/10.3934/agrfood.2018.2.135</w:t>
      </w:r>
    </w:p>
  </w:footnote>
  <w:footnote w:id="8">
    <w:p w14:paraId="1AA98451" w14:textId="7DC4B017" w:rsidR="00066BAC" w:rsidRPr="00E07343" w:rsidRDefault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E07343">
        <w:rPr>
          <w:lang w:val="en-GB"/>
        </w:rPr>
        <w:t xml:space="preserve"> Pennisi, G., Sanyé-Mengual, E., Orsini, F., Crepaldi, A., Nicola, S., Ochoa, J., Fernandez, J.A., and  Gianquinto, G. (2019). </w:t>
      </w:r>
      <w:r w:rsidRPr="00DC2134">
        <w:rPr>
          <w:lang w:val="en-GB"/>
        </w:rPr>
        <w:t xml:space="preserve">Modelling environmental burdens of indoor-grown vegetables and herbs as affected by red and blue LED lighting. </w:t>
      </w:r>
      <w:r w:rsidRPr="00E07343">
        <w:rPr>
          <w:lang w:val="en-GB"/>
        </w:rPr>
        <w:t xml:space="preserve">Sustainability, 11(15), 4063.  </w:t>
      </w:r>
      <w:hyperlink r:id="rId1" w:history="1">
        <w:r w:rsidRPr="00E07343">
          <w:rPr>
            <w:rStyle w:val="Collegamentoipertestuale"/>
            <w:lang w:val="en-GB"/>
          </w:rPr>
          <w:t>https://doi.org/10.3390/su11154063</w:t>
        </w:r>
      </w:hyperlink>
      <w:r w:rsidRPr="00E07343">
        <w:rPr>
          <w:lang w:val="en-GB"/>
        </w:rPr>
        <w:t xml:space="preserve"> </w:t>
      </w:r>
    </w:p>
  </w:footnote>
  <w:footnote w:id="9">
    <w:p w14:paraId="4EE377D6" w14:textId="1ADDA24A" w:rsidR="00066BAC" w:rsidRPr="00E07343" w:rsidRDefault="00066BAC" w:rsidP="00DC2134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DC2134">
        <w:rPr>
          <w:lang w:val="en-GB"/>
        </w:rPr>
        <w:t xml:space="preserve"> Kozai, T. (2013). Resource use efficiency of closed plant production system with artificial light: Concept, estimation and application to plant factory</w:t>
      </w:r>
      <w:r>
        <w:rPr>
          <w:lang w:val="en-GB"/>
        </w:rPr>
        <w:t xml:space="preserve">. </w:t>
      </w:r>
      <w:r w:rsidRPr="00DC2134">
        <w:rPr>
          <w:lang w:val="en-GB"/>
        </w:rPr>
        <w:t xml:space="preserve">Proc. </w:t>
      </w:r>
      <w:r w:rsidRPr="00DC2134">
        <w:t>Jpn. Acad.</w:t>
      </w:r>
      <w:r>
        <w:t xml:space="preserve"> </w:t>
      </w:r>
      <w:r w:rsidRPr="00DC2134">
        <w:t xml:space="preserve">89447461. </w:t>
      </w:r>
      <w:hyperlink r:id="rId2" w:history="1">
        <w:r w:rsidRPr="00E07343">
          <w:rPr>
            <w:rStyle w:val="Collegamentoipertestuale"/>
            <w:lang w:val="en-GB"/>
          </w:rPr>
          <w:t>https://doi.org/10.2183/pjab.89.447</w:t>
        </w:r>
      </w:hyperlink>
      <w:r w:rsidRPr="00E07343">
        <w:rPr>
          <w:lang w:val="en-GB"/>
        </w:rPr>
        <w:t xml:space="preserve"> </w:t>
      </w:r>
    </w:p>
  </w:footnote>
  <w:footnote w:id="10">
    <w:p w14:paraId="6681028F" w14:textId="66F9E46C" w:rsidR="00066BAC" w:rsidRPr="00E07343" w:rsidRDefault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DC2134">
        <w:rPr>
          <w:lang w:val="en-GB"/>
        </w:rPr>
        <w:t xml:space="preserve"> Kong, Y., Nemali, A., Mitchell, C., &amp; Nemali, K. (2019). Spectral quality of light can affect energy consumption and energy-use efficiency of electrical lighting in indoor lettuce farming. </w:t>
      </w:r>
      <w:r w:rsidRPr="00E07343">
        <w:rPr>
          <w:lang w:val="en-GB"/>
        </w:rPr>
        <w:t>HortSci, 54(5), 865-872.</w:t>
      </w:r>
    </w:p>
  </w:footnote>
  <w:footnote w:id="11">
    <w:p w14:paraId="03C0C460" w14:textId="3F16F14D" w:rsidR="00066BAC" w:rsidRPr="008C2062" w:rsidRDefault="00066BAC" w:rsidP="008C206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8C2062">
        <w:rPr>
          <w:lang w:val="en-GB"/>
        </w:rPr>
        <w:t xml:space="preserve"> Yokoyama, R. (2019). Energy Consumption and Heat Sources in Plant Factories. In Plant Factory Using Artificial Light (pp. 177-184). Elsevier. </w:t>
      </w:r>
      <w:hyperlink r:id="rId3" w:history="1">
        <w:r w:rsidRPr="0065718C">
          <w:rPr>
            <w:rStyle w:val="Collegamentoipertestuale"/>
            <w:lang w:val="en-GB"/>
          </w:rPr>
          <w:t>https://doi.org/10.1016/B978-0-12-813973-8.00016-6</w:t>
        </w:r>
      </w:hyperlink>
      <w:r>
        <w:rPr>
          <w:lang w:val="en-GB"/>
        </w:rPr>
        <w:t xml:space="preserve"> </w:t>
      </w:r>
    </w:p>
  </w:footnote>
  <w:footnote w:id="12">
    <w:p w14:paraId="492FDE0C" w14:textId="3224182A" w:rsidR="00066BAC" w:rsidRPr="00E07343" w:rsidRDefault="00066BAC" w:rsidP="00CF7274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CF7274">
        <w:rPr>
          <w:lang w:val="en-GB"/>
        </w:rPr>
        <w:t xml:space="preserve"> Terashima, I., Fujita, T., Inoue, T., Chow, W. S., and Oguchi, R. (2009). Green light drives leaf photosynthesis more efficiently than red light in strong white light: revisiting the enigmatic question of why leaves are green. </w:t>
      </w:r>
      <w:r w:rsidRPr="00E07343">
        <w:rPr>
          <w:lang w:val="it-IT"/>
        </w:rPr>
        <w:t xml:space="preserve">Plant. Cell. physiol, 50(4), 684-697. </w:t>
      </w:r>
      <w:hyperlink r:id="rId4" w:history="1">
        <w:r w:rsidRPr="00E07343">
          <w:rPr>
            <w:rStyle w:val="Collegamentoipertestuale"/>
            <w:lang w:val="it-IT"/>
          </w:rPr>
          <w:t>https://doi.org/10.1093/pcp/pcp034</w:t>
        </w:r>
      </w:hyperlink>
      <w:r w:rsidRPr="00E07343">
        <w:rPr>
          <w:lang w:val="it-IT"/>
        </w:rPr>
        <w:t xml:space="preserve"> </w:t>
      </w:r>
    </w:p>
  </w:footnote>
  <w:footnote w:id="13">
    <w:p w14:paraId="02EE5498" w14:textId="77777777" w:rsidR="00066BAC" w:rsidRPr="00E07343" w:rsidRDefault="00066BAC" w:rsidP="00CF7274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F7274">
        <w:rPr>
          <w:lang w:val="it-IT"/>
        </w:rPr>
        <w:t xml:space="preserve"> Pennisi, G., Orsini, F., Blasioli, S., Cellini, A., Crepaldi, A., Braschi, I., Spinelli, F., Nicola, S.,Fernandez, J. A., Stanghellini, C., Gianquinto, G., and Marcelis, L. F. M. (2019b). </w:t>
      </w:r>
      <w:r w:rsidRPr="00CF7274">
        <w:rPr>
          <w:lang w:val="en-GB"/>
        </w:rPr>
        <w:t xml:space="preserve">Resource use efficiency of indoor lettuce (Lactuca sativa L.) cultivation as affected by red: blue ratio provided by LED lighting. </w:t>
      </w:r>
      <w:r w:rsidRPr="00E07343">
        <w:rPr>
          <w:lang w:val="en-GB"/>
        </w:rPr>
        <w:t xml:space="preserve">NAT. Sci. Rep, 9(1), 1-11. </w:t>
      </w:r>
      <w:hyperlink r:id="rId5" w:history="1">
        <w:r w:rsidRPr="00E07343">
          <w:rPr>
            <w:rStyle w:val="Collegamentoipertestuale"/>
            <w:lang w:val="en-GB"/>
          </w:rPr>
          <w:t>https://doi.org/10.1038/s41598-019-50783-z</w:t>
        </w:r>
      </w:hyperlink>
      <w:r w:rsidRPr="00E07343">
        <w:rPr>
          <w:lang w:val="en-GB"/>
        </w:rPr>
        <w:t xml:space="preserve"> </w:t>
      </w:r>
    </w:p>
  </w:footnote>
  <w:footnote w:id="14">
    <w:p w14:paraId="27A3323E" w14:textId="2E18FD1E" w:rsidR="00066BAC" w:rsidRPr="00E07343" w:rsidRDefault="00066BAC" w:rsidP="00CF7274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F7274">
        <w:rPr>
          <w:lang w:val="en-GB"/>
        </w:rPr>
        <w:t xml:space="preserve"> Smith, H. L., McAusland, L., and Murchie, E. H. (2017). Don’t ignore the green light: exploring diverse roles in plant processes. </w:t>
      </w:r>
      <w:r w:rsidRPr="00E07343">
        <w:rPr>
          <w:lang w:val="en-GB"/>
        </w:rPr>
        <w:t xml:space="preserve">J. Exp. Bot, 68(9), 2099-2110. </w:t>
      </w:r>
      <w:hyperlink r:id="rId6" w:history="1">
        <w:r w:rsidRPr="00E07343">
          <w:rPr>
            <w:rStyle w:val="Collegamentoipertestuale"/>
            <w:lang w:val="en-GB"/>
          </w:rPr>
          <w:t>https://doi.org/10.1093/jxb/erx098</w:t>
        </w:r>
      </w:hyperlink>
      <w:r w:rsidRPr="00E07343">
        <w:rPr>
          <w:lang w:val="en-GB"/>
        </w:rPr>
        <w:t xml:space="preserve"> </w:t>
      </w:r>
    </w:p>
  </w:footnote>
  <w:footnote w:id="15">
    <w:p w14:paraId="09B1A24C" w14:textId="41CC8244" w:rsidR="00066BAC" w:rsidRPr="00E07343" w:rsidRDefault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F7274">
        <w:rPr>
          <w:lang w:val="en-GB"/>
        </w:rPr>
        <w:t xml:space="preserve"> Saengtharatip, S., Goto, N., Kozai, T. and Yamori, W. (2020). Green light penetrates inside crisp head lettuce leading to chlorophyll and ascorbic acid content enhancement. </w:t>
      </w:r>
      <w:r w:rsidRPr="00E07343">
        <w:rPr>
          <w:lang w:val="en-GB"/>
        </w:rPr>
        <w:t xml:space="preserve">Acta Hortic. 1273, 261-270. </w:t>
      </w:r>
      <w:hyperlink r:id="rId7" w:history="1">
        <w:r w:rsidRPr="00E07343">
          <w:rPr>
            <w:rStyle w:val="Collegamentoipertestuale"/>
            <w:lang w:val="en-GB"/>
          </w:rPr>
          <w:t>https://doi.org/10.17660/ActaHortic.2020.1273.35</w:t>
        </w:r>
      </w:hyperlink>
      <w:r w:rsidRPr="00E07343">
        <w:rPr>
          <w:lang w:val="en-GB"/>
        </w:rPr>
        <w:t xml:space="preserve"> </w:t>
      </w:r>
    </w:p>
  </w:footnote>
  <w:footnote w:id="16">
    <w:p w14:paraId="1F18EB80" w14:textId="430557A7" w:rsidR="00066BAC" w:rsidRPr="00E07343" w:rsidRDefault="00066BAC" w:rsidP="00181646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181646">
        <w:rPr>
          <w:lang w:val="en-GB"/>
        </w:rPr>
        <w:t xml:space="preserve"> Park, Y., and Runkle, E. S. (2017). Far-red radiation promotes growth of seedlings by increasing leaf expansion and whole-plant net assimilation. </w:t>
      </w:r>
      <w:r w:rsidRPr="00E07343">
        <w:rPr>
          <w:lang w:val="en-GB"/>
        </w:rPr>
        <w:t xml:space="preserve">Environ. Exp. Bot, 136, 41-49. </w:t>
      </w:r>
      <w:hyperlink r:id="rId8" w:history="1">
        <w:r w:rsidRPr="00E07343">
          <w:rPr>
            <w:rStyle w:val="Collegamentoipertestuale"/>
            <w:lang w:val="en-GB"/>
          </w:rPr>
          <w:t>https://doi.org/10.1016/j.envexpbot.2016.12.013</w:t>
        </w:r>
      </w:hyperlink>
      <w:r w:rsidRPr="00E07343">
        <w:rPr>
          <w:lang w:val="en-GB"/>
        </w:rPr>
        <w:t xml:space="preserve"> </w:t>
      </w:r>
    </w:p>
  </w:footnote>
  <w:footnote w:id="17">
    <w:p w14:paraId="1451A780" w14:textId="3F2298DA" w:rsidR="00066BAC" w:rsidRPr="00E07343" w:rsidRDefault="00066BAC" w:rsidP="00181646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181646">
        <w:rPr>
          <w:lang w:val="en-GB"/>
        </w:rPr>
        <w:t xml:space="preserve"> Ji, Y., Ouzounis, T., Courbier, S., Kaiser, E., Nguyen, P. T., Schouten, H. J., Visser, R. G. F., Pierik, R., Marcelis, L. F. M., and &amp; Heuvelink, E. (2019). Far-red radiation increases dry mass partitioning to fruits but reduces Botrytis cinerea resistance in tomato. </w:t>
      </w:r>
      <w:r w:rsidRPr="00E07343">
        <w:rPr>
          <w:lang w:val="en-GB"/>
        </w:rPr>
        <w:t xml:space="preserve">Env. Exp. Bot., 168, 103889. </w:t>
      </w:r>
    </w:p>
  </w:footnote>
  <w:footnote w:id="18">
    <w:p w14:paraId="435A6EEB" w14:textId="731DE56D" w:rsidR="00066BAC" w:rsidRPr="00E07343" w:rsidRDefault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181646">
        <w:rPr>
          <w:lang w:val="en-GB"/>
        </w:rPr>
        <w:t xml:space="preserve"> Ouzounis, T., Rosenqvist, E., and Ottosen, C. O. (2015). Spectral effects of artificial light on plant physiology and secondary metabolism: a review. </w:t>
      </w:r>
      <w:r w:rsidRPr="00E07343">
        <w:rPr>
          <w:lang w:val="en-GB"/>
        </w:rPr>
        <w:t>HortScience, 50(8), 1128-1135.</w:t>
      </w:r>
    </w:p>
  </w:footnote>
  <w:footnote w:id="19">
    <w:p w14:paraId="75256EFC" w14:textId="72DA8354" w:rsidR="00066BAC" w:rsidRPr="00E07343" w:rsidRDefault="00066BAC" w:rsidP="00181646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E07343">
        <w:rPr>
          <w:lang w:val="en-GB"/>
        </w:rPr>
        <w:t xml:space="preserve"> Janssen, R. J. P., Krijn, M. P. C. M., van den Bergh, T., van Elmpt, R. F. M., Nicole, C. C., and van Slooten, U. (2019). </w:t>
      </w:r>
      <w:r w:rsidRPr="00181646">
        <w:rPr>
          <w:lang w:val="en-GB"/>
        </w:rPr>
        <w:t xml:space="preserve">Optimizing Plant Factory Performance for Local Requirements. In Plant Factory Using Artificial Light (pp. 281-293). </w:t>
      </w:r>
      <w:r w:rsidRPr="00E07343">
        <w:rPr>
          <w:lang w:val="en-GB"/>
        </w:rPr>
        <w:t xml:space="preserve">Elsevier. </w:t>
      </w:r>
      <w:hyperlink r:id="rId9" w:history="1">
        <w:r w:rsidRPr="00E07343">
          <w:rPr>
            <w:rStyle w:val="Collegamentoipertestuale"/>
            <w:lang w:val="en-GB"/>
          </w:rPr>
          <w:t>https://doi.org/10.1016/B978-0-12-813973-8.00025-7</w:t>
        </w:r>
      </w:hyperlink>
      <w:r w:rsidRPr="00E07343">
        <w:rPr>
          <w:lang w:val="en-GB"/>
        </w:rPr>
        <w:t xml:space="preserve"> </w:t>
      </w:r>
    </w:p>
  </w:footnote>
  <w:footnote w:id="20">
    <w:p w14:paraId="5ED9FAFE" w14:textId="5720E048" w:rsidR="00066BAC" w:rsidRPr="00E07343" w:rsidRDefault="00066BAC" w:rsidP="00C03BA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03BA2">
        <w:rPr>
          <w:lang w:val="en-GB"/>
        </w:rPr>
        <w:t xml:space="preserve"> Stutte, G. W. (2015). Commercial transition to LEDs: A pathway to high-value products. </w:t>
      </w:r>
      <w:r w:rsidRPr="00E07343">
        <w:rPr>
          <w:lang w:val="en-GB"/>
        </w:rPr>
        <w:t xml:space="preserve">HortSci, 50(9), 1297-1300. </w:t>
      </w:r>
      <w:hyperlink r:id="rId10" w:history="1">
        <w:r w:rsidRPr="00E07343">
          <w:rPr>
            <w:rStyle w:val="Collegamentoipertestuale"/>
            <w:lang w:val="en-GB"/>
          </w:rPr>
          <w:t>https://doi.org/10.21273/HORTSCI.50.9.1297</w:t>
        </w:r>
      </w:hyperlink>
      <w:r w:rsidRPr="00E07343">
        <w:rPr>
          <w:lang w:val="en-GB"/>
        </w:rPr>
        <w:t xml:space="preserve"> </w:t>
      </w:r>
    </w:p>
  </w:footnote>
  <w:footnote w:id="21">
    <w:p w14:paraId="3092A0F8" w14:textId="465E8F80" w:rsidR="00066BAC" w:rsidRPr="00E07343" w:rsidRDefault="00066BAC" w:rsidP="00C03BA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03BA2">
        <w:rPr>
          <w:lang w:val="en-GB"/>
        </w:rPr>
        <w:t xml:space="preserve"> Nelson, J. A., and Bugbee, B. (2014) Economic analysis of greenhouse lighting: light emitting diodes vs.high intensity dischargefixtures. </w:t>
      </w:r>
      <w:r w:rsidRPr="00E07343">
        <w:rPr>
          <w:lang w:val="en-GB"/>
        </w:rPr>
        <w:t xml:space="preserve">PLoS ONE 9(6):e99010. </w:t>
      </w:r>
      <w:hyperlink r:id="rId11" w:history="1">
        <w:r w:rsidRPr="00E07343">
          <w:rPr>
            <w:rStyle w:val="Collegamentoipertestuale"/>
            <w:lang w:val="en-GB"/>
          </w:rPr>
          <w:t>https://doi.org/10.1371/journal.pone.0099010</w:t>
        </w:r>
      </w:hyperlink>
      <w:r w:rsidRPr="00E07343">
        <w:rPr>
          <w:lang w:val="en-GB"/>
        </w:rPr>
        <w:t xml:space="preserve"> </w:t>
      </w:r>
    </w:p>
  </w:footnote>
  <w:footnote w:id="22">
    <w:p w14:paraId="1CD9203D" w14:textId="3A8F9279" w:rsidR="00066BAC" w:rsidRPr="00E07343" w:rsidRDefault="00066BAC" w:rsidP="00C03BA2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C03BA2">
        <w:rPr>
          <w:lang w:val="en-GB"/>
        </w:rPr>
        <w:t xml:space="preserve"> Bugbee, B. (2017). Economics of LED lighting. In Light Emitting Diodes for Agriculture (pp. 81-99). </w:t>
      </w:r>
      <w:r w:rsidRPr="00E07343">
        <w:rPr>
          <w:lang w:val="en-GB"/>
        </w:rPr>
        <w:t xml:space="preserve">Springer, Singapore. </w:t>
      </w:r>
      <w:hyperlink r:id="rId12" w:history="1">
        <w:r w:rsidRPr="00E07343">
          <w:rPr>
            <w:rStyle w:val="Collegamentoipertestuale"/>
            <w:lang w:val="en-GB"/>
          </w:rPr>
          <w:t>https://doi.org/10.1007/978-981-10-5807-3_5</w:t>
        </w:r>
      </w:hyperlink>
      <w:r w:rsidRPr="00E07343">
        <w:rPr>
          <w:lang w:val="en-GB"/>
        </w:rPr>
        <w:t xml:space="preserve"> </w:t>
      </w:r>
    </w:p>
  </w:footnote>
  <w:footnote w:id="23">
    <w:p w14:paraId="5A62511E" w14:textId="56A05B42" w:rsidR="00066BAC" w:rsidRPr="006F3DED" w:rsidRDefault="00066BAC" w:rsidP="006F3DED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6F3DED">
        <w:rPr>
          <w:lang w:val="en-GB"/>
        </w:rPr>
        <w:t xml:space="preserve"> Wada, T. (2019). Theory and technology to control the nutrient solution of hydroponics. In Plant Factory Using Artificial Light (pp. 5-14). Elsevier. </w:t>
      </w:r>
      <w:hyperlink r:id="rId13" w:history="1">
        <w:r w:rsidRPr="0065718C">
          <w:rPr>
            <w:rStyle w:val="Collegamentoipertestuale"/>
            <w:lang w:val="en-GB"/>
          </w:rPr>
          <w:t>https://doi.org/10.1016/B978-0-12-813973-8.00001-4</w:t>
        </w:r>
      </w:hyperlink>
      <w:r>
        <w:rPr>
          <w:lang w:val="en-GB"/>
        </w:rPr>
        <w:t xml:space="preserve"> </w:t>
      </w:r>
    </w:p>
  </w:footnote>
  <w:footnote w:id="24">
    <w:p w14:paraId="740715DA" w14:textId="79E74AEA" w:rsidR="00066BAC" w:rsidRPr="00E07343" w:rsidRDefault="00066BAC">
      <w:pPr>
        <w:pStyle w:val="Testonotaapidipagina"/>
      </w:pPr>
      <w:r>
        <w:rPr>
          <w:rStyle w:val="Rimandonotaapidipagina"/>
        </w:rPr>
        <w:footnoteRef/>
      </w:r>
      <w:r w:rsidRPr="00D854E6">
        <w:rPr>
          <w:lang w:val="en-GB"/>
        </w:rPr>
        <w:t xml:space="preserve"> Rius-Ruiz, F. X., Andrade, F. J., Riu, J., and Rius, F. X. (2014). Computer-operated analytical platform for the determination of nutrients in hydroponic systems. </w:t>
      </w:r>
      <w:r w:rsidRPr="00D854E6">
        <w:t xml:space="preserve">Food Chem., 147, 92–97. </w:t>
      </w:r>
      <w:hyperlink r:id="rId14" w:history="1">
        <w:r w:rsidRPr="0065718C">
          <w:rPr>
            <w:rStyle w:val="Collegamentoipertestuale"/>
          </w:rPr>
          <w:t>https://doi.org/10.1016/j.foodchem.2013.09.114</w:t>
        </w:r>
      </w:hyperlink>
      <w:r>
        <w:t xml:space="preserve"> </w:t>
      </w:r>
    </w:p>
  </w:footnote>
  <w:footnote w:id="25">
    <w:p w14:paraId="208693F4" w14:textId="00E60A80" w:rsidR="00066BAC" w:rsidRPr="00E07343" w:rsidRDefault="00066BAC" w:rsidP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>
        <w:t xml:space="preserve"> </w:t>
      </w:r>
      <w:r w:rsidRPr="00066BAC">
        <w:t xml:space="preserve">Maldonado, A. I. L., Reyes, J. M. M., Breceda, H. F., Fuentes, H. R., Contreras, J. A. V., and Maldonado, U. L. (2019). </w:t>
      </w:r>
      <w:r w:rsidRPr="00066BAC">
        <w:rPr>
          <w:lang w:val="en-GB"/>
        </w:rPr>
        <w:t xml:space="preserve">Automation and Robotics Used in Hydroponic System. In Hydrocultural and Hydroponics Systems. </w:t>
      </w:r>
      <w:r w:rsidRPr="00E07343">
        <w:rPr>
          <w:lang w:val="en-GB"/>
        </w:rPr>
        <w:t xml:space="preserve">IntechOpen. </w:t>
      </w:r>
      <w:hyperlink r:id="rId15" w:history="1">
        <w:r w:rsidRPr="00E07343">
          <w:rPr>
            <w:rStyle w:val="Collegamentoipertestuale"/>
            <w:lang w:val="en-GB"/>
          </w:rPr>
          <w:t>https://doi.org/10.5772/intechopen.90438</w:t>
        </w:r>
      </w:hyperlink>
      <w:r w:rsidRPr="00E07343">
        <w:rPr>
          <w:lang w:val="en-GB"/>
        </w:rPr>
        <w:t xml:space="preserve"> </w:t>
      </w:r>
    </w:p>
  </w:footnote>
  <w:footnote w:id="26">
    <w:p w14:paraId="37B89174" w14:textId="093269BA" w:rsidR="00066BAC" w:rsidRPr="00E07343" w:rsidRDefault="00066BAC" w:rsidP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066BAC">
        <w:rPr>
          <w:lang w:val="en-GB"/>
        </w:rPr>
        <w:t xml:space="preserve"> Rabbi, B., Chen, Z. H., and Sethuvenkatraman, S. (2019). Protected cropping in warm climates: a review of humidity control and cooling methods. </w:t>
      </w:r>
      <w:r w:rsidRPr="00E07343">
        <w:rPr>
          <w:lang w:val="en-GB"/>
        </w:rPr>
        <w:t xml:space="preserve">Energies, 12(14), 2737. </w:t>
      </w:r>
      <w:hyperlink r:id="rId16" w:history="1">
        <w:r w:rsidRPr="00E07343">
          <w:rPr>
            <w:rStyle w:val="Collegamentoipertestuale"/>
            <w:lang w:val="en-GB"/>
          </w:rPr>
          <w:t>https://doi.org/10.3390/en12142737</w:t>
        </w:r>
      </w:hyperlink>
      <w:r w:rsidRPr="00E07343">
        <w:rPr>
          <w:lang w:val="en-GB"/>
        </w:rPr>
        <w:t xml:space="preserve"> </w:t>
      </w:r>
    </w:p>
  </w:footnote>
  <w:footnote w:id="27">
    <w:p w14:paraId="47C5694A" w14:textId="280C158F" w:rsidR="00066BAC" w:rsidRPr="00066BAC" w:rsidRDefault="00066BAC" w:rsidP="00066BAC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066BAC">
        <w:rPr>
          <w:lang w:val="en-GB"/>
        </w:rPr>
        <w:t xml:space="preserve"> Kuronuma, T., Watanabe, Y., Ando, M., and Watanabe, H. (2018). Tipburn Severity and Calcium Distribution in Lisianthus (Eustoma Grandiflorum (Raf.) Shinn.) Cultivars under Different Relative Air Humidity Conditions. Agronomy, 8(10), 218. </w:t>
      </w:r>
      <w:hyperlink r:id="rId17" w:history="1">
        <w:r w:rsidRPr="0065718C">
          <w:rPr>
            <w:rStyle w:val="Collegamentoipertestuale"/>
            <w:lang w:val="en-GB"/>
          </w:rPr>
          <w:t>https://doi.org/10.3390/agronomy8100218</w:t>
        </w:r>
      </w:hyperlink>
      <w:r>
        <w:rPr>
          <w:lang w:val="en-GB"/>
        </w:rPr>
        <w:t xml:space="preserve"> </w:t>
      </w:r>
    </w:p>
  </w:footnote>
  <w:footnote w:id="28">
    <w:p w14:paraId="2369F3DD" w14:textId="4325716E" w:rsidR="00DF7485" w:rsidRPr="00DF7485" w:rsidRDefault="00DF7485" w:rsidP="00DF7485">
      <w:pPr>
        <w:pStyle w:val="Testonotaapidipagina"/>
        <w:rPr>
          <w:lang w:val="en-GB"/>
        </w:rPr>
      </w:pPr>
      <w:r>
        <w:rPr>
          <w:rStyle w:val="Rimandonotaapidipagina"/>
        </w:rPr>
        <w:footnoteRef/>
      </w:r>
      <w:r w:rsidRPr="00DF7485">
        <w:rPr>
          <w:lang w:val="en-GB"/>
        </w:rPr>
        <w:t xml:space="preserve"> Gómez, C., Currey, C. J., Dickson, R. W., Kim, H. J., Hernández, R., Sabeh, N. C., Raudales, R. E., Brumfield, R. G., Laury-Shaw, A., Wilke, A. K., Lopez, R. G., and Burnett, S. E. (2019). Controlled environment food production for urban agriculture. HortSci, 54(9), 1448-1458. </w:t>
      </w:r>
      <w:hyperlink r:id="rId18" w:history="1">
        <w:r w:rsidRPr="0065718C">
          <w:rPr>
            <w:rStyle w:val="Collegamentoipertestuale"/>
            <w:lang w:val="en-GB"/>
          </w:rPr>
          <w:t>https://doi.org/10.21273/HORTSCI14073-19</w:t>
        </w:r>
      </w:hyperlink>
      <w:r>
        <w:rPr>
          <w:lang w:val="en-GB"/>
        </w:rPr>
        <w:t xml:space="preserve"> </w:t>
      </w:r>
    </w:p>
  </w:footnote>
  <w:footnote w:id="29">
    <w:p w14:paraId="5D02F246" w14:textId="61492341" w:rsidR="00DF7485" w:rsidRPr="00DF7485" w:rsidRDefault="00DF7485" w:rsidP="00DF7485">
      <w:pPr>
        <w:pStyle w:val="Testonotaapidipagina"/>
      </w:pPr>
      <w:r>
        <w:rPr>
          <w:rStyle w:val="Rimandonotaapidipagina"/>
        </w:rPr>
        <w:footnoteRef/>
      </w:r>
      <w:r w:rsidRPr="00DF7485">
        <w:rPr>
          <w:lang w:val="en-GB"/>
        </w:rPr>
        <w:t xml:space="preserve"> Wang, J., Lu, W., Tong, Y., and Yang, Q. (2016). Leaf morphology, photosynthetic performance, chlorophyll fluorescence, stomatal development of lettuce (Lactuca sativa L.) exposed to different ratios of red light to blue light. </w:t>
      </w:r>
      <w:r w:rsidRPr="00DF7485">
        <w:t xml:space="preserve">Front. Plant. Sci, 7, 250. </w:t>
      </w:r>
      <w:hyperlink r:id="rId19" w:history="1">
        <w:r w:rsidRPr="0065718C">
          <w:rPr>
            <w:rStyle w:val="Collegamentoipertestuale"/>
          </w:rPr>
          <w:t>https://doi.org/10.3389/fpls.2016.00250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ED26F3"/>
    <w:multiLevelType w:val="hybridMultilevel"/>
    <w:tmpl w:val="25AC9A24"/>
    <w:lvl w:ilvl="0" w:tplc="3FF8914A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25F00"/>
    <w:multiLevelType w:val="hybridMultilevel"/>
    <w:tmpl w:val="47B42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es-ES" w:vendorID="64" w:dllVersion="131078" w:nlCheck="1" w:checkStyle="1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2CA"/>
    <w:rsid w:val="00007008"/>
    <w:rsid w:val="00010F59"/>
    <w:rsid w:val="00012324"/>
    <w:rsid w:val="00016827"/>
    <w:rsid w:val="00016A54"/>
    <w:rsid w:val="000213EC"/>
    <w:rsid w:val="00021D17"/>
    <w:rsid w:val="000225E0"/>
    <w:rsid w:val="00023C7E"/>
    <w:rsid w:val="000336B1"/>
    <w:rsid w:val="000367E5"/>
    <w:rsid w:val="000403AC"/>
    <w:rsid w:val="00041EF0"/>
    <w:rsid w:val="00046DB3"/>
    <w:rsid w:val="00047959"/>
    <w:rsid w:val="00047B6D"/>
    <w:rsid w:val="00052678"/>
    <w:rsid w:val="000579F5"/>
    <w:rsid w:val="000615B3"/>
    <w:rsid w:val="00065A0E"/>
    <w:rsid w:val="00066BAC"/>
    <w:rsid w:val="00067FCB"/>
    <w:rsid w:val="00071202"/>
    <w:rsid w:val="00072E73"/>
    <w:rsid w:val="00073585"/>
    <w:rsid w:val="00074E0D"/>
    <w:rsid w:val="00082198"/>
    <w:rsid w:val="00085BB4"/>
    <w:rsid w:val="00086EDB"/>
    <w:rsid w:val="00091B9F"/>
    <w:rsid w:val="00091E98"/>
    <w:rsid w:val="00094D91"/>
    <w:rsid w:val="00094DE6"/>
    <w:rsid w:val="000A1824"/>
    <w:rsid w:val="000A6AA1"/>
    <w:rsid w:val="000B204D"/>
    <w:rsid w:val="000B6A4E"/>
    <w:rsid w:val="000B6B22"/>
    <w:rsid w:val="000C16B3"/>
    <w:rsid w:val="000D27A4"/>
    <w:rsid w:val="000D376F"/>
    <w:rsid w:val="000D45EA"/>
    <w:rsid w:val="000D4692"/>
    <w:rsid w:val="000D46DE"/>
    <w:rsid w:val="000D5DAC"/>
    <w:rsid w:val="000E2092"/>
    <w:rsid w:val="000E25F6"/>
    <w:rsid w:val="001018E2"/>
    <w:rsid w:val="001041FB"/>
    <w:rsid w:val="001054C7"/>
    <w:rsid w:val="00112C25"/>
    <w:rsid w:val="00122F5A"/>
    <w:rsid w:val="0012410E"/>
    <w:rsid w:val="00135316"/>
    <w:rsid w:val="00137858"/>
    <w:rsid w:val="00141F7C"/>
    <w:rsid w:val="00144656"/>
    <w:rsid w:val="00145205"/>
    <w:rsid w:val="00147A6C"/>
    <w:rsid w:val="00147E18"/>
    <w:rsid w:val="001528A5"/>
    <w:rsid w:val="00155AC6"/>
    <w:rsid w:val="0015668B"/>
    <w:rsid w:val="00164C72"/>
    <w:rsid w:val="00167C5A"/>
    <w:rsid w:val="00172885"/>
    <w:rsid w:val="001764A4"/>
    <w:rsid w:val="00181646"/>
    <w:rsid w:val="001950D3"/>
    <w:rsid w:val="00195CD8"/>
    <w:rsid w:val="00196794"/>
    <w:rsid w:val="001A0065"/>
    <w:rsid w:val="001A03E0"/>
    <w:rsid w:val="001A4A4D"/>
    <w:rsid w:val="001B6724"/>
    <w:rsid w:val="001C57FD"/>
    <w:rsid w:val="001D0698"/>
    <w:rsid w:val="001D26EC"/>
    <w:rsid w:val="001D4572"/>
    <w:rsid w:val="001D5211"/>
    <w:rsid w:val="001D55C9"/>
    <w:rsid w:val="001D6A1C"/>
    <w:rsid w:val="001D7F03"/>
    <w:rsid w:val="001E7680"/>
    <w:rsid w:val="001F1861"/>
    <w:rsid w:val="001F45E5"/>
    <w:rsid w:val="00213565"/>
    <w:rsid w:val="0021654A"/>
    <w:rsid w:val="0021791F"/>
    <w:rsid w:val="00227105"/>
    <w:rsid w:val="00227C6E"/>
    <w:rsid w:val="0023012D"/>
    <w:rsid w:val="002334E3"/>
    <w:rsid w:val="0024776A"/>
    <w:rsid w:val="0025081A"/>
    <w:rsid w:val="00260E26"/>
    <w:rsid w:val="00262765"/>
    <w:rsid w:val="00264122"/>
    <w:rsid w:val="00265253"/>
    <w:rsid w:val="0026627F"/>
    <w:rsid w:val="002741FD"/>
    <w:rsid w:val="0028073E"/>
    <w:rsid w:val="00280B44"/>
    <w:rsid w:val="002837DC"/>
    <w:rsid w:val="0029100D"/>
    <w:rsid w:val="0029321B"/>
    <w:rsid w:val="002A040E"/>
    <w:rsid w:val="002A5C8B"/>
    <w:rsid w:val="002B0316"/>
    <w:rsid w:val="002B05AB"/>
    <w:rsid w:val="002B547F"/>
    <w:rsid w:val="002B6271"/>
    <w:rsid w:val="002C23BF"/>
    <w:rsid w:val="002C347F"/>
    <w:rsid w:val="002C435E"/>
    <w:rsid w:val="002C4C8E"/>
    <w:rsid w:val="002D76DB"/>
    <w:rsid w:val="002E27DB"/>
    <w:rsid w:val="002E7C67"/>
    <w:rsid w:val="002F05CC"/>
    <w:rsid w:val="002F0ABE"/>
    <w:rsid w:val="002F4361"/>
    <w:rsid w:val="00301E03"/>
    <w:rsid w:val="00304679"/>
    <w:rsid w:val="00317595"/>
    <w:rsid w:val="00322055"/>
    <w:rsid w:val="00324FCE"/>
    <w:rsid w:val="003426B9"/>
    <w:rsid w:val="0034474B"/>
    <w:rsid w:val="0034765A"/>
    <w:rsid w:val="00357216"/>
    <w:rsid w:val="00357F7D"/>
    <w:rsid w:val="00360A58"/>
    <w:rsid w:val="00365E8C"/>
    <w:rsid w:val="00371338"/>
    <w:rsid w:val="00374102"/>
    <w:rsid w:val="003816EF"/>
    <w:rsid w:val="00383621"/>
    <w:rsid w:val="0038468C"/>
    <w:rsid w:val="003A0149"/>
    <w:rsid w:val="003A10F3"/>
    <w:rsid w:val="003A531B"/>
    <w:rsid w:val="003C2E68"/>
    <w:rsid w:val="003E2249"/>
    <w:rsid w:val="003E33A4"/>
    <w:rsid w:val="003F4D83"/>
    <w:rsid w:val="00407E8F"/>
    <w:rsid w:val="004133CE"/>
    <w:rsid w:val="00413C81"/>
    <w:rsid w:val="00420DE3"/>
    <w:rsid w:val="0042135D"/>
    <w:rsid w:val="00423A26"/>
    <w:rsid w:val="00423D77"/>
    <w:rsid w:val="00426AB9"/>
    <w:rsid w:val="004274CB"/>
    <w:rsid w:val="00440110"/>
    <w:rsid w:val="00441DC1"/>
    <w:rsid w:val="004449B9"/>
    <w:rsid w:val="00447931"/>
    <w:rsid w:val="0045296D"/>
    <w:rsid w:val="00461357"/>
    <w:rsid w:val="0046332B"/>
    <w:rsid w:val="00471F64"/>
    <w:rsid w:val="004730B7"/>
    <w:rsid w:val="00474DE5"/>
    <w:rsid w:val="00477FD3"/>
    <w:rsid w:val="00482E2C"/>
    <w:rsid w:val="00483659"/>
    <w:rsid w:val="0049168E"/>
    <w:rsid w:val="00493D1A"/>
    <w:rsid w:val="00494F2A"/>
    <w:rsid w:val="004A593A"/>
    <w:rsid w:val="004A68CC"/>
    <w:rsid w:val="004B03A8"/>
    <w:rsid w:val="004B163C"/>
    <w:rsid w:val="004B4EBB"/>
    <w:rsid w:val="004C2D59"/>
    <w:rsid w:val="004C39DF"/>
    <w:rsid w:val="004C6B44"/>
    <w:rsid w:val="004D0E0C"/>
    <w:rsid w:val="004D1707"/>
    <w:rsid w:val="004D1A3F"/>
    <w:rsid w:val="004D59B1"/>
    <w:rsid w:val="004E2AD2"/>
    <w:rsid w:val="0050344F"/>
    <w:rsid w:val="005055B5"/>
    <w:rsid w:val="005055BF"/>
    <w:rsid w:val="00513CE8"/>
    <w:rsid w:val="0051416F"/>
    <w:rsid w:val="005149F5"/>
    <w:rsid w:val="00515B7C"/>
    <w:rsid w:val="00520242"/>
    <w:rsid w:val="00522BF1"/>
    <w:rsid w:val="005231FF"/>
    <w:rsid w:val="00535CC5"/>
    <w:rsid w:val="005453DF"/>
    <w:rsid w:val="005471F3"/>
    <w:rsid w:val="00550A8C"/>
    <w:rsid w:val="00554DAA"/>
    <w:rsid w:val="005564E0"/>
    <w:rsid w:val="00561A11"/>
    <w:rsid w:val="005620C5"/>
    <w:rsid w:val="00567F0B"/>
    <w:rsid w:val="005728AF"/>
    <w:rsid w:val="0057372A"/>
    <w:rsid w:val="00574597"/>
    <w:rsid w:val="00575AAA"/>
    <w:rsid w:val="00581FB2"/>
    <w:rsid w:val="00582E3D"/>
    <w:rsid w:val="005955B7"/>
    <w:rsid w:val="00596605"/>
    <w:rsid w:val="005967E1"/>
    <w:rsid w:val="00597341"/>
    <w:rsid w:val="005B0D13"/>
    <w:rsid w:val="005B4DCC"/>
    <w:rsid w:val="005B6FFD"/>
    <w:rsid w:val="005C0914"/>
    <w:rsid w:val="005C2801"/>
    <w:rsid w:val="005D034C"/>
    <w:rsid w:val="005D085D"/>
    <w:rsid w:val="005D2401"/>
    <w:rsid w:val="005E0DBE"/>
    <w:rsid w:val="005E5797"/>
    <w:rsid w:val="005F27A3"/>
    <w:rsid w:val="005F6DB4"/>
    <w:rsid w:val="006009C0"/>
    <w:rsid w:val="006063DD"/>
    <w:rsid w:val="0060657C"/>
    <w:rsid w:val="00611265"/>
    <w:rsid w:val="00612AE9"/>
    <w:rsid w:val="00612F77"/>
    <w:rsid w:val="00622438"/>
    <w:rsid w:val="0062267A"/>
    <w:rsid w:val="0062308E"/>
    <w:rsid w:val="0062312A"/>
    <w:rsid w:val="00626D79"/>
    <w:rsid w:val="0063297A"/>
    <w:rsid w:val="00633984"/>
    <w:rsid w:val="006350FC"/>
    <w:rsid w:val="00637C15"/>
    <w:rsid w:val="00637C99"/>
    <w:rsid w:val="00640132"/>
    <w:rsid w:val="00640EAB"/>
    <w:rsid w:val="00640FD6"/>
    <w:rsid w:val="00643098"/>
    <w:rsid w:val="00647C2F"/>
    <w:rsid w:val="00652C1E"/>
    <w:rsid w:val="00653617"/>
    <w:rsid w:val="00656580"/>
    <w:rsid w:val="00661944"/>
    <w:rsid w:val="006704CA"/>
    <w:rsid w:val="006807AC"/>
    <w:rsid w:val="0068171B"/>
    <w:rsid w:val="006867AF"/>
    <w:rsid w:val="006873FC"/>
    <w:rsid w:val="00687FC5"/>
    <w:rsid w:val="00690ADE"/>
    <w:rsid w:val="006A3E54"/>
    <w:rsid w:val="006B183B"/>
    <w:rsid w:val="006B57BF"/>
    <w:rsid w:val="006B583F"/>
    <w:rsid w:val="006C148E"/>
    <w:rsid w:val="006C70C7"/>
    <w:rsid w:val="006D265F"/>
    <w:rsid w:val="006D70BF"/>
    <w:rsid w:val="006E42AF"/>
    <w:rsid w:val="006F093D"/>
    <w:rsid w:val="006F2CB6"/>
    <w:rsid w:val="006F3DED"/>
    <w:rsid w:val="006F4558"/>
    <w:rsid w:val="006F6C4E"/>
    <w:rsid w:val="007008BF"/>
    <w:rsid w:val="00701805"/>
    <w:rsid w:val="007022AC"/>
    <w:rsid w:val="007041F1"/>
    <w:rsid w:val="00704616"/>
    <w:rsid w:val="00705FAE"/>
    <w:rsid w:val="00713E4C"/>
    <w:rsid w:val="0071696F"/>
    <w:rsid w:val="00720943"/>
    <w:rsid w:val="0072455D"/>
    <w:rsid w:val="007301A1"/>
    <w:rsid w:val="00731FEF"/>
    <w:rsid w:val="007330A7"/>
    <w:rsid w:val="00754B8A"/>
    <w:rsid w:val="00755082"/>
    <w:rsid w:val="007663F9"/>
    <w:rsid w:val="00773B7F"/>
    <w:rsid w:val="007803D9"/>
    <w:rsid w:val="0078552A"/>
    <w:rsid w:val="00787068"/>
    <w:rsid w:val="007961C3"/>
    <w:rsid w:val="007B6AB2"/>
    <w:rsid w:val="007C5DB9"/>
    <w:rsid w:val="007D06B8"/>
    <w:rsid w:val="007D2472"/>
    <w:rsid w:val="007D5C46"/>
    <w:rsid w:val="007E13B5"/>
    <w:rsid w:val="007E2F33"/>
    <w:rsid w:val="007F3549"/>
    <w:rsid w:val="007F38B6"/>
    <w:rsid w:val="007F5E86"/>
    <w:rsid w:val="008069C9"/>
    <w:rsid w:val="00810AE4"/>
    <w:rsid w:val="00814B88"/>
    <w:rsid w:val="00816E30"/>
    <w:rsid w:val="0081723F"/>
    <w:rsid w:val="00822233"/>
    <w:rsid w:val="00822CC4"/>
    <w:rsid w:val="00826707"/>
    <w:rsid w:val="008349AF"/>
    <w:rsid w:val="00843A2C"/>
    <w:rsid w:val="008456C4"/>
    <w:rsid w:val="00850649"/>
    <w:rsid w:val="008512C3"/>
    <w:rsid w:val="00851F29"/>
    <w:rsid w:val="00852263"/>
    <w:rsid w:val="00852E15"/>
    <w:rsid w:val="0085317C"/>
    <w:rsid w:val="00855DF6"/>
    <w:rsid w:val="00856669"/>
    <w:rsid w:val="00872132"/>
    <w:rsid w:val="00875170"/>
    <w:rsid w:val="00876120"/>
    <w:rsid w:val="00886114"/>
    <w:rsid w:val="008870E1"/>
    <w:rsid w:val="00887972"/>
    <w:rsid w:val="008A01D4"/>
    <w:rsid w:val="008A2813"/>
    <w:rsid w:val="008C0994"/>
    <w:rsid w:val="008C2062"/>
    <w:rsid w:val="008C468C"/>
    <w:rsid w:val="008C6EE8"/>
    <w:rsid w:val="008D22CA"/>
    <w:rsid w:val="008E2E36"/>
    <w:rsid w:val="008E4003"/>
    <w:rsid w:val="008F34FC"/>
    <w:rsid w:val="008F3C69"/>
    <w:rsid w:val="00911E47"/>
    <w:rsid w:val="009232E0"/>
    <w:rsid w:val="00926065"/>
    <w:rsid w:val="00927B35"/>
    <w:rsid w:val="00934204"/>
    <w:rsid w:val="009372DF"/>
    <w:rsid w:val="0094606E"/>
    <w:rsid w:val="009466A7"/>
    <w:rsid w:val="009500C6"/>
    <w:rsid w:val="009571F4"/>
    <w:rsid w:val="00961916"/>
    <w:rsid w:val="00967933"/>
    <w:rsid w:val="00973113"/>
    <w:rsid w:val="009827D1"/>
    <w:rsid w:val="009913DA"/>
    <w:rsid w:val="009957FB"/>
    <w:rsid w:val="009A3924"/>
    <w:rsid w:val="009A4405"/>
    <w:rsid w:val="009A664D"/>
    <w:rsid w:val="009B293E"/>
    <w:rsid w:val="009B3585"/>
    <w:rsid w:val="009C2C30"/>
    <w:rsid w:val="009C2F40"/>
    <w:rsid w:val="009E3AE2"/>
    <w:rsid w:val="009F0A36"/>
    <w:rsid w:val="009F51D1"/>
    <w:rsid w:val="009F5B42"/>
    <w:rsid w:val="00A00300"/>
    <w:rsid w:val="00A00C5B"/>
    <w:rsid w:val="00A00CDD"/>
    <w:rsid w:val="00A12D6F"/>
    <w:rsid w:val="00A15363"/>
    <w:rsid w:val="00A17881"/>
    <w:rsid w:val="00A21F60"/>
    <w:rsid w:val="00A30018"/>
    <w:rsid w:val="00A300CD"/>
    <w:rsid w:val="00A31607"/>
    <w:rsid w:val="00A32654"/>
    <w:rsid w:val="00A41A1E"/>
    <w:rsid w:val="00A45360"/>
    <w:rsid w:val="00A455BE"/>
    <w:rsid w:val="00A461ED"/>
    <w:rsid w:val="00A5001C"/>
    <w:rsid w:val="00A50771"/>
    <w:rsid w:val="00A54613"/>
    <w:rsid w:val="00A55C52"/>
    <w:rsid w:val="00A57FF0"/>
    <w:rsid w:val="00A6243F"/>
    <w:rsid w:val="00A63B45"/>
    <w:rsid w:val="00A63F65"/>
    <w:rsid w:val="00A71CAB"/>
    <w:rsid w:val="00A71FBD"/>
    <w:rsid w:val="00A75D63"/>
    <w:rsid w:val="00A75F29"/>
    <w:rsid w:val="00A808DD"/>
    <w:rsid w:val="00A81469"/>
    <w:rsid w:val="00A83563"/>
    <w:rsid w:val="00A85E5A"/>
    <w:rsid w:val="00A8756B"/>
    <w:rsid w:val="00A977CD"/>
    <w:rsid w:val="00AA0B7A"/>
    <w:rsid w:val="00AA1442"/>
    <w:rsid w:val="00AA155E"/>
    <w:rsid w:val="00AC328C"/>
    <w:rsid w:val="00AD2267"/>
    <w:rsid w:val="00AD318F"/>
    <w:rsid w:val="00AE2524"/>
    <w:rsid w:val="00AE3838"/>
    <w:rsid w:val="00B113E3"/>
    <w:rsid w:val="00B13DE4"/>
    <w:rsid w:val="00B208D1"/>
    <w:rsid w:val="00B30788"/>
    <w:rsid w:val="00B36CC0"/>
    <w:rsid w:val="00B431E8"/>
    <w:rsid w:val="00B460AA"/>
    <w:rsid w:val="00B507D1"/>
    <w:rsid w:val="00B52DE5"/>
    <w:rsid w:val="00B52ED0"/>
    <w:rsid w:val="00B606F7"/>
    <w:rsid w:val="00B6137A"/>
    <w:rsid w:val="00B61BFB"/>
    <w:rsid w:val="00B70FBA"/>
    <w:rsid w:val="00B722D1"/>
    <w:rsid w:val="00B726FC"/>
    <w:rsid w:val="00B72D13"/>
    <w:rsid w:val="00B812EE"/>
    <w:rsid w:val="00B92093"/>
    <w:rsid w:val="00B941FD"/>
    <w:rsid w:val="00B94860"/>
    <w:rsid w:val="00B97FB0"/>
    <w:rsid w:val="00BA0155"/>
    <w:rsid w:val="00BA3313"/>
    <w:rsid w:val="00BA500C"/>
    <w:rsid w:val="00BA72EB"/>
    <w:rsid w:val="00BB269E"/>
    <w:rsid w:val="00BB5B28"/>
    <w:rsid w:val="00BC0FCD"/>
    <w:rsid w:val="00BD6FC4"/>
    <w:rsid w:val="00BE1455"/>
    <w:rsid w:val="00BE318C"/>
    <w:rsid w:val="00BE7381"/>
    <w:rsid w:val="00BF0DB3"/>
    <w:rsid w:val="00BF5887"/>
    <w:rsid w:val="00BF5D5D"/>
    <w:rsid w:val="00C032CB"/>
    <w:rsid w:val="00C03BA2"/>
    <w:rsid w:val="00C06901"/>
    <w:rsid w:val="00C072F6"/>
    <w:rsid w:val="00C07CFE"/>
    <w:rsid w:val="00C1501E"/>
    <w:rsid w:val="00C150B0"/>
    <w:rsid w:val="00C16104"/>
    <w:rsid w:val="00C46A54"/>
    <w:rsid w:val="00C47790"/>
    <w:rsid w:val="00C5231E"/>
    <w:rsid w:val="00C564C1"/>
    <w:rsid w:val="00C56A14"/>
    <w:rsid w:val="00C56A3F"/>
    <w:rsid w:val="00C652E2"/>
    <w:rsid w:val="00C655FD"/>
    <w:rsid w:val="00C65B6E"/>
    <w:rsid w:val="00C7568A"/>
    <w:rsid w:val="00C83601"/>
    <w:rsid w:val="00C86653"/>
    <w:rsid w:val="00C86712"/>
    <w:rsid w:val="00C92AF2"/>
    <w:rsid w:val="00C96329"/>
    <w:rsid w:val="00C9788C"/>
    <w:rsid w:val="00CA6B97"/>
    <w:rsid w:val="00CB01DC"/>
    <w:rsid w:val="00CB16AF"/>
    <w:rsid w:val="00CB29D6"/>
    <w:rsid w:val="00CC485A"/>
    <w:rsid w:val="00CC5225"/>
    <w:rsid w:val="00CC5A94"/>
    <w:rsid w:val="00CD0B27"/>
    <w:rsid w:val="00CD0E9B"/>
    <w:rsid w:val="00CD236F"/>
    <w:rsid w:val="00CE11F6"/>
    <w:rsid w:val="00CF1195"/>
    <w:rsid w:val="00CF7274"/>
    <w:rsid w:val="00D009B3"/>
    <w:rsid w:val="00D03987"/>
    <w:rsid w:val="00D057B5"/>
    <w:rsid w:val="00D10AF7"/>
    <w:rsid w:val="00D12499"/>
    <w:rsid w:val="00D12D40"/>
    <w:rsid w:val="00D16574"/>
    <w:rsid w:val="00D20F0A"/>
    <w:rsid w:val="00D24270"/>
    <w:rsid w:val="00D24F58"/>
    <w:rsid w:val="00D2500F"/>
    <w:rsid w:val="00D250F1"/>
    <w:rsid w:val="00D26534"/>
    <w:rsid w:val="00D26E2C"/>
    <w:rsid w:val="00D271BF"/>
    <w:rsid w:val="00D27460"/>
    <w:rsid w:val="00D30D63"/>
    <w:rsid w:val="00D528ED"/>
    <w:rsid w:val="00D56D9B"/>
    <w:rsid w:val="00D56E5D"/>
    <w:rsid w:val="00D6251A"/>
    <w:rsid w:val="00D636F4"/>
    <w:rsid w:val="00D81212"/>
    <w:rsid w:val="00D854E6"/>
    <w:rsid w:val="00D85B4F"/>
    <w:rsid w:val="00D85DFA"/>
    <w:rsid w:val="00D86547"/>
    <w:rsid w:val="00D91AAA"/>
    <w:rsid w:val="00D97E34"/>
    <w:rsid w:val="00DA3225"/>
    <w:rsid w:val="00DA47A0"/>
    <w:rsid w:val="00DA6D54"/>
    <w:rsid w:val="00DA7575"/>
    <w:rsid w:val="00DB52C4"/>
    <w:rsid w:val="00DB5911"/>
    <w:rsid w:val="00DC0DF6"/>
    <w:rsid w:val="00DC2134"/>
    <w:rsid w:val="00DC59EB"/>
    <w:rsid w:val="00DD3D7A"/>
    <w:rsid w:val="00DE23D8"/>
    <w:rsid w:val="00DE6CB2"/>
    <w:rsid w:val="00DF1881"/>
    <w:rsid w:val="00DF31F2"/>
    <w:rsid w:val="00DF3B43"/>
    <w:rsid w:val="00DF59EA"/>
    <w:rsid w:val="00DF66BF"/>
    <w:rsid w:val="00DF7479"/>
    <w:rsid w:val="00DF7485"/>
    <w:rsid w:val="00E02160"/>
    <w:rsid w:val="00E0363A"/>
    <w:rsid w:val="00E04C81"/>
    <w:rsid w:val="00E05D35"/>
    <w:rsid w:val="00E07343"/>
    <w:rsid w:val="00E152FB"/>
    <w:rsid w:val="00E15A57"/>
    <w:rsid w:val="00E26E98"/>
    <w:rsid w:val="00E308E2"/>
    <w:rsid w:val="00E34305"/>
    <w:rsid w:val="00E34893"/>
    <w:rsid w:val="00E3734F"/>
    <w:rsid w:val="00E55CE2"/>
    <w:rsid w:val="00E571C2"/>
    <w:rsid w:val="00E644FB"/>
    <w:rsid w:val="00E81430"/>
    <w:rsid w:val="00E841FA"/>
    <w:rsid w:val="00E874A9"/>
    <w:rsid w:val="00E9276B"/>
    <w:rsid w:val="00EA143D"/>
    <w:rsid w:val="00EB0443"/>
    <w:rsid w:val="00EB26B6"/>
    <w:rsid w:val="00EB28F6"/>
    <w:rsid w:val="00EB4937"/>
    <w:rsid w:val="00EB5B2F"/>
    <w:rsid w:val="00EB5D42"/>
    <w:rsid w:val="00ED76A5"/>
    <w:rsid w:val="00EE01DA"/>
    <w:rsid w:val="00EE0A14"/>
    <w:rsid w:val="00EE35D7"/>
    <w:rsid w:val="00EE43ED"/>
    <w:rsid w:val="00EE4A93"/>
    <w:rsid w:val="00EE677F"/>
    <w:rsid w:val="00EF020B"/>
    <w:rsid w:val="00EF61AE"/>
    <w:rsid w:val="00F029EB"/>
    <w:rsid w:val="00F04F8B"/>
    <w:rsid w:val="00F06284"/>
    <w:rsid w:val="00F11F9D"/>
    <w:rsid w:val="00F1548D"/>
    <w:rsid w:val="00F159DD"/>
    <w:rsid w:val="00F1640F"/>
    <w:rsid w:val="00F228EA"/>
    <w:rsid w:val="00F23B69"/>
    <w:rsid w:val="00F26001"/>
    <w:rsid w:val="00F31E90"/>
    <w:rsid w:val="00F35971"/>
    <w:rsid w:val="00F43AAA"/>
    <w:rsid w:val="00F467E5"/>
    <w:rsid w:val="00F50767"/>
    <w:rsid w:val="00F636A9"/>
    <w:rsid w:val="00F70FC6"/>
    <w:rsid w:val="00F7355A"/>
    <w:rsid w:val="00F76C8D"/>
    <w:rsid w:val="00F85FFC"/>
    <w:rsid w:val="00F96B5E"/>
    <w:rsid w:val="00FA0B5A"/>
    <w:rsid w:val="00FA19B5"/>
    <w:rsid w:val="00FA4846"/>
    <w:rsid w:val="00FB288C"/>
    <w:rsid w:val="00FB79AF"/>
    <w:rsid w:val="00FC268C"/>
    <w:rsid w:val="00FD1F73"/>
    <w:rsid w:val="00FD3797"/>
    <w:rsid w:val="00FE022D"/>
    <w:rsid w:val="00FE6A31"/>
    <w:rsid w:val="00FF0377"/>
    <w:rsid w:val="00FF0A3B"/>
    <w:rsid w:val="00FF5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9267F"/>
  <w15:chartTrackingRefBased/>
  <w15:docId w15:val="{805B4764-CEC8-4938-A607-A27A545C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22CA"/>
    <w:rPr>
      <w:rFonts w:ascii="Calibri" w:eastAsia="Calibri" w:hAnsi="Calibri" w:cs="Times New Roman"/>
      <w:lang w:val="es-ES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rsid w:val="008D22CA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8D22CA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D22CA"/>
    <w:rPr>
      <w:rFonts w:ascii="Times New Roman" w:eastAsia="SimSun" w:hAnsi="Times New Roman" w:cs="Times New Roman"/>
      <w:sz w:val="20"/>
      <w:szCs w:val="20"/>
      <w:lang w:val="es-ES"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22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22CA"/>
    <w:rPr>
      <w:rFonts w:ascii="Segoe UI" w:eastAsia="Calibri" w:hAnsi="Segoe UI" w:cs="Segoe UI"/>
      <w:sz w:val="18"/>
      <w:szCs w:val="18"/>
      <w:lang w:val="es-E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208D1"/>
    <w:pPr>
      <w:spacing w:after="160"/>
    </w:pPr>
    <w:rPr>
      <w:rFonts w:ascii="Calibri" w:eastAsia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208D1"/>
    <w:rPr>
      <w:rFonts w:ascii="Calibri" w:eastAsia="Calibri" w:hAnsi="Calibri" w:cs="Times New Roman"/>
      <w:b/>
      <w:bCs/>
      <w:sz w:val="20"/>
      <w:szCs w:val="20"/>
      <w:lang w:val="es-ES" w:eastAsia="zh-CN"/>
    </w:rPr>
  </w:style>
  <w:style w:type="character" w:styleId="Enfasigrassetto">
    <w:name w:val="Strong"/>
    <w:basedOn w:val="Carpredefinitoparagrafo"/>
    <w:uiPriority w:val="22"/>
    <w:qFormat/>
    <w:rsid w:val="00D009B3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D009B3"/>
    <w:rPr>
      <w:color w:val="0563C1" w:themeColor="hyperlink"/>
      <w:u w:val="single"/>
    </w:rPr>
  </w:style>
  <w:style w:type="character" w:styleId="Numeroriga">
    <w:name w:val="line number"/>
    <w:basedOn w:val="Carpredefinitoparagrafo"/>
    <w:uiPriority w:val="99"/>
    <w:semiHidden/>
    <w:unhideWhenUsed/>
    <w:rsid w:val="002A040E"/>
  </w:style>
  <w:style w:type="character" w:styleId="Testosegnaposto">
    <w:name w:val="Placeholder Text"/>
    <w:basedOn w:val="Carpredefinitoparagrafo"/>
    <w:uiPriority w:val="99"/>
    <w:semiHidden/>
    <w:rsid w:val="001D6A1C"/>
    <w:rPr>
      <w:color w:val="808080"/>
    </w:rPr>
  </w:style>
  <w:style w:type="paragraph" w:styleId="Paragrafoelenco">
    <w:name w:val="List Paragraph"/>
    <w:basedOn w:val="Normale"/>
    <w:uiPriority w:val="34"/>
    <w:qFormat/>
    <w:rsid w:val="00482E2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E55C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CE2"/>
    <w:rPr>
      <w:rFonts w:ascii="Calibri" w:eastAsia="Calibri" w:hAnsi="Calibri" w:cs="Times New Roman"/>
      <w:lang w:val="es-ES"/>
    </w:rPr>
  </w:style>
  <w:style w:type="paragraph" w:styleId="Pidipagina">
    <w:name w:val="footer"/>
    <w:basedOn w:val="Normale"/>
    <w:link w:val="PidipaginaCarattere"/>
    <w:uiPriority w:val="99"/>
    <w:unhideWhenUsed/>
    <w:rsid w:val="00E55C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CE2"/>
    <w:rPr>
      <w:rFonts w:ascii="Calibri" w:eastAsia="Calibri" w:hAnsi="Calibri" w:cs="Times New Roman"/>
      <w:lang w:val="es-ES"/>
    </w:rPr>
  </w:style>
  <w:style w:type="table" w:styleId="Grigliatabella">
    <w:name w:val="Table Grid"/>
    <w:basedOn w:val="Tabellanormale"/>
    <w:rsid w:val="00AA0B7A"/>
    <w:pPr>
      <w:spacing w:after="0" w:line="240" w:lineRule="auto"/>
    </w:pPr>
    <w:rPr>
      <w:rFonts w:ascii="Calibri" w:eastAsia="Calibri" w:hAnsi="Calibri" w:cs="Times New Roman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4-colore6">
    <w:name w:val="Grid Table 4 Accent 6"/>
    <w:basedOn w:val="Tabellanormale"/>
    <w:uiPriority w:val="49"/>
    <w:rsid w:val="00477FD3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Revisione">
    <w:name w:val="Revision"/>
    <w:hidden/>
    <w:uiPriority w:val="99"/>
    <w:semiHidden/>
    <w:rsid w:val="00DB52C4"/>
    <w:pPr>
      <w:spacing w:after="0" w:line="240" w:lineRule="auto"/>
    </w:pPr>
    <w:rPr>
      <w:rFonts w:ascii="Calibri" w:eastAsia="Calibri" w:hAnsi="Calibri" w:cs="Times New Roman"/>
      <w:lang w:val="es-E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69C9"/>
    <w:rPr>
      <w:color w:val="954F72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72D1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72D13"/>
    <w:rPr>
      <w:rFonts w:ascii="Calibri" w:eastAsia="Calibri" w:hAnsi="Calibri" w:cs="Times New Roman"/>
      <w:sz w:val="20"/>
      <w:szCs w:val="20"/>
      <w:lang w:val="es-E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72D1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6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7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1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33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471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84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67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00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77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29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04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2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8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2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9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81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aerofarms.com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miraigroup.jp/en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://flygrow.it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pread.co.jp/en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agricolamoderna.com/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rowx.co/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envexpbot.2016.12.013" TargetMode="External"/><Relationship Id="rId13" Type="http://schemas.openxmlformats.org/officeDocument/2006/relationships/hyperlink" Target="https://doi.org/10.1016/B978-0-12-813973-8.00001-4" TargetMode="External"/><Relationship Id="rId18" Type="http://schemas.openxmlformats.org/officeDocument/2006/relationships/hyperlink" Target="https://doi.org/10.21273/HORTSCI14073-19" TargetMode="External"/><Relationship Id="rId3" Type="http://schemas.openxmlformats.org/officeDocument/2006/relationships/hyperlink" Target="https://doi.org/10.1016/B978-0-12-813973-8.00016-6" TargetMode="External"/><Relationship Id="rId7" Type="http://schemas.openxmlformats.org/officeDocument/2006/relationships/hyperlink" Target="https://doi.org/10.17660/ActaHortic.2020.1273.35" TargetMode="External"/><Relationship Id="rId12" Type="http://schemas.openxmlformats.org/officeDocument/2006/relationships/hyperlink" Target="https://doi.org/10.1007/978-981-10-5807-3_5" TargetMode="External"/><Relationship Id="rId17" Type="http://schemas.openxmlformats.org/officeDocument/2006/relationships/hyperlink" Target="https://doi.org/10.3390/agronomy8100218" TargetMode="External"/><Relationship Id="rId2" Type="http://schemas.openxmlformats.org/officeDocument/2006/relationships/hyperlink" Target="https://doi.org/10.2183/pjab.89.447" TargetMode="External"/><Relationship Id="rId16" Type="http://schemas.openxmlformats.org/officeDocument/2006/relationships/hyperlink" Target="https://doi.org/10.3390/en12142737" TargetMode="External"/><Relationship Id="rId1" Type="http://schemas.openxmlformats.org/officeDocument/2006/relationships/hyperlink" Target="https://doi.org/10.3390/su11154063" TargetMode="External"/><Relationship Id="rId6" Type="http://schemas.openxmlformats.org/officeDocument/2006/relationships/hyperlink" Target="https://doi.org/10.1093/jxb/erx098" TargetMode="External"/><Relationship Id="rId11" Type="http://schemas.openxmlformats.org/officeDocument/2006/relationships/hyperlink" Target="https://doi.org/10.1371/journal.pone.0099010" TargetMode="External"/><Relationship Id="rId5" Type="http://schemas.openxmlformats.org/officeDocument/2006/relationships/hyperlink" Target="https://doi.org/10.1038/s41598-019-50783-z" TargetMode="External"/><Relationship Id="rId15" Type="http://schemas.openxmlformats.org/officeDocument/2006/relationships/hyperlink" Target="https://doi.org/10.5772/intechopen.90438" TargetMode="External"/><Relationship Id="rId10" Type="http://schemas.openxmlformats.org/officeDocument/2006/relationships/hyperlink" Target="https://doi.org/10.21273/HORTSCI.50.9.1297" TargetMode="External"/><Relationship Id="rId19" Type="http://schemas.openxmlformats.org/officeDocument/2006/relationships/hyperlink" Target="https://doi.org/10.3389/fpls.2016.00250" TargetMode="External"/><Relationship Id="rId4" Type="http://schemas.openxmlformats.org/officeDocument/2006/relationships/hyperlink" Target="https://doi.org/10.1093/pcp/pcp034" TargetMode="External"/><Relationship Id="rId9" Type="http://schemas.openxmlformats.org/officeDocument/2006/relationships/hyperlink" Target="https://doi.org/10.1016/B978-0-12-813973-8.00025-7" TargetMode="External"/><Relationship Id="rId14" Type="http://schemas.openxmlformats.org/officeDocument/2006/relationships/hyperlink" Target="https://doi.org/10.1016/j.foodchem.2013.09.11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368E1C99B5044085F1219083532480" ma:contentTypeVersion="13" ma:contentTypeDescription="Create a new document." ma:contentTypeScope="" ma:versionID="0905f700fb61bf19939c06adcce252e2">
  <xsd:schema xmlns:xsd="http://www.w3.org/2001/XMLSchema" xmlns:xs="http://www.w3.org/2001/XMLSchema" xmlns:p="http://schemas.microsoft.com/office/2006/metadata/properties" xmlns:ns3="e94b548e-f688-4b15-99f0-74ba98936cc9" xmlns:ns4="4ebd242c-66ac-4cf9-9b8d-b0788b403fc6" targetNamespace="http://schemas.microsoft.com/office/2006/metadata/properties" ma:root="true" ma:fieldsID="40993be5593f6518cc376058a4f17217" ns3:_="" ns4:_="">
    <xsd:import namespace="e94b548e-f688-4b15-99f0-74ba98936cc9"/>
    <xsd:import namespace="4ebd242c-66ac-4cf9-9b8d-b0788b403fc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4b548e-f688-4b15-99f0-74ba98936c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bd242c-66ac-4cf9-9b8d-b0788b403fc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E64754-75F1-41E5-A07D-12F69F522E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94b548e-f688-4b15-99f0-74ba98936cc9"/>
    <ds:schemaRef ds:uri="4ebd242c-66ac-4cf9-9b8d-b0788b403f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6A7555-0E0A-476A-935F-3BC2917026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0AEFCF7-2BAF-4ED0-A247-F25D72814F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2AB1118-584A-4B50-8D51-089E10AC7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2067</Words>
  <Characters>11783</Characters>
  <Application>Microsoft Office Word</Application>
  <DocSecurity>0</DocSecurity>
  <Lines>98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Giuseppina Pennisi</dc:creator>
  <cp:keywords/>
  <dc:description/>
  <cp:lastModifiedBy>Silvia Muzzi</cp:lastModifiedBy>
  <cp:revision>2</cp:revision>
  <dcterms:created xsi:type="dcterms:W3CDTF">2020-10-02T09:53:00Z</dcterms:created>
  <dcterms:modified xsi:type="dcterms:W3CDTF">2020-10-02T09:53:00Z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0x010100D5368E1C99B5044085F1219083532480</vt:lpwstr>
  </property>
</Properties>
</file>