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341983" w:rsidRPr="00341983" w:rsidRDefault="00341983" w:rsidP="00341983">
      <w:pPr>
        <w:widowControl/>
        <w:suppressAutoHyphens/>
        <w:spacing w:after="0" w:line="240" w:lineRule="auto"/>
        <w:contextualSpacing/>
        <w:mirrorIndents/>
        <w:rPr>
          <w:rFonts w:asciiTheme="majorHAnsi" w:eastAsia="Arial" w:hAnsiTheme="majorHAnsi" w:cstheme="majorHAnsi"/>
          <w:b/>
          <w:kern w:val="16"/>
          <w:sz w:val="32"/>
          <w:szCs w:val="32"/>
        </w:rPr>
      </w:pPr>
      <w:r w:rsidRPr="00341983">
        <w:rPr>
          <w:rFonts w:asciiTheme="majorHAnsi" w:hAnsiTheme="majorHAnsi" w:cstheme="majorHAnsi"/>
          <w:b/>
          <w:sz w:val="32"/>
          <w:szCs w:val="32"/>
        </w:rPr>
        <w:t xml:space="preserve">This is the final peer-reviewed accepted manuscript </w:t>
      </w:r>
      <w:proofErr w:type="gramStart"/>
      <w:r w:rsidRPr="00341983">
        <w:rPr>
          <w:rFonts w:asciiTheme="majorHAnsi" w:hAnsiTheme="majorHAnsi" w:cstheme="majorHAnsi"/>
          <w:b/>
          <w:sz w:val="32"/>
          <w:szCs w:val="32"/>
        </w:rPr>
        <w:t>of</w:t>
      </w:r>
      <w:proofErr w:type="gramEnd"/>
      <w:r w:rsidRPr="00341983">
        <w:rPr>
          <w:rFonts w:asciiTheme="majorHAnsi" w:hAnsiTheme="majorHAnsi" w:cstheme="majorHAnsi"/>
          <w:b/>
          <w:sz w:val="32"/>
          <w:szCs w:val="32"/>
        </w:rPr>
        <w:t>:</w:t>
      </w:r>
    </w:p>
    <w:p w:rsidR="00341983" w:rsidRP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sz w:val="28"/>
          <w:szCs w:val="20"/>
        </w:rPr>
      </w:pPr>
    </w:p>
    <w:p w:rsidR="00341983" w:rsidRP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Marco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Crepaldi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. 2019.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Why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blockchains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need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the law: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secondary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rules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to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improve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public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blockchain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governance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. In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Proceedings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of International Conference on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Artificial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 Intelligence and Law (ICAIL 2019). ACM, New York, NY, USA, 5 </w:t>
      </w:r>
      <w:proofErr w:type="spellStart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>pages</w:t>
      </w:r>
      <w:proofErr w:type="spellEnd"/>
      <w:r w:rsidRPr="00341983">
        <w:rPr>
          <w:rFonts w:asciiTheme="majorHAnsi" w:hAnsiTheme="majorHAnsi" w:cstheme="majorHAnsi"/>
          <w:kern w:val="16"/>
          <w:sz w:val="28"/>
          <w:szCs w:val="28"/>
          <w:lang w:val="it-IT"/>
        </w:rPr>
        <w:t xml:space="preserve">. </w:t>
      </w:r>
    </w:p>
    <w:p w:rsid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</w:p>
    <w:p w:rsid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</w:p>
    <w:p w:rsidR="00341983" w:rsidRP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</w:p>
    <w:p w:rsidR="00341983" w:rsidRP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rPr>
          <w:rFonts w:asciiTheme="majorHAnsi" w:hAnsiTheme="majorHAnsi" w:cstheme="majorHAnsi"/>
          <w:b/>
          <w:kern w:val="16"/>
          <w:sz w:val="32"/>
          <w:szCs w:val="32"/>
          <w:lang w:val="it-IT"/>
        </w:rPr>
      </w:pPr>
      <w:r w:rsidRPr="00341983">
        <w:rPr>
          <w:rFonts w:asciiTheme="majorHAnsi" w:hAnsiTheme="majorHAnsi" w:cstheme="majorHAnsi"/>
          <w:b/>
          <w:sz w:val="32"/>
          <w:szCs w:val="32"/>
        </w:rPr>
        <w:t xml:space="preserve">The final published version is available online </w:t>
      </w:r>
      <w:proofErr w:type="gramStart"/>
      <w:r w:rsidRPr="00341983">
        <w:rPr>
          <w:rFonts w:asciiTheme="majorHAnsi" w:hAnsiTheme="majorHAnsi" w:cstheme="majorHAnsi"/>
          <w:b/>
          <w:sz w:val="32"/>
          <w:szCs w:val="32"/>
        </w:rPr>
        <w:t>at</w:t>
      </w:r>
      <w:proofErr w:type="gramEnd"/>
      <w:r w:rsidRPr="00341983">
        <w:rPr>
          <w:rFonts w:asciiTheme="majorHAnsi" w:hAnsiTheme="majorHAnsi" w:cstheme="majorHAnsi"/>
          <w:b/>
          <w:sz w:val="32"/>
          <w:szCs w:val="32"/>
        </w:rPr>
        <w:t>:</w:t>
      </w:r>
    </w:p>
    <w:p w:rsidR="00341983" w:rsidRPr="00341983" w:rsidRDefault="0030309D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  <w:hyperlink r:id="rId6" w:history="1">
        <w:r w:rsidR="00341983" w:rsidRPr="00341983">
          <w:rPr>
            <w:rStyle w:val="Collegamentoipertestuale"/>
            <w:rFonts w:asciiTheme="majorHAnsi" w:hAnsiTheme="majorHAnsi" w:cstheme="majorHAnsi"/>
            <w:kern w:val="16"/>
            <w:sz w:val="28"/>
            <w:szCs w:val="28"/>
            <w:lang w:val="it-IT"/>
          </w:rPr>
          <w:t>https://doi.org/10.1145/3322640.3328780</w:t>
        </w:r>
      </w:hyperlink>
    </w:p>
    <w:p w:rsidR="00341983" w:rsidRPr="00341983" w:rsidRDefault="00341983" w:rsidP="00341983">
      <w:pPr>
        <w:widowControl/>
        <w:autoSpaceDE w:val="0"/>
        <w:autoSpaceDN w:val="0"/>
        <w:adjustRightInd w:val="0"/>
        <w:spacing w:after="0" w:line="240" w:lineRule="auto"/>
        <w:contextualSpacing/>
        <w:mirrorIndents/>
        <w:jc w:val="both"/>
        <w:rPr>
          <w:rFonts w:asciiTheme="majorHAnsi" w:hAnsiTheme="majorHAnsi" w:cstheme="majorHAnsi"/>
          <w:kern w:val="16"/>
          <w:sz w:val="28"/>
          <w:szCs w:val="28"/>
          <w:lang w:val="it-IT"/>
        </w:rPr>
      </w:pPr>
    </w:p>
    <w:p w:rsidR="00341983" w:rsidRPr="00341983" w:rsidRDefault="00341983" w:rsidP="00341983">
      <w:pPr>
        <w:widowControl/>
        <w:suppressAutoHyphens/>
        <w:spacing w:after="0" w:line="240" w:lineRule="auto"/>
        <w:contextualSpacing/>
        <w:mirrorIndents/>
        <w:jc w:val="center"/>
        <w:rPr>
          <w:rFonts w:asciiTheme="majorHAnsi" w:eastAsia="Arial" w:hAnsiTheme="majorHAnsi" w:cstheme="majorHAnsi"/>
          <w:kern w:val="16"/>
          <w:sz w:val="28"/>
          <w:szCs w:val="28"/>
        </w:rPr>
      </w:pPr>
    </w:p>
    <w:p w:rsidR="00341983" w:rsidRPr="00341983" w:rsidRDefault="00341983" w:rsidP="00341983">
      <w:pPr>
        <w:rPr>
          <w:rFonts w:asciiTheme="majorHAnsi" w:hAnsiTheme="majorHAnsi" w:cstheme="majorHAnsi"/>
        </w:rPr>
      </w:pPr>
      <w:bookmarkStart w:id="0" w:name="_GoBack"/>
      <w:bookmarkEnd w:id="0"/>
    </w:p>
    <w:p w:rsidR="00341983" w:rsidRPr="00F352AE" w:rsidRDefault="00341983" w:rsidP="00341983">
      <w:pPr>
        <w:autoSpaceDE w:val="0"/>
        <w:autoSpaceDN w:val="0"/>
        <w:adjustRightInd w:val="0"/>
        <w:spacing w:before="240" w:after="24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F352AE">
        <w:rPr>
          <w:rFonts w:asciiTheme="majorHAnsi" w:hAnsiTheme="majorHAnsi" w:cstheme="majorHAnsi"/>
          <w:b/>
          <w:sz w:val="32"/>
          <w:szCs w:val="32"/>
        </w:rPr>
        <w:t>Rights / License:</w:t>
      </w:r>
    </w:p>
    <w:p w:rsidR="00341983" w:rsidRPr="00F352AE" w:rsidRDefault="00341983" w:rsidP="00341983">
      <w:pPr>
        <w:autoSpaceDE w:val="0"/>
        <w:autoSpaceDN w:val="0"/>
        <w:adjustRightInd w:val="0"/>
        <w:spacing w:before="240" w:after="240" w:line="240" w:lineRule="auto"/>
        <w:jc w:val="both"/>
        <w:rPr>
          <w:rFonts w:asciiTheme="majorHAnsi" w:hAnsiTheme="majorHAnsi" w:cstheme="majorHAnsi"/>
          <w:sz w:val="28"/>
          <w:szCs w:val="28"/>
        </w:rPr>
      </w:pPr>
      <w:r w:rsidRPr="00F352AE">
        <w:rPr>
          <w:rFonts w:asciiTheme="majorHAnsi" w:hAnsiTheme="majorHAnsi" w:cstheme="majorHAnsi"/>
          <w:sz w:val="28"/>
          <w:szCs w:val="28"/>
        </w:rPr>
        <w:t xml:space="preserve">The terms and conditions for the reuse of this version of the manuscript </w:t>
      </w:r>
      <w:proofErr w:type="gramStart"/>
      <w:r w:rsidRPr="00F352AE">
        <w:rPr>
          <w:rFonts w:asciiTheme="majorHAnsi" w:hAnsiTheme="majorHAnsi" w:cstheme="majorHAnsi"/>
          <w:sz w:val="28"/>
          <w:szCs w:val="28"/>
        </w:rPr>
        <w:t>are specified</w:t>
      </w:r>
      <w:proofErr w:type="gramEnd"/>
      <w:r w:rsidRPr="00F352AE">
        <w:rPr>
          <w:rFonts w:asciiTheme="majorHAnsi" w:hAnsiTheme="majorHAnsi" w:cstheme="majorHAnsi"/>
          <w:sz w:val="28"/>
          <w:szCs w:val="28"/>
        </w:rPr>
        <w:t xml:space="preserve"> in the publishing policy. For all terms of use and more </w:t>
      </w:r>
      <w:proofErr w:type="gramStart"/>
      <w:r w:rsidRPr="00F352AE">
        <w:rPr>
          <w:rFonts w:asciiTheme="majorHAnsi" w:hAnsiTheme="majorHAnsi" w:cstheme="majorHAnsi"/>
          <w:sz w:val="28"/>
          <w:szCs w:val="28"/>
        </w:rPr>
        <w:t>information</w:t>
      </w:r>
      <w:proofErr w:type="gramEnd"/>
      <w:r w:rsidRPr="00F352AE">
        <w:rPr>
          <w:rFonts w:asciiTheme="majorHAnsi" w:hAnsiTheme="majorHAnsi" w:cstheme="majorHAnsi"/>
          <w:sz w:val="28"/>
          <w:szCs w:val="28"/>
        </w:rPr>
        <w:t xml:space="preserve"> see the publisher's website. </w:t>
      </w:r>
    </w:p>
    <w:p w:rsidR="00341983" w:rsidRPr="00341983" w:rsidRDefault="0030309D" w:rsidP="00341983">
      <w:pPr>
        <w:autoSpaceDE w:val="0"/>
        <w:autoSpaceDN w:val="0"/>
        <w:adjustRightInd w:val="0"/>
        <w:spacing w:before="240" w:after="240" w:line="240" w:lineRule="auto"/>
        <w:jc w:val="both"/>
        <w:rPr>
          <w:rFonts w:asciiTheme="majorHAnsi" w:hAnsiTheme="majorHAnsi" w:cstheme="majorHAnsi"/>
          <w:sz w:val="28"/>
          <w:szCs w:val="28"/>
        </w:rPr>
      </w:pPr>
      <w:hyperlink r:id="rId7" w:anchor="green" w:history="1">
        <w:r w:rsidR="00341983" w:rsidRPr="00341983">
          <w:rPr>
            <w:rStyle w:val="Collegamentoipertestuale"/>
            <w:rFonts w:asciiTheme="majorHAnsi" w:hAnsiTheme="majorHAnsi" w:cstheme="majorHAnsi"/>
            <w:sz w:val="28"/>
            <w:szCs w:val="28"/>
          </w:rPr>
          <w:t>https://www.acm.org/publications/openaccess#green</w:t>
        </w:r>
      </w:hyperlink>
    </w:p>
    <w:p w:rsidR="00341983" w:rsidRPr="00341983" w:rsidRDefault="00341983" w:rsidP="00341983">
      <w:pPr>
        <w:autoSpaceDE w:val="0"/>
        <w:autoSpaceDN w:val="0"/>
        <w:adjustRightInd w:val="0"/>
        <w:spacing w:before="240" w:after="240" w:line="240" w:lineRule="auto"/>
        <w:jc w:val="both"/>
        <w:rPr>
          <w:rFonts w:asciiTheme="majorHAnsi" w:hAnsiTheme="majorHAnsi" w:cstheme="majorHAnsi"/>
          <w:sz w:val="24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  <w:sectPr w:rsidR="00341983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kern w:val="16"/>
          <w:sz w:val="28"/>
          <w:szCs w:val="28"/>
        </w:rPr>
        <w:lastRenderedPageBreak/>
        <w:t xml:space="preserve">Marco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8"/>
          <w:szCs w:val="28"/>
        </w:rPr>
        <w:t>Crepaldi</w:t>
      </w:r>
      <w:proofErr w:type="spellEnd"/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kern w:val="16"/>
          <w:sz w:val="28"/>
          <w:szCs w:val="28"/>
        </w:rPr>
        <w:t>University of Luxembourg</w:t>
      </w:r>
    </w:p>
    <w:p w:rsidR="00E1554C" w:rsidRDefault="0030309D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hAnsi="Times New Roman" w:cs="Times New Roman"/>
          <w:kern w:val="16"/>
          <w:sz w:val="28"/>
          <w:szCs w:val="28"/>
        </w:rPr>
      </w:pPr>
      <w:hyperlink r:id="rId8" w:history="1">
        <w:r w:rsidR="00E1554C" w:rsidRPr="004623B1">
          <w:rPr>
            <w:rStyle w:val="Collegamentoipertestuale"/>
            <w:rFonts w:ascii="Times New Roman" w:hAnsi="Times New Roman" w:cs="Times New Roman"/>
            <w:kern w:val="16"/>
            <w:sz w:val="28"/>
            <w:szCs w:val="28"/>
          </w:rPr>
          <w:t>Marco.crepaldi@protonmail.com</w:t>
        </w:r>
      </w:hyperlink>
    </w:p>
    <w:p w:rsidR="00E1554C" w:rsidRDefault="00E1554C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hAnsi="Times New Roman" w:cs="Times New Roman"/>
          <w:kern w:val="16"/>
          <w:sz w:val="28"/>
          <w:szCs w:val="28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Why </w:t>
      </w:r>
      <w:proofErr w:type="spellStart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need the law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hAnsi="Times New Roman" w:cs="Times New Roman"/>
          <w:b/>
          <w:kern w:val="16"/>
          <w:sz w:val="28"/>
          <w:szCs w:val="28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center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Secondary rules as the missing piece of </w:t>
      </w:r>
      <w:proofErr w:type="spellStart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governance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8"/>
          <w:szCs w:val="28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ABSTRACT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Governance issues limit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’ ability to evolve and face unforeseen challenges. It seems possible to argue that this impasse is because most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lack meta-rules. This work considers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as a socio-technical system of rules, in order to draw a comparison with legal systems. Following the comparison, one finds that most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lack what, in legal theory,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are considered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secondary rules. That is, the meta-rule of the system.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works examines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relevant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concepts and provides their definitions, then proceeds to outline concrete example of the failure of governance among popular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before drawing the parallelism with legal systems and argue that secondary rules might solve some of the issues of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Secondary rules are the necessary infrastructure for building sound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 structures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a necessary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condition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for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succeed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 new mode 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conclusion provides future research directions.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CONCEPTS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• Applied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computing~Law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social and behavioral sciences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• Networks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KEYWORDS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governance, secondary rules, meta-rules, DAO, Bitcoin,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5875FE" w:rsidRDefault="005875FE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867DD5" w:rsidRDefault="00867DD5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867DD5" w:rsidRPr="0000637E" w:rsidRDefault="00867DD5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proofErr w:type="gramStart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1</w:t>
      </w:r>
      <w:proofErr w:type="gramEnd"/>
      <w:r w:rsid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Introduction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Nakamoto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proposed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architecture in 2008 as the underlining data structure of Bitcoin [1].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architectures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solve two longstanding problems in the field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of digital cash: double spending and Byzantine fault tolerance [2, 3].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are systems based on “peer-to-peer principles rather than central authority and rely on cryptography for network-wide verification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(by consensus)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systems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states” [4].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Generally,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enable the decentralized transfer of digital (or tokenized) assets, mostly in the form of cryptocurrencies.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technology is one of the last developments in peer-to- peer (P2P) architectures. It enables the “short route” typical of P2P systems in new scenarios, such as online payments [5].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Since its inception, the interest in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technology has grown exponentially, with several authors suggesting new applications beyond cryptocurrencies [6-9]. It is useful to conceptualize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as systems of rules that enable cooperation and coordination among mutually distrusting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 xml:space="preserve">parties. As such, there seems to be a natural overlap with the study of concurring rule systems as, for example, the law [10]. This abstraction explains the use of legal terminology within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space, think, for example of the case of smart contracts or the shared political ontology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communities and States as shown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by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Reijers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et al. [11].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objective of this study is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It seems that the governance structures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determined both their successes and failures. Hence, it is hardly a surprise that the issue of governance has gained prominence in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space [12]. This work contributes to the discussion on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by leveraging the distinction between primary and secondary rules of law as established by legal theorists with respect to modern legal systems.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Since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much of the relevant discourse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occurs outside academic circles this work integrates, out of necessity, sources, and insights from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‘grey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literature.’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Moreover,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it does not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take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into consideration permissioned or closed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[13]. Closed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implement a centralized identity layer or – root authority - in order to allow only selected nodes to perform specific network functions, such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as write/read from the ledger.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Hyperledger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Fabric 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Corda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– among others – belong to this category.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focus,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then,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placed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permissionless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/open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systems.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work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develops as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follows;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next section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defines fundamental notions relevant for the analysis. Section 3 provides a brief literature review while section 4 outlines practical examples. Section 5, then, introduces the notion of primary and secondary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rules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law and applies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it to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systems. Section 6 concludes.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proofErr w:type="gramStart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2</w:t>
      </w:r>
      <w:proofErr w:type="gramEnd"/>
      <w:r w:rsid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Definitions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as rule-systems enable different modalities of governance as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shown by Malcolm Campbell-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Verduyn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[14].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 critical distinction is between governance by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governance 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The focus of this work is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Examples of the three modalities of governance are the following. Governance 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instantiates rules that determine the validity of events, or state changes within the software. Therefore, Bitcoin’s algorithm rule for the validity of blocks:</w:t>
      </w:r>
    </w:p>
    <w:p w:rsidR="00867DD5" w:rsidRDefault="00867DD5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341983">
        <w:rPr>
          <w:rFonts w:ascii="Times New Roman" w:eastAsia="Arial" w:hAnsi="Times New Roman" w:cs="Times New Roman"/>
          <w:noProof/>
          <w:kern w:val="16"/>
          <w:sz w:val="24"/>
          <w:szCs w:val="24"/>
          <w:lang w:val="it-IT" w:eastAsia="it-IT"/>
        </w:rPr>
        <w:drawing>
          <wp:inline distT="0" distB="0" distL="0" distR="0">
            <wp:extent cx="5400675" cy="5048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1983" w:rsidRDefault="00341983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Where c is the 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challenge, x the nonce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1"/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d is the difficulty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2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an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example of governance 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[15].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Instead, the issuance scheme of Bitcoin is an example of governance by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network. In particular, the protocol provides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number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bitcoins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generated per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block decreases geometrically, with a 50% reduction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every 210.000 blocks until the total number of bitcoins generated will not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exceed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21 million.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 the other hand,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determines the governance by and 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Vlad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Zamfir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defines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as “the decision-making processes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>for coordination to determine the fut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ure of shared common resources.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3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” On the contrary, Gavin Wood considers governance as a mechanism to preserve the cohesion of an economic system: “governance is what changes a multiparty system into a moral person […] it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what keeps people together”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4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In this study,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defined as the formal or informal processes that determine changes to the software protocol and/or to the legal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entities which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manage each system. One need not indulge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 the difference between on/off chain governance for the purpose of this work is to show the absence of meta-rules which applies to both cases.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As it stands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governance includes but it is not limited to improvement proposals procedures (IPs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)[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16]. IPs only determine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rules and provide guidelines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 how to submit proposals but do not determine the whole decision process.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Also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IPs do not seem to allow for influencing the legal entities behind some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projects.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In general,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unfolds in the following fashion: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 proposal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 presented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or an unexpected event occurs.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tabs>
          <w:tab w:val="left" w:pos="38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2.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ab/>
        <w:t>Some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stakeholders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coordinate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through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community channels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5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tabs>
          <w:tab w:val="left" w:pos="38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3.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ab/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development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team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implements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proposed changes/fixes.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4.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Nodes operators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 xml:space="preserve"> signal support or lack thereof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6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5.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Miners decide to support the changes, or not.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It seems fair to contend that the governance of most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not robust enough to ensure that their development unfolds satisfactorily.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Empirically,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it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 manifested</w:t>
      </w:r>
      <w:proofErr w:type="gram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by the multitude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hard-forks.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3</w:t>
      </w:r>
      <w:r w:rsid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The governance of </w:t>
      </w:r>
      <w:proofErr w:type="spellStart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in the literature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following brief literature review highlights some critical issues of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Sclavounis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rightly recognizes that “The promise of governance by the network – a techno-institutional solution to solving the problems of cooperation and coordination – can only work if the governance of the network is robust, fair and predictable” [17].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Along the same line,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Lehdonvirta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argues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that thinking about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 terms of their potential to change the very way economies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are organized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turns out to be a naïve understanding of the technology since the real issue lies in who sets the rules that the network enforces [18].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Another Author notes how focusing on the issue of governance by/with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shows the pre-political nature of the discourse: “contrary to the claims of some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advocates, the final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outcome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would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be 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general disempowerment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individuals, the “deification of the market and the triumph of anti- politics”[19].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 xml:space="preserve">Chiefly, the governance by/with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incomplete with respect to other modalities of governance; hence, it seems not to be a “new mode of governance that competes with other economic institutions of capitalism, namely firms, markets, networks, relational contracting and governments” [20].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Other authors have described possible solutions to address the shortcomings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 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Abramowicz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introduces the concept of cryptocurrency-based law, that is, a P2P decision-making method based on tacit coordination games. He suggests that such a method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might be used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to “determine whether to make changes to the Bitcoin reference code” [21]. Moreover, he</w:t>
      </w:r>
      <w:r w:rsidR="0000637E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correctly notes that Bitcoin uses P2P governance for transactions and not for changes to the rules themselves.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 different strand of the literature addresses the issue of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by comparing it with the governance of the internet.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Two articles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examine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issues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with different theoretical lenses but end up with a similar conclusion.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 the one hand, De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Filippi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Loveluck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examine the governance 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Bitcoin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system and find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 highly technocratic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power structure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7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[16]. They entertain the opportunity to establish a body similar to ICANN and then reject it: “A centralized governance body […] would obviously fail to obtain any kind of legitimacy from within the Bitcoin community […] since eliminating the need for a fiduciary institutions, or other centralized authorities was the very purpose of the Bitcoin network” [16].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 the other hand, Hacker argues for the application of corporate governance rules to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applications through legal intervention. On this basis, he suggests that an “ICANN for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” may eventually arise if “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permissionless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and the cryptocurrencies and token-based ventures they give rise to, become more interconnected” [23].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Leaving aside the legitimacy issues of an ICAAN for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one argument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does not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seem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support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analogy of the internet 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ICAAN arose from the implementation of a centralized layer (the DNS system) on top of the internet’s distributed architecture (TCP/IP). On the contrary,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do not (yet) operate under a centralized layer such as the DNS. Thus, the comparison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between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the internet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may be unwarranted, as the extension of a part of the internet governance framework to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Zamfir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contends that five alternatives for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are possible, yet not determined [24]: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autonomous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;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governance capture;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internet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censorship;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with public international law or diplomacy;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e)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with international private cooperation.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As many contributions on the topic, these solutions do not seem to acknowledge critical aspects of sound governance structures. More precisely, the governance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lacks meta-rules on how to from other rules. Hence, this work aims to theorize this problem by resorting to one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>conceptualization developed within the legal theory. For now, the next section exposes some examples 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failures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 which</w:t>
      </w:r>
      <w:proofErr w:type="gram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can be explained by the lack of meta-rules.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5.1</w:t>
      </w:r>
      <w:r w:rsid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Bitcoin software update from 0.7 to 0.8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March 2013, the Bitcoin core developers rolled out an update to the Bitcoin core software in order to fix some issues and vulnerabilities: regular maintenance work. Due to a bug in the update, the new version of the software was incompatible with the older one. The core developers persuaded two of the biggest mining operators to roll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back to the previous version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of the software for the sake of Bitcoin’s integrity [25]. In a matter of hours,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running the version 0.7 caught up the one running the new software thus solving the issue. In this instance, the informal and opaque mode of governance manifested itself; a few people resolved the issue by coordinating without informing the relevant stakeholders.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Arguably,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event confronted the ecosystem with the problem of unexpected events and the lack of proper procedures to deal with the unexpected, a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task which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usually allocated to meta-rules.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5.2</w:t>
      </w:r>
      <w:r w:rsid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The Bitcoin block-size debate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Most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systems have scalability issues; for instance, the throughput of the Bitcoin network is in the order of 6-7 transaction per second.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Some members of the community along with some prominent developers (namely, Gavin Andreessen and Mike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Hearn) proposed to expand the block size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 Bitcoin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accommodate more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transactions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per bloc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k thereby increasing throughput</w:t>
      </w:r>
      <w:proofErr w:type="gramEnd"/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8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others disagreed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 The controversy culminated with the launch of – among others - Bitcoin Cash and Bitcoin Gold in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2017, different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versions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Bitcoin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where the block size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867DD5">
        <w:rPr>
          <w:rFonts w:ascii="Times New Roman" w:eastAsia="Arial" w:hAnsi="Times New Roman" w:cs="Times New Roman"/>
          <w:kern w:val="16"/>
          <w:sz w:val="24"/>
          <w:szCs w:val="24"/>
        </w:rPr>
        <w:t>not limited to 1mb</w:t>
      </w:r>
      <w:r w:rsidR="00867DD5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9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Interestingly both sides claimed to represent the accurate vision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Nakamoto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[27]. More importantly, the block- size discussion resulted in a loss of trust in Bitcoin’s ability to adapt, evolve, and put forward a lack of legitimacy of the decisions made without a procedural framework, once more a matter of the lack of secondary rules [14].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5.3</w:t>
      </w:r>
      <w:r w:rsid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The DAO</w:t>
      </w:r>
    </w:p>
    <w:p w:rsidR="00953EE2" w:rsidRPr="0000637E" w:rsidRDefault="00867DD5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>The DAO</w:t>
      </w:r>
      <w:r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10"/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was a “failed experiment in algorithmic governance” intended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to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act as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 decentralized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crowdsourced investment vehicle deployed on the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[28]. In the funding phase, the DAO collected the equivalent of 150 million dollars in Ether. After the launch, a hacker drained more than 30% of the funds exploiting a vulnerability in the code. A vivid debate arose in the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community, which decided to amend the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to restore the lost funds. The much-heralded immutability of the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was gone. Part of the community forked and gave birth to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Classic due to the perceived illegitimacy of the decision. In this case, meta-rules </w:t>
      </w:r>
      <w:proofErr w:type="gram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could have been adopted</w:t>
      </w:r>
      <w:proofErr w:type="gram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to regulate how the DAO was intended to operate, thereby helping to legitimize the community’s decision.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 xml:space="preserve">5.4 GDPR’s right to be forgotten and public </w:t>
      </w:r>
      <w:proofErr w:type="spellStart"/>
      <w:r w:rsidRPr="0000637E">
        <w:rPr>
          <w:rFonts w:ascii="Times New Roman" w:eastAsia="Arial" w:hAnsi="Times New Roman" w:cs="Times New Roman"/>
          <w:b/>
          <w:kern w:val="16"/>
          <w:sz w:val="24"/>
          <w:szCs w:val="24"/>
        </w:rPr>
        <w:t>blockchains</w:t>
      </w:r>
      <w:proofErr w:type="spellEnd"/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One would not struggle to identify areas of friction between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the law [29-33]. For the sake of illustration, this section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examines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clash between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’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immutability and GDPR’s art.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17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rubricated right to erasure [34].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 xml:space="preserve">Art.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17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states that “the data subject shall have the right to obtain from the controller the erasure of personal data concerning him or her without undue delay […]” if specific grounds apply. Let us assume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that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store personal data, that irreversible encryption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not feasible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for all personal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>data</w:t>
      </w:r>
      <w:r w:rsidR="005C0716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11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and that the ground rules (a) and (b) of art.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17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apply and that art.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17.3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does not. Therefore, under the GDPR, a data subject whose personal data have been stored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on a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has the right to obtain the erasure of her personal data.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Putting aside several issues in determining the controller(s) and the processor(s),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seems that current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appear inherently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incompatible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with the regulatory framework of the European Union [37].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Since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it seems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 several technical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solutions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>to the problem exist</w:t>
      </w:r>
      <w:r w:rsidR="005C0716">
        <w:rPr>
          <w:rStyle w:val="Rimandonotaapidipagina"/>
          <w:rFonts w:ascii="Times New Roman" w:eastAsia="Arial" w:hAnsi="Times New Roman" w:cs="Times New Roman"/>
          <w:kern w:val="16"/>
          <w:sz w:val="24"/>
          <w:szCs w:val="24"/>
        </w:rPr>
        <w:footnoteReference w:id="12"/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if one further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assumes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jurisdictional fragmentation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undesirable, then, the problem becomes how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can or should attempt to comply with an injunction to erase personal data. As it stands,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do not have rules of recognition to comply with regulators or judicial rulings. Recognition is, again a function usually carried out by meta-rules.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It is now time to define the notion of meta-rules. Legal philosophers, namely Hart 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provide a useful description within the domain of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law which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can be extended to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considered as a socio-technical system of rules.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5C0716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proofErr w:type="gramStart"/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6</w:t>
      </w:r>
      <w:proofErr w:type="gramEnd"/>
      <w:r w:rsidR="0000637E"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</w:t>
      </w:r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Secondary rules of law as meta-rules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Hart introduced the concepts of primary and secondary rules of law in the ’60. However, this work draws on the recent conceptualization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[40-42].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According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Pagallo’s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perspective, primary rules of law aim to govern social and individual behavior, while secondary rules of law dictate recognition, adjudication, and change.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More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precisely, rules of change regulate 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creation, modification, and suppression of primary rules. As explained by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secondary rules are “meta-rules by which all other rules of the system are identified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understood as valid,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i.e.,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 which counts as valid law within that system” [41]. At one level, secondary rules include meta-rules of procedural regularity to ascertain whether a decisional process conforms to a given value, and consequently, if it is to be regarded as legitimate [53-[43].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 the legal domain, the existence of secondary rules is essential for the completeness of a system of rules, because, without them, there would be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no grounds upon which one could recognize primary rules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both in terms of validity and procedural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regularity. Were this 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case, stakeholders within a rule system with no secondary rules would be left at the whims of a hidden pool of decision-makers. More importantly, secondary rules also provide the resilience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integrity of legal systems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by ensuring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their ability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cope with changes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to evolve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according to the demands of the society. Secondary rules of law are the core infrastructure for the governance of legal systems. Without secondary rules, stakeholders in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communities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are left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 the dark as to what procedures and values are valid within their systems.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that lack meta-rules on how to make on/off chain rules (a) do not escape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governance paradox (b) remain a pre-political tool, (c) make complying with judicial decisions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new regulation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 daunting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task,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(d) fail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deliver on the old promise of the P2P movement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by fostering an opaque,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techno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-hierarchical governance structure.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Chiefly,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secondary off-chain rules do not restrict the ability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experiment with governance models.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However, they provide the infrastructure for whichever governance model one decides to implement, for it seems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there is no one-size- fits-all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solution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when it comes to the landscape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systems.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Arguably,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secondary rules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could prevent hard-forks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that stem from ex-post solution to unforeseen events by improving legitimacy,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involvement,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transparency, and accessibility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to key decision processes.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Yet, the role of secondary rules could go as far as ensure that the social experimentation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and the development brought about by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technology evolves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 a way that 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conducive to human flourishing, enriches human interactions by opening ways of sound collaboration, and facilitates, among other things, what is morally right [45, 46].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5C0716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proofErr w:type="gramStart"/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7</w:t>
      </w:r>
      <w:proofErr w:type="gramEnd"/>
      <w:r w:rsidR="0000637E"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 xml:space="preserve"> </w:t>
      </w:r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Conclusion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It seems that the governance of most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is missing a crucial part: meta-rules. In the legal theory, meta-rules of change, adjudication and recognition provide the infrastructure for the governance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legal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systems. Therefore, they are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building blocks upon which modern governance structures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are built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As it stands, most open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primary rule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systems without meta-rules, thus they cannot compete with other modes of governance. This conclusion explains the recent adoption of off- chain quasi-meta-rules by newer systems such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as EOS,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Decred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Tezos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 While the discussion of these systems of meta-rules lies beyond the scope of this work, it is a welcomed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development.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 future research direction points to the study of the method and the design of meta-rules for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inspired by a deliberative and iterative process in which relevant stakeholders can express their opinions. A further research avenue comprises the study of core values that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should establish within secondary rules to develop in a desirable direction.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The potential of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for inclusion, transparency, and improvement is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palpable,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yet,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with no meta-rules are likely stuck and unable to fulfill their true potential.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b/>
          <w:kern w:val="16"/>
          <w:sz w:val="24"/>
          <w:szCs w:val="24"/>
        </w:rPr>
      </w:pPr>
    </w:p>
    <w:p w:rsidR="00953EE2" w:rsidRPr="005C0716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ACKNOWLEDGMENTS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This work is an outcome of the Ph.D. research performed inside of the Joint International Doctoral (Ph.D.) Degree in Law, Science, and Technology.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hAnsi="Times New Roman" w:cs="Times New Roman"/>
          <w:kern w:val="16"/>
          <w:sz w:val="24"/>
          <w:szCs w:val="24"/>
        </w:rPr>
      </w:pPr>
    </w:p>
    <w:p w:rsidR="00953EE2" w:rsidRPr="005C0716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b/>
          <w:kern w:val="16"/>
          <w:sz w:val="28"/>
          <w:szCs w:val="28"/>
        </w:rPr>
      </w:pPr>
      <w:r w:rsidRPr="005C0716">
        <w:rPr>
          <w:rFonts w:ascii="Times New Roman" w:eastAsia="Arial" w:hAnsi="Times New Roman" w:cs="Times New Roman"/>
          <w:b/>
          <w:kern w:val="16"/>
          <w:sz w:val="28"/>
          <w:szCs w:val="28"/>
        </w:rPr>
        <w:t>REFERENCES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Nakamoto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"Bitcoin: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peer-to-peer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electronic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cash system," </w:t>
      </w:r>
      <w:proofErr w:type="spellStart"/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ed</w:t>
      </w:r>
      <w:proofErr w:type="spellEnd"/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2008.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[2]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A. Narayanan and J. Clark, "Bitcoin's Academic Pedigree,"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Queue, vol.15, no. 4, p. 20, 2017.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A. Narayanan, J.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Bonneau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E.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Felten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A. Miller, and S.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Goldfeder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Bitcoin 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cryptocurrency technologies: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comprehensive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introduction.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Princeton University Press, 2016.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F. Glaser and L.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Bezzenberger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"Beyond cryptocurrencies-a taxonomy of decentralized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consensus systems,"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presented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23rd European Conference on Information Systems (ECIS)</w:t>
      </w:r>
      <w:r w:rsidR="005C0716"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Münster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Germany, 2015.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>[5]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M.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Durante, "Three Roads to P2P Systems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Their Impact on Business Practices and Ethics," Journal of Business Ethics, journal article vol. 90, no. 4, pp. 551-564, December 01 2009.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[6]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Ølnes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Jansen,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Technology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Support Infrastructure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e-Government,"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Cham, 2017, pp. 215-227: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Springer International Publishing.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[7]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L. Griggs, R. Thomas, R. Low, and J.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Scheibner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trust and land administration: The return of historical provenance," Property Law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Review, vol. 6, pp. 179-194, 2017.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[8]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Yermack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"Corporate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 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Review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Finance, vol. 21, no. 1, pp. 7-31, 2017.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[9]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De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Filippi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the Law: The Rule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 Code.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Harvard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University Press,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[10]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A. Berg, C. Berg, and M. Novak,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Constitutional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Catallaxy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," presented at the Annual Australasian Public Choice Conference, Melbourne,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[11]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W.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Reijers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F.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O'Brolcháin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and P. Haynes, "Governance in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Technologies &amp; Social Contract Theories,"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Ledger, vol. 1, pp. 134-151,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2016.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[12]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CleanApp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(2018, 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4th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December).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Governance Bibliography.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Available: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ab/>
      </w:r>
      <w:r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  <w:u w:val="single" w:color="0000FF"/>
        </w:rPr>
        <w:t>https://medium.com/cryptolawreview/blockchain-</w:t>
      </w:r>
      <w:r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  <w:u w:val="single" w:color="0000FF"/>
        </w:rPr>
        <w:t>governance-bibliography-360efc52d3f9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[13]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E.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Androulaki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al.,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Hyperledger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Fabric: A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Distributed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Operating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System for Permissioned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,"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arXiv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preprint arXiv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:1801.10228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[14]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M. Campbell-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Verduyn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M. Campbell-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Verduyn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Ed. Bitcoin and Beyond Cryptocurrencies,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and Global Governance (RIPE Series in Global Political Economy). New York: Routledge,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[15]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Wattenhofer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science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CreateSpace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Independent Publishing Platform, 2016.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[16]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P. De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Filippi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Loveluck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Invisible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Politics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Bitcoin: Governance Crisis of a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Decentralised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Infrastructure,"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Internet Policy Review, vol. 5, no. 3, 2016.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[17]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O.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Sclavounis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(2017,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29-05).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Understanding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Public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[18]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V.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Lehdonvirta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(2016, 29-05).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paradox: Why distributed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ledger technologies may do little to transform the economy.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[19]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M.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Atzori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technology and decentralized governance: I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>s the state still necessary?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 2015.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[20]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 Davidson,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P. De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Filippi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J. Potts, "Disrupting governance: The new institutional economics of distributed ledger technology," 2016.</w:t>
      </w:r>
    </w:p>
    <w:p w:rsidR="00953EE2" w:rsidRPr="0000637E" w:rsidRDefault="005C0716" w:rsidP="0000637E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[21]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M.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Abramaowicz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 "Cryptocurrency-based law," Ariz. L. Rev., vol. 58, p.359, 2016.</w:t>
      </w:r>
    </w:p>
    <w:p w:rsidR="00953EE2" w:rsidRPr="0000637E" w:rsidRDefault="005C0716" w:rsidP="0000637E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[22]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Azouvi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M.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Maller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Meiklejohn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"Egalitarian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Society or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Benevolent Dictatorship: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The State of Cryptocurrency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[23]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P. Hacker, "Corporate Governance for Complex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Cryptocurrencies? A Framework for Stability and Decision Making in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-Based Monetary Systems," available at SSRN: </w:t>
      </w:r>
      <w:r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  <w:u w:val="single" w:color="0000FF"/>
        </w:rPr>
        <w:t>https://ssrn.com/abstract=2998830</w:t>
      </w:r>
      <w:r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color w:val="000000"/>
          <w:kern w:val="16"/>
          <w:sz w:val="24"/>
          <w:szCs w:val="24"/>
        </w:rPr>
        <w:t xml:space="preserve">or </w:t>
      </w:r>
      <w:hyperlink r:id="rId10">
        <w:r w:rsidRPr="0000637E">
          <w:rPr>
            <w:rFonts w:ascii="Times New Roman" w:eastAsia="Arial" w:hAnsi="Times New Roman" w:cs="Times New Roman"/>
            <w:color w:val="0000FF"/>
            <w:kern w:val="16"/>
            <w:sz w:val="24"/>
            <w:szCs w:val="24"/>
            <w:u w:val="single" w:color="0000FF"/>
          </w:rPr>
          <w:t>http://dx.doi.org/10.2139/ssrn.2998830</w:t>
        </w:r>
        <w:r w:rsidRPr="0000637E">
          <w:rPr>
            <w:rFonts w:ascii="Times New Roman" w:eastAsia="Arial" w:hAnsi="Times New Roman" w:cs="Times New Roman"/>
            <w:color w:val="000000"/>
            <w:kern w:val="16"/>
            <w:sz w:val="24"/>
            <w:szCs w:val="24"/>
          </w:rPr>
          <w:t xml:space="preserve">, </w:t>
        </w:r>
      </w:hyperlink>
      <w:r w:rsidRPr="0000637E">
        <w:rPr>
          <w:rFonts w:ascii="Times New Roman" w:eastAsia="Arial" w:hAnsi="Times New Roman" w:cs="Times New Roman"/>
          <w:color w:val="000000"/>
          <w:kern w:val="16"/>
          <w:sz w:val="24"/>
          <w:szCs w:val="24"/>
        </w:rPr>
        <w:t>2017.</w:t>
      </w:r>
    </w:p>
    <w:p w:rsidR="00953EE2" w:rsidRPr="0000637E" w:rsidRDefault="005C0716" w:rsidP="0000637E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[24]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V.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Zamfir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. (2018, </w:t>
      </w:r>
      <w:proofErr w:type="gram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4th</w:t>
      </w:r>
      <w:proofErr w:type="gram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December).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Governance 101.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[25]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N. Popper, Digital gold: Bitcoin and the inside story of the misfits and millionaires trying to reinvent money. Harper New York, 2015.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[26]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E.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Gencer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Basu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I.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Eyal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R. van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Renesse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E. G.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Sirer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"Decentralization in Bitcoin and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Ethereum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Networks,"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arXiv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preprint arXiv</w:t>
      </w:r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:1801.03998</w:t>
      </w:r>
      <w:proofErr w:type="gram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2018.</w:t>
      </w:r>
    </w:p>
    <w:p w:rsidR="005C0716" w:rsidRDefault="005C0716" w:rsidP="0000637E">
      <w:pPr>
        <w:widowControl/>
        <w:tabs>
          <w:tab w:val="left" w:pos="62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[27]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S.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Rajagopalan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Buchanan: Code </w:t>
      </w:r>
      <w:proofErr w:type="gram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As</w:t>
      </w:r>
      <w:proofErr w:type="gram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Constitution," 2018. </w:t>
      </w:r>
    </w:p>
    <w:p w:rsidR="00953EE2" w:rsidRPr="0000637E" w:rsidRDefault="005C0716" w:rsidP="0000637E">
      <w:pPr>
        <w:widowControl/>
        <w:tabs>
          <w:tab w:val="left" w:pos="62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[28]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Q. DuPont,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"Experiments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in algorithmic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governance: A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history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ethnography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“The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DAO,”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failed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decentralized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autonomous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organization," in Bitcoin and Beyond: Routledge, 2017, pp. 157-177.</w:t>
      </w:r>
    </w:p>
    <w:p w:rsidR="00953EE2" w:rsidRPr="005C0716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>[29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] </w:t>
      </w:r>
      <w:r w:rsidR="00953EE2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Q. DuPont and B. Maurer, "Ledgers and Law in the </w:t>
      </w:r>
      <w:proofErr w:type="spellStart"/>
      <w:r w:rsidR="00953EE2" w:rsidRPr="005C0716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5C0716">
        <w:rPr>
          <w:rFonts w:ascii="Times New Roman" w:eastAsia="Arial" w:hAnsi="Times New Roman" w:cs="Times New Roman"/>
          <w:kern w:val="16"/>
          <w:sz w:val="24"/>
          <w:szCs w:val="24"/>
        </w:rPr>
        <w:t>," Kings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5C0716">
        <w:rPr>
          <w:rFonts w:ascii="Times New Roman" w:eastAsia="Arial" w:hAnsi="Times New Roman" w:cs="Times New Roman"/>
          <w:kern w:val="16"/>
          <w:sz w:val="24"/>
          <w:szCs w:val="24"/>
        </w:rPr>
        <w:t>Review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(23 June 2015) </w:t>
      </w:r>
      <w:hyperlink r:id="rId11" w:history="1">
        <w:r w:rsidRPr="005C0716">
          <w:rPr>
            <w:rStyle w:val="Collegamentoipertestuale"/>
          </w:rPr>
          <w:t>http://kingsreview.co.UK/magazine/blog/2015/06/23/ledgers-and-law-in-the-blockchain</w:t>
        </w:r>
      </w:hyperlink>
      <w:r w:rsidRPr="005C0716">
        <w:t>,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5C0716">
        <w:rPr>
          <w:rFonts w:ascii="Times New Roman" w:eastAsia="Arial" w:hAnsi="Times New Roman" w:cs="Times New Roman"/>
          <w:kern w:val="16"/>
          <w:sz w:val="24"/>
          <w:szCs w:val="24"/>
        </w:rPr>
        <w:t>2015.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[30]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J.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Debler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"Foreign Initial Coin Offering Issuers Beware: The Securities and Exchange Commission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Watching,"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Cornell International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Law Journal, vol. 51, no. 1, pp. 245-272,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lastRenderedPageBreak/>
        <w:t>[31]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R.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Herian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"Regulating Disruption: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GDPR, and Questions of Data Sovereignty," Journal of Internet Law, vol. 22, no. 2, p. 1, 2018. Journal of Internet Law</w:t>
      </w:r>
    </w:p>
    <w:p w:rsidR="00953EE2" w:rsidRPr="0000637E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[32]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C. Millard, "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law: Inc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ompatible codes</w:t>
      </w:r>
      <w:proofErr w:type="gramStart"/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?,</w:t>
      </w:r>
      <w:proofErr w:type="gramEnd"/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" Computer Law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&amp; Security Review, vol. 34, no. 4, pp. 843-846, 2018/08/01/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[33]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 Ramsay, "The General Data Protection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Regulation vs. The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: A legal study on the compatibility between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technology and the GDPR," Thesis, 2018.</w:t>
      </w:r>
    </w:p>
    <w:p w:rsidR="00953EE2" w:rsidRPr="0000637E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[34]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M.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Finck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Data Protect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ion in the European Union," Max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Planck Institute for Innovation &amp; Compe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tition, vol. Research Paper No.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18-01, no. Available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at SSRN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  <w:u w:val="single" w:color="0000FF"/>
        </w:rPr>
        <w:t>https://ssrn.com/abstract=3080322</w:t>
      </w:r>
      <w:r w:rsidR="0000637E">
        <w:rPr>
          <w:rFonts w:ascii="Times New Roman" w:eastAsia="Arial" w:hAnsi="Times New Roman" w:cs="Times New Roman"/>
          <w:color w:val="0000FF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color w:val="000000"/>
          <w:kern w:val="16"/>
          <w:sz w:val="24"/>
          <w:szCs w:val="24"/>
        </w:rPr>
        <w:t xml:space="preserve">or </w:t>
      </w:r>
      <w:hyperlink r:id="rId12">
        <w:r w:rsidR="00953EE2" w:rsidRPr="0000637E">
          <w:rPr>
            <w:rFonts w:ascii="Times New Roman" w:eastAsia="Arial" w:hAnsi="Times New Roman" w:cs="Times New Roman"/>
            <w:color w:val="0000FF"/>
            <w:kern w:val="16"/>
            <w:sz w:val="24"/>
            <w:szCs w:val="24"/>
            <w:u w:val="single" w:color="0000FF"/>
          </w:rPr>
          <w:t>http://dx.doi.org/10.2139/ssrn.3080322</w:t>
        </w:r>
        <w:r w:rsidR="00953EE2" w:rsidRPr="0000637E">
          <w:rPr>
            <w:rFonts w:ascii="Times New Roman" w:eastAsia="Arial" w:hAnsi="Times New Roman" w:cs="Times New Roman"/>
            <w:color w:val="000000"/>
            <w:kern w:val="16"/>
            <w:sz w:val="24"/>
            <w:szCs w:val="24"/>
          </w:rPr>
          <w:t xml:space="preserve">, </w:t>
        </w:r>
      </w:hyperlink>
      <w:r w:rsidR="00953EE2" w:rsidRPr="0000637E">
        <w:rPr>
          <w:rFonts w:ascii="Times New Roman" w:eastAsia="Arial" w:hAnsi="Times New Roman" w:cs="Times New Roman"/>
          <w:color w:val="000000"/>
          <w:kern w:val="16"/>
          <w:sz w:val="24"/>
          <w:szCs w:val="24"/>
        </w:rPr>
        <w:t>2017.</w:t>
      </w:r>
    </w:p>
    <w:p w:rsidR="00953EE2" w:rsidRPr="0000637E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[35]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R.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Matzutt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et al., "A Quantitative Anal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ysis of the Impact of Arbitrary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Content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Bitcoin,"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Proceedings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of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the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22</w:t>
      </w:r>
      <w:r w:rsidR="00E1554C" w:rsidRPr="00E1554C">
        <w:rPr>
          <w:rFonts w:ascii="Times New Roman" w:eastAsia="Arial" w:hAnsi="Times New Roman" w:cs="Times New Roman"/>
          <w:kern w:val="16"/>
          <w:sz w:val="24"/>
          <w:szCs w:val="24"/>
          <w:vertAlign w:val="superscript"/>
        </w:rPr>
        <w:t>nd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International Conference on Financial Cryptography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Data Security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(FC). Springer,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[36]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A.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Sward,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I.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Vecna</w:t>
      </w:r>
      <w:proofErr w:type="spellEnd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, and F. </w:t>
      </w:r>
      <w:proofErr w:type="spellStart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Stonedahl</w:t>
      </w:r>
      <w:proofErr w:type="spellEnd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"Data Insertion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in Bitcoin's </w:t>
      </w:r>
      <w:proofErr w:type="spellStart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," 2018, </w:t>
      </w:r>
      <w:proofErr w:type="spellStart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; Data Publication; Script; Transaction Malleability;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OP_RETURN; </w:t>
      </w:r>
      <w:proofErr w:type="spellStart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Coinbase</w:t>
      </w:r>
      <w:proofErr w:type="spellEnd"/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; Free Speech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vol.</w:t>
      </w:r>
      <w:r w:rsidR="0000637E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E1554C" w:rsidRPr="005C0716">
        <w:rPr>
          <w:rFonts w:ascii="Times New Roman" w:eastAsia="Arial" w:hAnsi="Times New Roman" w:cs="Times New Roman"/>
          <w:kern w:val="16"/>
          <w:sz w:val="24"/>
          <w:szCs w:val="24"/>
        </w:rPr>
        <w:t>3, 2018-04-03</w:t>
      </w:r>
      <w:r w:rsidR="005C0716" w:rsidRPr="005C0716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E1554C" w:rsidRP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5C0716">
        <w:rPr>
          <w:rFonts w:ascii="Times New Roman" w:eastAsia="Arial" w:hAnsi="Times New Roman" w:cs="Times New Roman"/>
          <w:kern w:val="16"/>
          <w:sz w:val="24"/>
          <w:szCs w:val="24"/>
        </w:rPr>
        <w:t>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[37]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PAGALLO, E. BASSI, M. CREPALDI, and M. DURANTE, "Chronicle of a Clash Foretold: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and the GDPR's Right to Erasure," in Legal Knowledge and Information Systems: JURIX 2018: The Thirty-first Annual Conference, 2018, vol. 313, p. 81: IOS Press.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[38]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G.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Ateniese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B.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Magri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D.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Venturi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and E. Andrade,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Redactable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–or–rewriting history in bitcoin and friends," in Security and Privacy (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EuroS&amp;P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),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2017 IEEE Europe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an Symposium on, 2017, pp. 111-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126: IEEE.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[39]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K.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Rajasekhar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H.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Yalavarthy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S.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Mullapudi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M.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Gowtham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Redactable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blockchain</w:t>
      </w:r>
      <w:proofErr w:type="spell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proofErr w:type="spellStart"/>
      <w:proofErr w:type="gram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it’s</w:t>
      </w:r>
      <w:proofErr w:type="spellEnd"/>
      <w:proofErr w:type="gramEnd"/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implementation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bitcoin," International Journal of Engineering &amp; T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echnology, vol. 7, no. 1.1, pp.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401-405, 2018.</w:t>
      </w:r>
    </w:p>
    <w:p w:rsidR="00953EE2" w:rsidRPr="0000637E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[40]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</w:t>
      </w:r>
      <w:proofErr w:type="spellStart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The laws of robots: crimes, 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contracts, and torts. Springer,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2013.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[41]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"The legal challenges of big data: putting secondary rules first in the field of EU data protection," Eur.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 Data Prot. L. Rev., vol. 3, p.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36, 2017.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[42]</w:t>
      </w:r>
      <w:r w:rsidR="005C0716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, "Even Angels Need the Rules: AI,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Roboethics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and the Law," in ECAI, 2016, vol. 258, pp. 209-215.</w:t>
      </w:r>
    </w:p>
    <w:p w:rsidR="00953EE2" w:rsidRPr="0000637E" w:rsidRDefault="005C0716" w:rsidP="00E1554C">
      <w:pPr>
        <w:widowControl/>
        <w:tabs>
          <w:tab w:val="left" w:pos="640"/>
        </w:tabs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>
        <w:rPr>
          <w:rFonts w:ascii="Times New Roman" w:eastAsia="Arial" w:hAnsi="Times New Roman" w:cs="Times New Roman"/>
          <w:kern w:val="16"/>
          <w:sz w:val="24"/>
          <w:szCs w:val="24"/>
        </w:rPr>
        <w:t xml:space="preserve">[43]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R. E. Barnett, "Constitutional legitimacy," Co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 xml:space="preserve">lum. L. Rev., vol. 103, p. 111, </w:t>
      </w:r>
      <w:r w:rsidR="00953EE2" w:rsidRPr="0000637E">
        <w:rPr>
          <w:rFonts w:ascii="Times New Roman" w:eastAsia="Arial" w:hAnsi="Times New Roman" w:cs="Times New Roman"/>
          <w:kern w:val="16"/>
          <w:sz w:val="24"/>
          <w:szCs w:val="24"/>
        </w:rPr>
        <w:t>2003.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[44]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L.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Floridi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"Soft Ethics and the Governance of the Digital," Philosophy &amp; Technology, vol. 31, no. 1, pp. 1-8, 2018.</w:t>
      </w:r>
    </w:p>
    <w:p w:rsidR="00953EE2" w:rsidRPr="0000637E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[45]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U.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Pagallo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"Let them be peers: the future of p2p systems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and their impact on contemporary legal networks," Eur.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="00E1554C">
        <w:rPr>
          <w:rFonts w:ascii="Times New Roman" w:eastAsia="Arial" w:hAnsi="Times New Roman" w:cs="Times New Roman"/>
          <w:kern w:val="16"/>
          <w:sz w:val="24"/>
          <w:szCs w:val="24"/>
        </w:rPr>
        <w:t>J. Legal Stud., vol. 2, p.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234, 2008.</w:t>
      </w:r>
    </w:p>
    <w:p w:rsidR="00953EE2" w:rsidRPr="005C0716" w:rsidRDefault="00953EE2" w:rsidP="0000637E">
      <w:pPr>
        <w:widowControl/>
        <w:suppressAutoHyphens/>
        <w:spacing w:after="0" w:line="240" w:lineRule="auto"/>
        <w:contextualSpacing/>
        <w:mirrorIndents/>
        <w:jc w:val="both"/>
        <w:rPr>
          <w:rFonts w:ascii="Times New Roman" w:eastAsia="Arial" w:hAnsi="Times New Roman" w:cs="Times New Roman"/>
          <w:kern w:val="16"/>
          <w:sz w:val="24"/>
          <w:szCs w:val="24"/>
        </w:rPr>
      </w:pP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[46]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L. 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Floridi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, "</w:t>
      </w:r>
      <w:proofErr w:type="spellStart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Infraethics</w:t>
      </w:r>
      <w:proofErr w:type="spellEnd"/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–on the Conditions of Possibility of Morality," Philosophy &amp; Technology, journal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article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vol.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30, no.</w:t>
      </w:r>
      <w:r w:rsidR="0000637E">
        <w:rPr>
          <w:rFonts w:ascii="Times New Roman" w:eastAsia="Arial" w:hAnsi="Times New Roman" w:cs="Times New Roman"/>
          <w:kern w:val="16"/>
          <w:sz w:val="24"/>
          <w:szCs w:val="24"/>
        </w:rPr>
        <w:t xml:space="preserve"> </w:t>
      </w:r>
      <w:r w:rsidRPr="0000637E">
        <w:rPr>
          <w:rFonts w:ascii="Times New Roman" w:eastAsia="Arial" w:hAnsi="Times New Roman" w:cs="Times New Roman"/>
          <w:kern w:val="16"/>
          <w:sz w:val="24"/>
          <w:szCs w:val="24"/>
        </w:rPr>
        <w:t>4, pp. 391-394, December 01 2017.</w:t>
      </w:r>
    </w:p>
    <w:sectPr w:rsidR="00953EE2" w:rsidRPr="005C071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309D" w:rsidRDefault="0030309D" w:rsidP="00867DD5">
      <w:pPr>
        <w:spacing w:after="0" w:line="240" w:lineRule="auto"/>
      </w:pPr>
      <w:r>
        <w:separator/>
      </w:r>
    </w:p>
  </w:endnote>
  <w:endnote w:type="continuationSeparator" w:id="0">
    <w:p w:rsidR="0030309D" w:rsidRDefault="0030309D" w:rsidP="00867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309D" w:rsidRDefault="0030309D" w:rsidP="00867DD5">
      <w:pPr>
        <w:spacing w:after="0" w:line="240" w:lineRule="auto"/>
      </w:pPr>
      <w:r>
        <w:separator/>
      </w:r>
    </w:p>
  </w:footnote>
  <w:footnote w:type="continuationSeparator" w:id="0">
    <w:p w:rsidR="0030309D" w:rsidRDefault="0030309D" w:rsidP="00867DD5">
      <w:pPr>
        <w:spacing w:after="0" w:line="240" w:lineRule="auto"/>
      </w:pPr>
      <w:r>
        <w:continuationSeparator/>
      </w:r>
    </w:p>
  </w:footnote>
  <w:footnote w:id="1">
    <w:p w:rsidR="00867DD5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</w:rPr>
        <w:footnoteRef/>
      </w:r>
      <w:r w:rsidRPr="00956D87">
        <w:rPr>
          <w:rFonts w:ascii="Times New Roman" w:hAnsi="Times New Roman" w:cs="Times New Roman"/>
          <w:kern w:val="16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</w:rPr>
        <w:t xml:space="preserve">That is an arbitrary number that </w:t>
      </w:r>
      <w:proofErr w:type="gramStart"/>
      <w:r w:rsidR="00956D87" w:rsidRPr="00956D87">
        <w:rPr>
          <w:rFonts w:ascii="Times New Roman" w:eastAsia="Arial" w:hAnsi="Times New Roman" w:cs="Times New Roman"/>
          <w:kern w:val="16"/>
        </w:rPr>
        <w:t>can be used</w:t>
      </w:r>
      <w:proofErr w:type="gramEnd"/>
      <w:r w:rsidR="00956D87" w:rsidRPr="00956D87">
        <w:rPr>
          <w:rFonts w:ascii="Times New Roman" w:eastAsia="Arial" w:hAnsi="Times New Roman" w:cs="Times New Roman"/>
          <w:kern w:val="16"/>
        </w:rPr>
        <w:t xml:space="preserve"> just once in a cryptographic function.</w:t>
      </w:r>
    </w:p>
  </w:footnote>
  <w:footnote w:id="2">
    <w:p w:rsidR="00867DD5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hAnsi="Times New Roman" w:cs="Times New Roman"/>
          <w:kern w:val="16"/>
          <w:sz w:val="20"/>
          <w:szCs w:val="20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The measure of the probability of calculating a hash below a given target</w:t>
      </w:r>
      <w:r w:rsidR="00956D87">
        <w:rPr>
          <w:rFonts w:ascii="Times New Roman" w:eastAsia="Arial" w:hAnsi="Times New Roman" w:cs="Times New Roman"/>
          <w:kern w:val="16"/>
          <w:sz w:val="20"/>
          <w:szCs w:val="20"/>
        </w:rPr>
        <w:t>.</w:t>
      </w:r>
      <w:r w:rsidR="00956D87" w:rsidRPr="00956D87">
        <w:rPr>
          <w:rFonts w:ascii="Times New Roman" w:hAnsi="Times New Roman" w:cs="Times New Roman"/>
          <w:kern w:val="16"/>
          <w:lang w:val="it-IT"/>
        </w:rPr>
        <w:t xml:space="preserve"> </w:t>
      </w:r>
    </w:p>
  </w:footnote>
  <w:footnote w:id="3">
    <w:p w:rsidR="00956D87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</w:rPr>
      </w:pPr>
      <w:r w:rsidRPr="00956D87">
        <w:rPr>
          <w:rStyle w:val="Rimandonotaapidipagina"/>
          <w:rFonts w:ascii="Times New Roman" w:hAnsi="Times New Roman" w:cs="Times New Roman"/>
          <w:kern w:val="16"/>
        </w:rPr>
        <w:footnoteRef/>
      </w:r>
      <w:r w:rsidRPr="00956D87">
        <w:rPr>
          <w:rFonts w:ascii="Times New Roman" w:hAnsi="Times New Roman" w:cs="Times New Roman"/>
          <w:kern w:val="16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</w:rPr>
        <w:t xml:space="preserve">Definition adapted from </w:t>
      </w:r>
      <w:r w:rsidR="00956D87" w:rsidRPr="00956D87">
        <w:rPr>
          <w:rFonts w:ascii="Times New Roman" w:eastAsia="Arial" w:hAnsi="Times New Roman" w:cs="Times New Roman"/>
          <w:color w:val="0000FF"/>
          <w:kern w:val="16"/>
          <w:u w:val="single" w:color="0000FF"/>
        </w:rPr>
        <w:t>https:</w:t>
      </w:r>
      <w:hyperlink r:id="rId1" w:history="1">
        <w:r w:rsidR="00956D87" w:rsidRPr="00956D87">
          <w:rPr>
            <w:color w:val="0000FF"/>
            <w:u w:val="single" w:color="0000FF"/>
          </w:rPr>
          <w:t>//w</w:t>
        </w:r>
      </w:hyperlink>
      <w:r w:rsidR="00956D87" w:rsidRPr="00956D87">
        <w:rPr>
          <w:rFonts w:ascii="Times New Roman" w:eastAsia="Arial" w:hAnsi="Times New Roman" w:cs="Times New Roman"/>
          <w:color w:val="0000FF"/>
          <w:kern w:val="16"/>
          <w:u w:val="single" w:color="0000FF"/>
        </w:rPr>
        <w:t>ww</w:t>
      </w:r>
      <w:hyperlink r:id="rId2" w:history="1">
        <w:r w:rsidR="00956D87" w:rsidRPr="00956D87">
          <w:rPr>
            <w:color w:val="0000FF"/>
            <w:u w:val="single" w:color="0000FF"/>
          </w:rPr>
          <w:t>.zeroknowledge.fm/52?t=225</w:t>
        </w:r>
      </w:hyperlink>
    </w:p>
  </w:footnote>
  <w:footnote w:id="4">
    <w:p w:rsidR="00867DD5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WEB3 Summit Governance panel 2018, available here: </w:t>
      </w:r>
      <w:r w:rsidR="00956D87" w:rsidRPr="00956D87">
        <w:rPr>
          <w:rFonts w:ascii="Times New Roman" w:eastAsia="Arial" w:hAnsi="Times New Roman" w:cs="Times New Roman"/>
          <w:color w:val="0000FF"/>
          <w:kern w:val="16"/>
          <w:sz w:val="20"/>
          <w:szCs w:val="20"/>
          <w:u w:val="single" w:color="0000FF"/>
        </w:rPr>
        <w:t>https:</w:t>
      </w:r>
      <w:hyperlink r:id="rId3" w:history="1">
        <w:r w:rsidR="00956D87" w:rsidRPr="00956D87">
          <w:rPr>
            <w:rStyle w:val="Collegamentoipertestuale"/>
            <w:rFonts w:ascii="Times New Roman" w:eastAsia="Arial" w:hAnsi="Times New Roman" w:cs="Times New Roman"/>
            <w:color w:val="0000FF"/>
            <w:kern w:val="16"/>
            <w:sz w:val="20"/>
            <w:szCs w:val="20"/>
          </w:rPr>
          <w:t>//w</w:t>
        </w:r>
      </w:hyperlink>
      <w:r w:rsidR="00956D87" w:rsidRPr="00956D87">
        <w:rPr>
          <w:rFonts w:ascii="Times New Roman" w:eastAsia="Arial" w:hAnsi="Times New Roman" w:cs="Times New Roman"/>
          <w:color w:val="0000FF"/>
          <w:kern w:val="16"/>
          <w:sz w:val="20"/>
          <w:szCs w:val="20"/>
          <w:u w:val="single" w:color="0000FF"/>
        </w:rPr>
        <w:t>ww</w:t>
      </w:r>
      <w:hyperlink r:id="rId4" w:history="1">
        <w:r w:rsidR="00956D87" w:rsidRPr="00956D87">
          <w:rPr>
            <w:rStyle w:val="Collegamentoipertestuale"/>
            <w:rFonts w:ascii="Times New Roman" w:eastAsia="Arial" w:hAnsi="Times New Roman" w:cs="Times New Roman"/>
            <w:color w:val="0000FF"/>
            <w:kern w:val="16"/>
            <w:sz w:val="20"/>
            <w:szCs w:val="20"/>
          </w:rPr>
          <w:t>.youtube.com/watch?v=eO3fG_1YrE4</w:t>
        </w:r>
      </w:hyperlink>
    </w:p>
  </w:footnote>
  <w:footnote w:id="5">
    <w:p w:rsidR="00867DD5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</w:rPr>
        <w:footnoteRef/>
      </w:r>
      <w:r w:rsidRPr="00956D87">
        <w:rPr>
          <w:rFonts w:ascii="Times New Roman" w:hAnsi="Times New Roman" w:cs="Times New Roman"/>
          <w:kern w:val="16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</w:rPr>
        <w:t>Such as IRC channels, slack and telegram groups, social media etc.</w:t>
      </w:r>
    </w:p>
  </w:footnote>
  <w:footnote w:id="6">
    <w:p w:rsidR="00956D87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As for example, the case of user-activated soft forks (UASF) in Bitcoin.</w:t>
      </w:r>
    </w:p>
    <w:p w:rsidR="00867DD5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</w:p>
  </w:footnote>
  <w:footnote w:id="7">
    <w:p w:rsidR="00867DD5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</w:rPr>
        <w:footnoteRef/>
      </w:r>
      <w:r w:rsidRPr="00956D87">
        <w:rPr>
          <w:rFonts w:ascii="Times New Roman" w:hAnsi="Times New Roman" w:cs="Times New Roman"/>
          <w:kern w:val="16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</w:rPr>
        <w:t xml:space="preserve">This is consistent with a recent quantitative study that also find the same to be true for the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</w:rPr>
        <w:t>Ethereum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</w:rPr>
        <w:t xml:space="preserve"> and Bitcoin systems [22].</w:t>
      </w:r>
    </w:p>
  </w:footnote>
  <w:footnote w:id="8">
    <w:p w:rsidR="00867DD5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From a technical perspective the increase of the block size seem to be supported by</w:t>
      </w:r>
      <w:r w:rsid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empirical research on the topic [26] A. E.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Gencer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S.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Basu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I.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Eyal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R. van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Renesse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and E. G.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Sirer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"Decentralization in Bitcoin and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Ethereum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Netw</w:t>
      </w:r>
      <w:r w:rsidR="00956D87">
        <w:rPr>
          <w:rFonts w:ascii="Times New Roman" w:eastAsia="Arial" w:hAnsi="Times New Roman" w:cs="Times New Roman"/>
          <w:kern w:val="16"/>
          <w:sz w:val="20"/>
          <w:szCs w:val="20"/>
        </w:rPr>
        <w:t>orks,"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arXiv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preprint arXiv:1801.03998, 2018.</w:t>
      </w:r>
    </w:p>
  </w:footnote>
  <w:footnote w:id="9">
    <w:p w:rsidR="00867DD5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hAnsi="Times New Roman" w:cs="Times New Roman"/>
          <w:kern w:val="16"/>
          <w:sz w:val="20"/>
          <w:szCs w:val="20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A full list of Bitcoin hard forks can be found here:</w:t>
      </w:r>
      <w:r w:rsid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color w:val="0000FF"/>
          <w:kern w:val="16"/>
          <w:sz w:val="20"/>
          <w:szCs w:val="20"/>
          <w:u w:val="single" w:color="0000FF"/>
        </w:rPr>
        <w:t>https:</w:t>
      </w:r>
      <w:hyperlink r:id="rId5" w:history="1">
        <w:r w:rsidR="00956D87" w:rsidRPr="00956D87">
          <w:rPr>
            <w:rStyle w:val="Collegamentoipertestuale"/>
            <w:rFonts w:ascii="Times New Roman" w:eastAsia="Arial" w:hAnsi="Times New Roman" w:cs="Times New Roman"/>
            <w:color w:val="0000FF"/>
            <w:kern w:val="16"/>
            <w:sz w:val="20"/>
            <w:szCs w:val="20"/>
          </w:rPr>
          <w:t>//w</w:t>
        </w:r>
      </w:hyperlink>
      <w:r w:rsidR="00956D87" w:rsidRPr="00956D87">
        <w:rPr>
          <w:rFonts w:ascii="Times New Roman" w:eastAsia="Arial" w:hAnsi="Times New Roman" w:cs="Times New Roman"/>
          <w:color w:val="0000FF"/>
          <w:kern w:val="16"/>
          <w:sz w:val="20"/>
          <w:szCs w:val="20"/>
          <w:u w:val="single" w:color="0000FF"/>
        </w:rPr>
        <w:t>ww</w:t>
      </w:r>
      <w:hyperlink r:id="rId6" w:history="1">
        <w:r w:rsidR="00956D87" w:rsidRPr="00956D87">
          <w:rPr>
            <w:rStyle w:val="Collegamentoipertestuale"/>
            <w:rFonts w:ascii="Times New Roman" w:eastAsia="Arial" w:hAnsi="Times New Roman" w:cs="Times New Roman"/>
            <w:color w:val="0000FF"/>
            <w:kern w:val="16"/>
            <w:sz w:val="20"/>
            <w:szCs w:val="20"/>
          </w:rPr>
          <w:t>.forks.net/list/Bitcoin//1/2017-01-01/2020-01-01</w:t>
        </w:r>
      </w:hyperlink>
    </w:p>
  </w:footnote>
  <w:footnote w:id="10">
    <w:p w:rsidR="00956D87" w:rsidRPr="00956D87" w:rsidRDefault="00867DD5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Decentralized Autonomous Organization</w:t>
      </w:r>
    </w:p>
    <w:p w:rsidR="00867DD5" w:rsidRPr="00956D87" w:rsidRDefault="00867DD5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</w:p>
  </w:footnote>
  <w:footnote w:id="11">
    <w:p w:rsidR="005C0716" w:rsidRPr="00956D87" w:rsidRDefault="005C0716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  <w:r w:rsidRPr="00956D87">
        <w:rPr>
          <w:rStyle w:val="Rimandonotaapidipagina"/>
          <w:rFonts w:ascii="Times New Roman" w:hAnsi="Times New Roman" w:cs="Times New Roman"/>
          <w:kern w:val="16"/>
        </w:rPr>
        <w:footnoteRef/>
      </w:r>
      <w:r w:rsidRPr="00956D87">
        <w:rPr>
          <w:rFonts w:ascii="Times New Roman" w:hAnsi="Times New Roman" w:cs="Times New Roman"/>
          <w:kern w:val="16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</w:rPr>
        <w:t xml:space="preserve">It is unclear how this technical workaround could operate with consideration to arbitrary data stored in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</w:rPr>
        <w:t>blockchains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</w:rPr>
        <w:t xml:space="preserve">  such as Bitcoin and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</w:rPr>
        <w:t>Ethereum</w:t>
      </w:r>
      <w:proofErr w:type="spellEnd"/>
    </w:p>
  </w:footnote>
  <w:footnote w:id="12">
    <w:p w:rsidR="00956D87" w:rsidRPr="00956D87" w:rsidRDefault="005C0716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Style w:val="Rimandonotaapidipagina"/>
          <w:rFonts w:ascii="Times New Roman" w:hAnsi="Times New Roman" w:cs="Times New Roman"/>
          <w:kern w:val="16"/>
          <w:sz w:val="20"/>
          <w:szCs w:val="20"/>
        </w:rPr>
        <w:footnoteRef/>
      </w:r>
      <w:r w:rsidRPr="00956D87">
        <w:rPr>
          <w:rFonts w:ascii="Times New Roman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As suggested by some research on the issue [38]</w:t>
      </w:r>
      <w:r w:rsid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G.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Ateniese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B.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Magri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D.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Venturi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, and E. Andrade, "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Redactable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proofErr w:type="spellStart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blockchain</w:t>
      </w:r>
      <w:proofErr w:type="spellEnd"/>
      <w:r w:rsidR="00956D87" w:rsidRPr="00956D87">
        <w:rPr>
          <w:rFonts w:ascii="Times New Roman" w:eastAsia="Arial" w:hAnsi="Times New Roman" w:cs="Times New Roman"/>
          <w:kern w:val="16"/>
          <w:sz w:val="20"/>
          <w:szCs w:val="20"/>
        </w:rPr>
        <w:t>–or–rewriting history in bitcoin</w:t>
      </w:r>
    </w:p>
    <w:p w:rsidR="00956D87" w:rsidRPr="00956D87" w:rsidRDefault="00956D87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and friends," in Security and Privacy (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EuroS&amp;P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), 2017 IEEE European Symposium on, 2017, pp. 111-126: IEEE, [39]</w:t>
      </w:r>
      <w:r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K. </w:t>
      </w:r>
      <w:proofErr w:type="spellStart"/>
      <w:r>
        <w:rPr>
          <w:rFonts w:ascii="Times New Roman" w:eastAsia="Arial" w:hAnsi="Times New Roman" w:cs="Times New Roman"/>
          <w:kern w:val="16"/>
          <w:sz w:val="20"/>
          <w:szCs w:val="20"/>
        </w:rPr>
        <w:t>Rajasekhar</w:t>
      </w:r>
      <w:proofErr w:type="spellEnd"/>
      <w:r>
        <w:rPr>
          <w:rFonts w:ascii="Times New Roman" w:eastAsia="Arial" w:hAnsi="Times New Roman" w:cs="Times New Roman"/>
          <w:kern w:val="16"/>
          <w:sz w:val="20"/>
          <w:szCs w:val="20"/>
        </w:rPr>
        <w:t>,</w:t>
      </w:r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S. H. 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Yalavarthy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S. 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Mullapudi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, and M. 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Gowtham</w:t>
      </w:r>
      <w:proofErr w:type="spellEnd"/>
      <w:r>
        <w:rPr>
          <w:rFonts w:ascii="Times New Roman" w:eastAsia="Arial" w:hAnsi="Times New Roman" w:cs="Times New Roman"/>
          <w:kern w:val="16"/>
          <w:sz w:val="20"/>
          <w:szCs w:val="20"/>
        </w:rPr>
        <w:t>,</w:t>
      </w:r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"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Redactable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blockchain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and </w:t>
      </w:r>
      <w:proofErr w:type="spellStart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>it’s</w:t>
      </w:r>
      <w:proofErr w:type="spellEnd"/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implementation </w:t>
      </w:r>
      <w:r>
        <w:rPr>
          <w:rFonts w:ascii="Times New Roman" w:eastAsia="Arial" w:hAnsi="Times New Roman" w:cs="Times New Roman"/>
          <w:kern w:val="16"/>
          <w:sz w:val="20"/>
          <w:szCs w:val="20"/>
        </w:rPr>
        <w:t>in</w:t>
      </w:r>
      <w:r w:rsidRPr="00956D87">
        <w:rPr>
          <w:rFonts w:ascii="Times New Roman" w:eastAsia="Arial" w:hAnsi="Times New Roman" w:cs="Times New Roman"/>
          <w:kern w:val="16"/>
          <w:sz w:val="20"/>
          <w:szCs w:val="20"/>
        </w:rPr>
        <w:t xml:space="preserve"> bitcoin," International Journal of Engineering &amp; Technology, vol. 7, no. 1.1, pp. 401-405, 2018.</w:t>
      </w:r>
    </w:p>
    <w:p w:rsidR="00956D87" w:rsidRPr="00956D87" w:rsidRDefault="00956D87" w:rsidP="00956D87">
      <w:pPr>
        <w:widowControl/>
        <w:suppressAutoHyphens/>
        <w:spacing w:after="0" w:line="240" w:lineRule="auto"/>
        <w:jc w:val="both"/>
        <w:rPr>
          <w:rFonts w:ascii="Times New Roman" w:eastAsia="Arial" w:hAnsi="Times New Roman" w:cs="Times New Roman"/>
          <w:kern w:val="16"/>
          <w:sz w:val="20"/>
          <w:szCs w:val="20"/>
        </w:rPr>
      </w:pPr>
    </w:p>
    <w:p w:rsidR="005C0716" w:rsidRPr="00956D87" w:rsidRDefault="005C0716" w:rsidP="00956D87">
      <w:pPr>
        <w:pStyle w:val="Testonotaapidipagina"/>
        <w:widowControl/>
        <w:suppressAutoHyphens/>
        <w:jc w:val="both"/>
        <w:rPr>
          <w:rFonts w:ascii="Times New Roman" w:hAnsi="Times New Roman" w:cs="Times New Roman"/>
          <w:kern w:val="16"/>
          <w:lang w:val="it-IT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FE7"/>
    <w:rsid w:val="0000637E"/>
    <w:rsid w:val="00014FE7"/>
    <w:rsid w:val="00151ECB"/>
    <w:rsid w:val="0030309D"/>
    <w:rsid w:val="00341983"/>
    <w:rsid w:val="005875FE"/>
    <w:rsid w:val="005C0716"/>
    <w:rsid w:val="00867DD5"/>
    <w:rsid w:val="00953EE2"/>
    <w:rsid w:val="00956D87"/>
    <w:rsid w:val="00BD72FC"/>
    <w:rsid w:val="00DE682C"/>
    <w:rsid w:val="00E1554C"/>
    <w:rsid w:val="00F35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8E2DEF-AE6E-4E4D-9BFB-6160F8BC3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53EE2"/>
    <w:pPr>
      <w:widowControl w:val="0"/>
      <w:spacing w:after="200" w:line="276" w:lineRule="auto"/>
    </w:pPr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0637E"/>
    <w:rPr>
      <w:color w:val="0563C1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67DD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67DD5"/>
    <w:rPr>
      <w:sz w:val="20"/>
      <w:szCs w:val="20"/>
      <w:lang w:val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67DD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68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2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co.crepaldi@protonmail.com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acm.org/publications/openaccess" TargetMode="External"/><Relationship Id="rId12" Type="http://schemas.openxmlformats.org/officeDocument/2006/relationships/hyperlink" Target="http://dx.doi.org/10.2139/ssrn.308032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45/3322640.3328780" TargetMode="External"/><Relationship Id="rId11" Type="http://schemas.openxmlformats.org/officeDocument/2006/relationships/hyperlink" Target="http://kingsreview.co.UK/magazine/blog/2015/06/23/ledgers-and-law-in-the-blockchain" TargetMode="External"/><Relationship Id="rId5" Type="http://schemas.openxmlformats.org/officeDocument/2006/relationships/endnotes" Target="endnotes.xml"/><Relationship Id="rId10" Type="http://schemas.openxmlformats.org/officeDocument/2006/relationships/hyperlink" Target="http://dx.doi.org/10.2139/ssrn.2998830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youtube.com/watch?v=eO3fG_1YrE4" TargetMode="External"/><Relationship Id="rId2" Type="http://schemas.openxmlformats.org/officeDocument/2006/relationships/hyperlink" Target="http://www.zeroknowledge.fm/52?t=225" TargetMode="External"/><Relationship Id="rId1" Type="http://schemas.openxmlformats.org/officeDocument/2006/relationships/hyperlink" Target="http://www.zeroknowledge.fm/52?t=225" TargetMode="External"/><Relationship Id="rId6" Type="http://schemas.openxmlformats.org/officeDocument/2006/relationships/hyperlink" Target="http://www.forks.net/list/Bitcoin/1/2017-01-01/2020-01-01" TargetMode="External"/><Relationship Id="rId5" Type="http://schemas.openxmlformats.org/officeDocument/2006/relationships/hyperlink" Target="http://www.forks.net/list/Bitcoin/1/2017-01-01/2020-01-01" TargetMode="External"/><Relationship Id="rId4" Type="http://schemas.openxmlformats.org/officeDocument/2006/relationships/hyperlink" Target="http://www.youtube.com/watch?v=eO3fG_1YrE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10</Pages>
  <Words>4210</Words>
  <Characters>23998</Characters>
  <Application>Microsoft Office Word</Application>
  <DocSecurity>0</DocSecurity>
  <Lines>199</Lines>
  <Paragraphs>56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di Bologna</Company>
  <LinksUpToDate>false</LinksUpToDate>
  <CharactersWithSpaces>28152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Ruggerini</dc:creator>
  <cp:keywords/>
  <dc:description/>
  <cp:lastModifiedBy>Davide Ruggerini</cp:lastModifiedBy>
  <cp:revision>7</cp:revision>
  <dcterms:created xsi:type="dcterms:W3CDTF">2021-02-16T11:46:00Z</dcterms:created>
  <dcterms:modified xsi:type="dcterms:W3CDTF">2021-02-16T13:44:00Z</dcterms:modified>
</cp:coreProperties>
</file>