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68" w:rsidRPr="00FB3319" w:rsidRDefault="009B4668" w:rsidP="009B4668">
      <w:pPr>
        <w:rPr>
          <w:rFonts w:ascii="Arial" w:hAnsi="Arial" w:cstheme="majorHAnsi"/>
          <w:b/>
        </w:rPr>
      </w:pPr>
      <w:r w:rsidRPr="00FB3319">
        <w:rPr>
          <w:rFonts w:ascii="Arial" w:hAnsi="Arial" w:cstheme="majorHAnsi"/>
          <w:b/>
        </w:rPr>
        <w:t>Supplementary Tabl</w:t>
      </w:r>
      <w:bookmarkStart w:id="0" w:name="_GoBack"/>
      <w:r w:rsidRPr="00FB3319">
        <w:rPr>
          <w:rFonts w:ascii="Arial" w:hAnsi="Arial" w:cstheme="majorHAnsi"/>
          <w:b/>
        </w:rPr>
        <w:t>e</w:t>
      </w:r>
      <w:bookmarkEnd w:id="0"/>
      <w:r w:rsidRPr="00FB3319">
        <w:rPr>
          <w:rFonts w:ascii="Arial" w:hAnsi="Arial" w:cstheme="majorHAnsi"/>
          <w:b/>
        </w:rPr>
        <w:t xml:space="preserve"> 3: </w:t>
      </w:r>
      <w:r w:rsidR="00FB3319" w:rsidRPr="00FB3319">
        <w:rPr>
          <w:rFonts w:ascii="Arial" w:hAnsi="Arial" w:cstheme="majorHAnsi"/>
          <w:b/>
        </w:rPr>
        <w:t xml:space="preserve"> </w:t>
      </w:r>
      <w:r w:rsidRPr="00FB3319">
        <w:rPr>
          <w:rFonts w:ascii="Arial" w:hAnsi="Arial" w:cstheme="majorHAnsi"/>
          <w:b/>
          <w:color w:val="000000"/>
        </w:rPr>
        <w:t xml:space="preserve">Top 100 genes on component 1 axis of principal component analysis.  </w:t>
      </w:r>
    </w:p>
    <w:p w:rsidR="009B4668" w:rsidRPr="00FB3319" w:rsidRDefault="009B4668" w:rsidP="009B4668">
      <w:pPr>
        <w:rPr>
          <w:rFonts w:ascii="Arial" w:hAnsi="Arial"/>
          <w:color w:val="000000"/>
          <w:szCs w:val="26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7"/>
        <w:gridCol w:w="5228"/>
        <w:gridCol w:w="1622"/>
        <w:gridCol w:w="1793"/>
      </w:tblGrid>
      <w:tr w:rsidR="009B4668" w:rsidRPr="00FB3319" w:rsidTr="00870868">
        <w:trPr>
          <w:trHeight w:val="360"/>
        </w:trPr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Component 1 (17.68%)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RAB39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RAB39A, Member RAS Oncogene Family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ENSG00000179331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0.016616153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IGSF3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ENSG00000143061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0.016561998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ARAP2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>ArfGAP</w:t>
            </w:r>
            <w:proofErr w:type="spellEnd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>RhoGAP</w:t>
            </w:r>
            <w:proofErr w:type="spellEnd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 xml:space="preserve"> Domain, </w:t>
            </w:r>
            <w:proofErr w:type="spellStart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>Ankyrin</w:t>
            </w:r>
            <w:proofErr w:type="spellEnd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 xml:space="preserve"> Repeat And PH Domain 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ENSG00000047365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0.016419124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CPVL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 xml:space="preserve">Carboxypeptidase, </w:t>
            </w:r>
            <w:proofErr w:type="spellStart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Vitellogenic</w:t>
            </w:r>
            <w:proofErr w:type="spellEnd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 xml:space="preserve"> Like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ENSG00000106066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0.016415408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NUP210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Nucleoporin</w:t>
            </w:r>
            <w:proofErr w:type="spellEnd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 xml:space="preserve"> 210kDa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ENSG00000132182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0.016395373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PPARGC1B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ENSG00000155846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0.016291684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KCNG3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Potassium Voltage-Gated Channel Modifier Subfamily G Member 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ENSG00000171126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0.016226687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LHX2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 xml:space="preserve">LIM </w:t>
            </w:r>
            <w:proofErr w:type="spellStart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Homeobox</w:t>
            </w:r>
            <w:proofErr w:type="spellEnd"/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ENSG00000106689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0.01619214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GNRHR2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ENSG00000211451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0.016170906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COCH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ENSG00000100473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0.016164437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KLHL23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ENSG00000213160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0.016089475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TBX20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ENSG00000164532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0.016079923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PM20D2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ENSG00000146281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0.016040817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CDCA4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ENSG00000170779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0.016027521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SLITRK5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SLIT And NTRK Like Family Member 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ENSG00000165300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0.01600506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HHEX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ENSG00000152804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0.01596346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FANCE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ENSG00000112039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0.01591581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RBM8A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ENSG00000131795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0.015864054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ZYG11A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ENSG00000203995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0.015837664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MSI1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ENSG00000135097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0.015833167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ZIC5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ENSG00000139800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0.015814804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ENSG00000143420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0.015797047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MCOLN3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ENSG00000055732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0.015795384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SEMA4D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ENSG00000187764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0.015776688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MARS2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ENSG00000152428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0.015757736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GALNT14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ENSG00000158089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0.015756221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HOXD13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ENSG00000128714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0.015708175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FXYD6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FXYD Domain Containing Ion Transport Regulator 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ENSG00000137726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0.015698582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FAF1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ENSG00000185104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0.015683189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CDC25A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ENSG00000164045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0.01567854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lastRenderedPageBreak/>
              <w:t>NDRG2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ENSG00000165795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0.015672687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FAM184A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ENSG00000111879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0.015658088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COIL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ENSG00000121058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0.015645424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NBPF6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>Neuroblastoma</w:t>
            </w:r>
            <w:proofErr w:type="spellEnd"/>
            <w:r w:rsidRPr="00FB3319">
              <w:rPr>
                <w:rFonts w:ascii="Arial" w:eastAsia="MS PGothic" w:hAnsi="Arial" w:cs="Arial"/>
                <w:i/>
                <w:iCs/>
                <w:color w:val="000000"/>
                <w:sz w:val="16"/>
                <w:szCs w:val="16"/>
              </w:rPr>
              <w:t xml:space="preserve"> Breakpoint Family Member 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ENSG00000186086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0.015635064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ORC1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ENSG00000085840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0.015619682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GPM6A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ENSG00000150625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0.015615854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PNN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ENSG00000100941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color w:val="000000"/>
                <w:sz w:val="16"/>
                <w:szCs w:val="16"/>
              </w:rPr>
              <w:t>0.015608638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PRAME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Preferentially Expressed Antigen In Melanoma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ENSG00000185686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/>
                <w:bCs/>
                <w:color w:val="000000"/>
                <w:sz w:val="16"/>
                <w:szCs w:val="16"/>
              </w:rPr>
              <w:t>0.015601972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MANEAL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ENSG00000185090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0.015600426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C6orf141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ENSG00000197261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0.015591807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GJA3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ENSG00000121743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0.015591593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CBX2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ENSG00000173894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0.015576485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PAK6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ENSG00000137843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0.015543478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EEF1A2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ENSG00000101210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0.015521194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LLGL2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ENSG00000073350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0.015505856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CEP72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ENSG00000112877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0.015494013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CXADR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ENSG00000154639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0.015492248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HERC5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ENSG00000138646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0.015484651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MGAT5B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ENSG00000167889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0.015478886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NEWGENE135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NEWGENE135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0.015444656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ONECUT2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ENSG00000119547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0.01542927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KIF26A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ENSG00000066735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0.015417323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C11orf9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ENSG00000124920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0.015410247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ENSG00000138083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0.01536409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CCDC3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ENSG00000151468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0.015358422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ENSG00000154118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0.015345322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C1QL1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ENSG00000131094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0.015329199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ZIC2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ENSG00000043355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0.015266475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CEP152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ENSG00000103995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0.015262838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GKAP1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ENSG00000165113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0.015259934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SSTR2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ENSG00000180616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0.015255518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HMX2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ENSG00000188816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0.015252992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VPS72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ENSG00000163159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0.015244472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MRPS18B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ENSG00000204568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0.015237851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lastRenderedPageBreak/>
              <w:t>FBXO41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ENSG00000163013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0.015234059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L2HGDH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ENSG00000087299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0.015218391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GTF3C5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ENSG00000148308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0.015214379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PCYT1B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ENSG00000102230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0.015204357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EYA4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ENSG00000112319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0.01518136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C1orf77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ENSG00000160679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0.015173888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HPGD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ENSG00000164120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0.015157587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CDT1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ENSG00000167513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0.015131047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AL358813.2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ENSG00000203815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0.015111677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CDCA7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ENSG00000144354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0.015111044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C5orf39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ENSG00000177721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0.015080584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RP11-528L24.3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ENSG00000234602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0.015066763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PARD6B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ENSG00000124171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0.015045202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USP39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ENSG00000168883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0.015042107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SF3B4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ENSG00000143368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0.015023954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RBM38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ENSG00000132819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0.015013925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RPS6KA1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ENSG00000117676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0.015010226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LYSMD2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ENSG00000140280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0.014985726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PRKAA2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ENSG00000162409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0.014973579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IQGAP2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ENSG00000145703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0.01495951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RBBP4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ENSG00000162521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0.014947648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ENSG00000125798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0.014931908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CHD1L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ENSG00000131778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0.014931288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AURKB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ENSG00000178999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0.014928699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ITPRIPL1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ENSG00000198885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0.014922271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DKC1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ENSG00000130826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0.01491385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MCM7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ENSG00000166508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0.014913033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RNF175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ENSG00000145428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0.014905566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CALML4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ENSG00000129007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0.014905313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C1orf135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ENSG00000127423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0.014860969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CCDC21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ENSG00000130695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0.014859658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NASP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ENSG00000132780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0.014852291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LASS2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ENSG00000143418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0.014844174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HS6ST2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ENSG00000171004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0.014840284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lastRenderedPageBreak/>
              <w:t>PTCD3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ENSG00000132300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0.014839647</w:t>
            </w:r>
          </w:p>
        </w:tc>
      </w:tr>
      <w:tr w:rsidR="009B4668" w:rsidRPr="00FB3319" w:rsidTr="00870868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ENSG00000116062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8" w:rsidRPr="00FB3319" w:rsidRDefault="009B4668" w:rsidP="00870868">
            <w:pPr>
              <w:jc w:val="right"/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</w:pPr>
            <w:r w:rsidRPr="00FB3319">
              <w:rPr>
                <w:rFonts w:ascii="Arial" w:eastAsia="MS PGothic" w:hAnsi="Arial" w:cs="Arial"/>
                <w:bCs/>
                <w:color w:val="000000"/>
                <w:sz w:val="16"/>
                <w:szCs w:val="16"/>
              </w:rPr>
              <w:t>0.014837861</w:t>
            </w:r>
          </w:p>
        </w:tc>
      </w:tr>
    </w:tbl>
    <w:p w:rsidR="009B4668" w:rsidRPr="00FB3319" w:rsidRDefault="009B4668" w:rsidP="009B4668">
      <w:pPr>
        <w:rPr>
          <w:rFonts w:ascii="Arial" w:hAnsi="Arial"/>
        </w:rPr>
      </w:pPr>
    </w:p>
    <w:p w:rsidR="009B4668" w:rsidRPr="00FB3319" w:rsidRDefault="009B4668" w:rsidP="009B4668">
      <w:pPr>
        <w:rPr>
          <w:rFonts w:ascii="Arial" w:hAnsi="Arial"/>
        </w:rPr>
      </w:pPr>
      <w:r w:rsidRPr="00FB3319">
        <w:rPr>
          <w:rFonts w:ascii="Arial" w:hAnsi="Arial"/>
        </w:rPr>
        <w:t xml:space="preserve">The component 1 axis of principal component analysis is expanded as the order of coefficient variables in the global transcriptome analysis. Using the whole database of global </w:t>
      </w:r>
      <w:proofErr w:type="spellStart"/>
      <w:r w:rsidRPr="00FB3319">
        <w:rPr>
          <w:rFonts w:ascii="Arial" w:hAnsi="Arial"/>
        </w:rPr>
        <w:t>transcriptomics</w:t>
      </w:r>
      <w:proofErr w:type="spellEnd"/>
      <w:r w:rsidRPr="00FB3319">
        <w:rPr>
          <w:rFonts w:ascii="Arial" w:hAnsi="Arial"/>
        </w:rPr>
        <w:t xml:space="preserve">, the principal component analysis was performed by </w:t>
      </w:r>
      <w:r w:rsidRPr="00FB3319">
        <w:rPr>
          <w:rFonts w:ascii="Arial" w:hAnsi="Arial"/>
          <w:color w:val="000000"/>
          <w:szCs w:val="26"/>
        </w:rPr>
        <w:t>Strand NGS software.</w:t>
      </w:r>
    </w:p>
    <w:p w:rsidR="00405877" w:rsidRPr="00FB3319" w:rsidRDefault="00405877">
      <w:pPr>
        <w:rPr>
          <w:rFonts w:ascii="Arial" w:hAnsi="Arial"/>
        </w:rPr>
      </w:pPr>
    </w:p>
    <w:sectPr w:rsidR="00405877" w:rsidRPr="00FB3319" w:rsidSect="00C11A25">
      <w:pgSz w:w="11900" w:h="16840"/>
      <w:pgMar w:top="1418" w:right="1134" w:bottom="1418" w:left="1134" w:header="851" w:footer="992" w:gutter="0"/>
      <w:cols w:space="425"/>
      <w:docGrid w:type="linesAndChars" w:linePitch="333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8"/>
    <w:rsid w:val="00405877"/>
    <w:rsid w:val="006846E9"/>
    <w:rsid w:val="009B4668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Journal_4</dc:creator>
  <cp:lastModifiedBy>Ilay</cp:lastModifiedBy>
  <cp:revision>2</cp:revision>
  <dcterms:created xsi:type="dcterms:W3CDTF">2018-01-16T07:47:00Z</dcterms:created>
  <dcterms:modified xsi:type="dcterms:W3CDTF">2018-01-18T04:42:00Z</dcterms:modified>
</cp:coreProperties>
</file>