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27" w:rsidRPr="003244C4" w:rsidRDefault="00BA0305" w:rsidP="00E1678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/>
        </w:rPr>
        <w:t>New insights on G</w:t>
      </w:r>
      <w:r w:rsidR="000A256E" w:rsidRPr="003244C4">
        <w:rPr>
          <w:rFonts w:ascii="Arial" w:hAnsi="Arial" w:cs="Arial"/>
          <w:b/>
          <w:sz w:val="24"/>
          <w:szCs w:val="24"/>
          <w:lang w:val="en-US"/>
        </w:rPr>
        <w:t xml:space="preserve">rapevine yellows </w:t>
      </w:r>
      <w:r w:rsidR="000A256E">
        <w:rPr>
          <w:rFonts w:ascii="Arial" w:hAnsi="Arial" w:cs="Arial"/>
          <w:b/>
          <w:sz w:val="24"/>
          <w:szCs w:val="24"/>
          <w:lang w:val="en-US"/>
        </w:rPr>
        <w:t>d</w:t>
      </w:r>
      <w:r w:rsidR="00370E27" w:rsidRPr="003244C4">
        <w:rPr>
          <w:rFonts w:ascii="Arial" w:hAnsi="Arial" w:cs="Arial"/>
          <w:b/>
          <w:sz w:val="24"/>
          <w:szCs w:val="24"/>
          <w:lang w:val="en-US"/>
        </w:rPr>
        <w:t>isease in North-Eastern Italy</w:t>
      </w:r>
    </w:p>
    <w:p w:rsidR="00370E27" w:rsidRDefault="00370E27" w:rsidP="00E1678F">
      <w:pPr>
        <w:jc w:val="center"/>
        <w:rPr>
          <w:rFonts w:ascii="Arial" w:hAnsi="Arial" w:cs="Arial"/>
          <w:sz w:val="20"/>
          <w:szCs w:val="20"/>
        </w:rPr>
      </w:pPr>
      <w:r w:rsidRPr="003244C4">
        <w:rPr>
          <w:rFonts w:ascii="Arial" w:hAnsi="Arial" w:cs="Arial"/>
          <w:sz w:val="20"/>
          <w:szCs w:val="20"/>
        </w:rPr>
        <w:t xml:space="preserve">Yuri Zambon, </w:t>
      </w:r>
      <w:r w:rsidR="009E2A1B" w:rsidRPr="003244C4">
        <w:rPr>
          <w:rFonts w:ascii="Arial" w:hAnsi="Arial" w:cs="Arial"/>
          <w:sz w:val="20"/>
          <w:szCs w:val="20"/>
        </w:rPr>
        <w:t xml:space="preserve">Diego Marchetti, </w:t>
      </w:r>
      <w:r w:rsidRPr="003244C4">
        <w:rPr>
          <w:rFonts w:ascii="Arial" w:hAnsi="Arial" w:cs="Arial"/>
          <w:sz w:val="20"/>
          <w:szCs w:val="20"/>
        </w:rPr>
        <w:t xml:space="preserve">Alessandro </w:t>
      </w:r>
      <w:proofErr w:type="spellStart"/>
      <w:r w:rsidRPr="003244C4">
        <w:rPr>
          <w:rFonts w:ascii="Arial" w:hAnsi="Arial" w:cs="Arial"/>
          <w:sz w:val="20"/>
          <w:szCs w:val="20"/>
        </w:rPr>
        <w:t>Canel</w:t>
      </w:r>
      <w:proofErr w:type="spellEnd"/>
      <w:r w:rsidRPr="003244C4">
        <w:rPr>
          <w:rFonts w:ascii="Arial" w:hAnsi="Arial" w:cs="Arial"/>
          <w:sz w:val="20"/>
          <w:szCs w:val="20"/>
        </w:rPr>
        <w:t>, Assunta Bertaccini and Nicoletta Contaldo*</w:t>
      </w:r>
    </w:p>
    <w:p w:rsidR="00370E27" w:rsidRDefault="00370E27" w:rsidP="00E1678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1678F">
        <w:rPr>
          <w:rFonts w:ascii="Arial" w:hAnsi="Arial" w:cs="Arial"/>
          <w:sz w:val="20"/>
          <w:szCs w:val="20"/>
        </w:rPr>
        <w:t xml:space="preserve">Alma Mater </w:t>
      </w:r>
      <w:proofErr w:type="spellStart"/>
      <w:r w:rsidRPr="00E1678F">
        <w:rPr>
          <w:rFonts w:ascii="Arial" w:hAnsi="Arial" w:cs="Arial"/>
          <w:sz w:val="20"/>
          <w:szCs w:val="20"/>
        </w:rPr>
        <w:t>Studiorum</w:t>
      </w:r>
      <w:proofErr w:type="spellEnd"/>
      <w:r w:rsidRPr="00E1678F"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 w:rsidRPr="00E1678F">
        <w:rPr>
          <w:rFonts w:ascii="Arial" w:hAnsi="Arial" w:cs="Arial"/>
          <w:i/>
          <w:sz w:val="20"/>
          <w:szCs w:val="20"/>
        </w:rPr>
        <w:t>University</w:t>
      </w:r>
      <w:proofErr w:type="spellEnd"/>
      <w:r w:rsidRPr="00E1678F">
        <w:rPr>
          <w:rFonts w:ascii="Arial" w:hAnsi="Arial" w:cs="Arial"/>
          <w:i/>
          <w:sz w:val="20"/>
          <w:szCs w:val="20"/>
        </w:rPr>
        <w:t xml:space="preserve"> of Bologna, Viale G. </w:t>
      </w:r>
      <w:proofErr w:type="spellStart"/>
      <w:r w:rsidRPr="00E1678F">
        <w:rPr>
          <w:rFonts w:ascii="Arial" w:hAnsi="Arial" w:cs="Arial"/>
          <w:i/>
          <w:sz w:val="20"/>
          <w:szCs w:val="20"/>
        </w:rPr>
        <w:t>Fanin</w:t>
      </w:r>
      <w:proofErr w:type="spellEnd"/>
      <w:r w:rsidRPr="00E1678F">
        <w:rPr>
          <w:rFonts w:ascii="Arial" w:hAnsi="Arial" w:cs="Arial"/>
          <w:i/>
          <w:sz w:val="20"/>
          <w:szCs w:val="20"/>
        </w:rPr>
        <w:t xml:space="preserve">, 42, 40127 Bologna, Italy. </w:t>
      </w:r>
    </w:p>
    <w:p w:rsidR="00370E27" w:rsidRPr="003244C4" w:rsidRDefault="00E1678F" w:rsidP="00E1678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*</w:t>
      </w:r>
      <w:r w:rsidR="00370E27" w:rsidRPr="003244C4">
        <w:rPr>
          <w:rFonts w:ascii="Arial" w:hAnsi="Arial" w:cs="Arial"/>
          <w:sz w:val="20"/>
          <w:szCs w:val="20"/>
          <w:lang w:val="en-US"/>
        </w:rPr>
        <w:t>Corresponding author: nicoletta.contaldo2@unibo.it</w:t>
      </w:r>
    </w:p>
    <w:p w:rsidR="009E2A1B" w:rsidRPr="00E1678F" w:rsidRDefault="009E2A1B" w:rsidP="00E1678F">
      <w:pPr>
        <w:spacing w:after="0"/>
        <w:jc w:val="both"/>
        <w:rPr>
          <w:rFonts w:ascii="Arial" w:hAnsi="Arial" w:cs="Arial"/>
          <w:lang w:val="en-US"/>
        </w:rPr>
      </w:pPr>
    </w:p>
    <w:p w:rsidR="002F0FC6" w:rsidRPr="00E1678F" w:rsidRDefault="00370E27" w:rsidP="00E1678F">
      <w:pPr>
        <w:pStyle w:val="Nessunaspaziatura"/>
        <w:jc w:val="both"/>
        <w:rPr>
          <w:rFonts w:ascii="Arial" w:hAnsi="Arial" w:cs="Arial"/>
          <w:b/>
          <w:sz w:val="20"/>
          <w:szCs w:val="20"/>
        </w:rPr>
      </w:pPr>
      <w:r w:rsidRPr="00E1678F">
        <w:rPr>
          <w:rFonts w:ascii="Arial" w:hAnsi="Arial" w:cs="Arial"/>
          <w:b/>
          <w:sz w:val="20"/>
          <w:szCs w:val="20"/>
        </w:rPr>
        <w:t>INTRODUCTION</w:t>
      </w:r>
    </w:p>
    <w:p w:rsidR="00370E27" w:rsidRPr="00E1678F" w:rsidRDefault="00370E27" w:rsidP="00E1678F">
      <w:pPr>
        <w:pStyle w:val="Nessunaspaziatura"/>
        <w:jc w:val="both"/>
        <w:rPr>
          <w:rFonts w:ascii="Arial" w:hAnsi="Arial" w:cs="Arial"/>
          <w:b/>
          <w:sz w:val="20"/>
          <w:szCs w:val="20"/>
        </w:rPr>
      </w:pPr>
      <w:r w:rsidRPr="00E1678F">
        <w:rPr>
          <w:rFonts w:ascii="Arial" w:hAnsi="Arial" w:cs="Arial"/>
          <w:sz w:val="20"/>
          <w:szCs w:val="20"/>
          <w:lang w:val="en-US"/>
        </w:rPr>
        <w:t>Grapevine yellows (GYs) is one of the most damaging phytoplasma-associated disease</w:t>
      </w:r>
      <w:r w:rsidR="00E1678F" w:rsidRPr="00E1678F">
        <w:rPr>
          <w:rFonts w:ascii="Arial" w:hAnsi="Arial" w:cs="Arial"/>
          <w:sz w:val="20"/>
          <w:szCs w:val="20"/>
          <w:lang w:val="en-US"/>
        </w:rPr>
        <w:t>s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 that causes severe yield losses in every geographic area where grapevines are cultivated. The main yellows diseases in grapevine in Europe are “</w:t>
      </w:r>
      <w:proofErr w:type="spellStart"/>
      <w:r w:rsidRPr="00E1678F">
        <w:rPr>
          <w:rFonts w:ascii="Arial" w:hAnsi="Arial" w:cs="Arial"/>
          <w:sz w:val="20"/>
          <w:szCs w:val="20"/>
          <w:lang w:val="en-US"/>
        </w:rPr>
        <w:t>flavescence</w:t>
      </w:r>
      <w:proofErr w:type="spellEnd"/>
      <w:r w:rsidR="00E1678F" w:rsidRPr="00E1678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1678F">
        <w:rPr>
          <w:rFonts w:ascii="Arial" w:hAnsi="Arial" w:cs="Arial"/>
          <w:sz w:val="20"/>
          <w:szCs w:val="20"/>
          <w:lang w:val="en-US"/>
        </w:rPr>
        <w:t>dorée</w:t>
      </w:r>
      <w:proofErr w:type="spellEnd"/>
      <w:r w:rsidRPr="00E1678F">
        <w:rPr>
          <w:rFonts w:ascii="Arial" w:hAnsi="Arial" w:cs="Arial"/>
          <w:sz w:val="20"/>
          <w:szCs w:val="20"/>
          <w:lang w:val="en-US"/>
        </w:rPr>
        <w:t>” (FD, 16SrV-C/D ribosomal subgroups) (Martini et al. 1999) and “bois noir” (BN, '</w:t>
      </w:r>
      <w:r w:rsidRPr="00E1678F">
        <w:rPr>
          <w:rFonts w:ascii="Arial" w:hAnsi="Arial" w:cs="Arial"/>
          <w:i/>
          <w:sz w:val="20"/>
          <w:szCs w:val="20"/>
          <w:lang w:val="en-US"/>
        </w:rPr>
        <w:t>Candidatus</w:t>
      </w:r>
      <w:r w:rsidR="00E1678F" w:rsidRPr="00E1678F">
        <w:rPr>
          <w:rFonts w:ascii="Arial" w:hAnsi="Arial" w:cs="Arial"/>
          <w:sz w:val="20"/>
          <w:szCs w:val="20"/>
          <w:lang w:val="en-US"/>
        </w:rPr>
        <w:t xml:space="preserve"> Phytoplasma </w:t>
      </w:r>
      <w:proofErr w:type="spellStart"/>
      <w:r w:rsidR="00E1678F" w:rsidRPr="00E1678F">
        <w:rPr>
          <w:rFonts w:ascii="Arial" w:hAnsi="Arial" w:cs="Arial"/>
          <w:sz w:val="20"/>
          <w:szCs w:val="20"/>
          <w:lang w:val="en-US"/>
        </w:rPr>
        <w:t>solani</w:t>
      </w:r>
      <w:proofErr w:type="spellEnd"/>
      <w:r w:rsidR="00E1678F" w:rsidRPr="00E1678F">
        <w:rPr>
          <w:rFonts w:ascii="Arial" w:hAnsi="Arial" w:cs="Arial"/>
          <w:sz w:val="20"/>
          <w:szCs w:val="20"/>
          <w:lang w:val="en-US"/>
        </w:rPr>
        <w:t>'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, 16SrXII-A ribosomal subgroup), transmitted by </w:t>
      </w:r>
      <w:proofErr w:type="spellStart"/>
      <w:r w:rsidRPr="00E1678F">
        <w:rPr>
          <w:rFonts w:ascii="Arial" w:hAnsi="Arial" w:cs="Arial"/>
          <w:i/>
          <w:sz w:val="20"/>
          <w:szCs w:val="20"/>
          <w:lang w:val="en-US"/>
        </w:rPr>
        <w:t>Scaphoideus</w:t>
      </w:r>
      <w:proofErr w:type="spellEnd"/>
      <w:r w:rsidR="009E2A1B" w:rsidRPr="00E1678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E1678F">
        <w:rPr>
          <w:rFonts w:ascii="Arial" w:hAnsi="Arial" w:cs="Arial"/>
          <w:i/>
          <w:sz w:val="20"/>
          <w:szCs w:val="20"/>
          <w:lang w:val="en-US"/>
        </w:rPr>
        <w:t>titanus</w:t>
      </w:r>
      <w:proofErr w:type="spellEnd"/>
      <w:r w:rsidRPr="00E1678F">
        <w:rPr>
          <w:rFonts w:ascii="Arial" w:hAnsi="Arial" w:cs="Arial"/>
          <w:sz w:val="20"/>
          <w:szCs w:val="20"/>
          <w:lang w:val="en-US"/>
        </w:rPr>
        <w:t xml:space="preserve"> Ball and </w:t>
      </w:r>
      <w:proofErr w:type="spellStart"/>
      <w:r w:rsidRPr="00E1678F">
        <w:rPr>
          <w:rFonts w:ascii="Arial" w:hAnsi="Arial" w:cs="Arial"/>
          <w:i/>
          <w:sz w:val="20"/>
          <w:szCs w:val="20"/>
          <w:lang w:val="en-US"/>
        </w:rPr>
        <w:t>Hyalestes</w:t>
      </w:r>
      <w:proofErr w:type="spellEnd"/>
      <w:r w:rsidR="009E2A1B" w:rsidRPr="00E1678F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E1678F">
        <w:rPr>
          <w:rFonts w:ascii="Arial" w:hAnsi="Arial" w:cs="Arial"/>
          <w:i/>
          <w:sz w:val="20"/>
          <w:szCs w:val="20"/>
          <w:lang w:val="en-US"/>
        </w:rPr>
        <w:t>obsoletus</w:t>
      </w:r>
      <w:r w:rsidR="009E2A1B" w:rsidRPr="00E1678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E1678F">
        <w:rPr>
          <w:rFonts w:ascii="Arial" w:hAnsi="Arial" w:cs="Arial"/>
          <w:sz w:val="20"/>
          <w:szCs w:val="20"/>
          <w:lang w:val="en-US"/>
        </w:rPr>
        <w:t>Signoret</w:t>
      </w:r>
      <w:proofErr w:type="spellEnd"/>
      <w:r w:rsidRPr="00E1678F">
        <w:rPr>
          <w:rFonts w:ascii="Arial" w:hAnsi="Arial" w:cs="Arial"/>
          <w:sz w:val="20"/>
          <w:szCs w:val="20"/>
          <w:lang w:val="en-US"/>
        </w:rPr>
        <w:t>, respectively.</w:t>
      </w:r>
      <w:r w:rsidRPr="00E1678F">
        <w:rPr>
          <w:rFonts w:ascii="Arial" w:hAnsi="Arial" w:cs="Arial"/>
          <w:color w:val="000000"/>
          <w:sz w:val="20"/>
          <w:szCs w:val="20"/>
          <w:lang w:val="en-GB" w:eastAsia="it-IT"/>
        </w:rPr>
        <w:t xml:space="preserve"> </w:t>
      </w:r>
      <w:r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>Recently</w:t>
      </w:r>
      <w:r w:rsidR="009E2A1B"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 xml:space="preserve"> </w:t>
      </w:r>
      <w:r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>the mosaic</w:t>
      </w:r>
      <w:r w:rsidR="009E2A1B"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 xml:space="preserve"> </w:t>
      </w:r>
      <w:r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 xml:space="preserve">leafhopper </w:t>
      </w:r>
      <w:proofErr w:type="spellStart"/>
      <w:r w:rsidRPr="00E1678F">
        <w:rPr>
          <w:rFonts w:ascii="Arial" w:hAnsi="Arial" w:cs="Arial"/>
          <w:i/>
          <w:color w:val="000000"/>
          <w:sz w:val="20"/>
          <w:szCs w:val="20"/>
          <w:lang w:val="en-US" w:eastAsia="it-IT"/>
        </w:rPr>
        <w:t>Orientus</w:t>
      </w:r>
      <w:proofErr w:type="spellEnd"/>
      <w:r w:rsidR="009E2A1B" w:rsidRPr="00E1678F">
        <w:rPr>
          <w:rFonts w:ascii="Arial" w:hAnsi="Arial" w:cs="Arial"/>
          <w:i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E1678F">
        <w:rPr>
          <w:rFonts w:ascii="Arial" w:hAnsi="Arial" w:cs="Arial"/>
          <w:i/>
          <w:color w:val="000000"/>
          <w:sz w:val="20"/>
          <w:szCs w:val="20"/>
          <w:lang w:val="en-US" w:eastAsia="it-IT"/>
        </w:rPr>
        <w:t>ishidae</w:t>
      </w:r>
      <w:proofErr w:type="spellEnd"/>
      <w:r w:rsidR="009E2A1B" w:rsidRPr="00E1678F">
        <w:rPr>
          <w:rFonts w:ascii="Arial" w:hAnsi="Arial" w:cs="Arial"/>
          <w:i/>
          <w:color w:val="000000"/>
          <w:sz w:val="20"/>
          <w:szCs w:val="20"/>
          <w:lang w:val="en-US" w:eastAsia="it-IT"/>
        </w:rPr>
        <w:t xml:space="preserve"> </w:t>
      </w:r>
      <w:r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 xml:space="preserve">(Matsumura) (Cicadellidae; </w:t>
      </w:r>
      <w:proofErr w:type="spellStart"/>
      <w:r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>Deltocephalinae</w:t>
      </w:r>
      <w:proofErr w:type="spellEnd"/>
      <w:r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>) was found to be positive to 16SrV-C</w:t>
      </w:r>
      <w:r w:rsidR="00E1678F"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 xml:space="preserve"> </w:t>
      </w:r>
      <w:r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>and -D phytoplasmas in Slovenia, Italy and Switzerland</w:t>
      </w:r>
      <w:r w:rsidR="009E2A1B"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 xml:space="preserve"> </w:t>
      </w:r>
      <w:r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>(</w:t>
      </w:r>
      <w:r w:rsidR="000601A6" w:rsidRPr="0089267D">
        <w:rPr>
          <w:rFonts w:ascii="Arial" w:hAnsi="Arial" w:cs="Arial"/>
          <w:sz w:val="20"/>
          <w:szCs w:val="20"/>
          <w:lang w:val="en-US" w:eastAsia="it-IT"/>
        </w:rPr>
        <w:t>Mehle et al.</w:t>
      </w:r>
      <w:r w:rsidR="00651975" w:rsidRPr="0089267D">
        <w:rPr>
          <w:rFonts w:ascii="Arial" w:hAnsi="Arial" w:cs="Arial"/>
          <w:sz w:val="20"/>
          <w:szCs w:val="20"/>
          <w:lang w:val="en-US" w:eastAsia="it-IT"/>
        </w:rPr>
        <w:t>,</w:t>
      </w:r>
      <w:r w:rsidR="000601A6"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 xml:space="preserve"> 2010</w:t>
      </w:r>
      <w:r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 xml:space="preserve">; </w:t>
      </w:r>
      <w:proofErr w:type="spellStart"/>
      <w:r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>Gaffuri</w:t>
      </w:r>
      <w:proofErr w:type="spellEnd"/>
      <w:r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 xml:space="preserve"> et al.</w:t>
      </w:r>
      <w:r w:rsidR="00651975">
        <w:rPr>
          <w:rFonts w:ascii="Arial" w:hAnsi="Arial" w:cs="Arial"/>
          <w:color w:val="000000"/>
          <w:sz w:val="20"/>
          <w:szCs w:val="20"/>
          <w:lang w:val="en-US" w:eastAsia="it-IT"/>
        </w:rPr>
        <w:t>,</w:t>
      </w:r>
      <w:r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 xml:space="preserve"> 2011; </w:t>
      </w:r>
      <w:proofErr w:type="spellStart"/>
      <w:r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>Trivellone</w:t>
      </w:r>
      <w:proofErr w:type="spellEnd"/>
      <w:r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 xml:space="preserve"> et al</w:t>
      </w:r>
      <w:r w:rsidR="00651975">
        <w:rPr>
          <w:rFonts w:ascii="Arial" w:hAnsi="Arial" w:cs="Arial"/>
          <w:color w:val="000000"/>
          <w:sz w:val="20"/>
          <w:szCs w:val="20"/>
          <w:lang w:val="en-US" w:eastAsia="it-IT"/>
        </w:rPr>
        <w:t>,</w:t>
      </w:r>
      <w:r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>. 2015); it was also shown</w:t>
      </w:r>
      <w:r w:rsidR="009E2A1B"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 xml:space="preserve"> </w:t>
      </w:r>
      <w:r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>as capable to transmi</w:t>
      </w:r>
      <w:r w:rsidR="00E1678F"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 xml:space="preserve">t 16SrV phytoplasmas from </w:t>
      </w:r>
      <w:proofErr w:type="spellStart"/>
      <w:r w:rsidR="00E1678F"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>broad</w:t>
      </w:r>
      <w:r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>bean</w:t>
      </w:r>
      <w:proofErr w:type="spellEnd"/>
      <w:r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 xml:space="preserve"> to grapevine (</w:t>
      </w:r>
      <w:proofErr w:type="spellStart"/>
      <w:r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>Lessio</w:t>
      </w:r>
      <w:proofErr w:type="spellEnd"/>
      <w:r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 xml:space="preserve"> et al.</w:t>
      </w:r>
      <w:r w:rsidR="00651975">
        <w:rPr>
          <w:rFonts w:ascii="Arial" w:hAnsi="Arial" w:cs="Arial"/>
          <w:color w:val="000000"/>
          <w:sz w:val="20"/>
          <w:szCs w:val="20"/>
          <w:lang w:val="en-US" w:eastAsia="it-IT"/>
        </w:rPr>
        <w:t>,</w:t>
      </w:r>
      <w:r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 xml:space="preserve"> 2016). To verify the reasons of the continuous GY spreading in </w:t>
      </w:r>
      <w:r w:rsidR="00E1678F"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 xml:space="preserve">the </w:t>
      </w:r>
      <w:r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>Veneto region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 (</w:t>
      </w:r>
      <w:r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>North-Eastern</w:t>
      </w:r>
      <w:r w:rsidR="009E2A1B"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 xml:space="preserve"> Italy)</w:t>
      </w:r>
      <w:r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>, “Prosecco areas”</w:t>
      </w:r>
      <w:r w:rsidR="009E2A1B"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 xml:space="preserve">, </w:t>
      </w:r>
      <w:r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>the identification and molecular characterization of phytoplasmas in symptomatic and asymptomatic grapevine and insects captured in selected vineyards during</w:t>
      </w:r>
      <w:r w:rsidR="00E1678F"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 xml:space="preserve"> a three year-survey was carried out</w:t>
      </w:r>
      <w:r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>.</w:t>
      </w:r>
      <w:r w:rsidR="009E2A1B" w:rsidRPr="00E1678F">
        <w:rPr>
          <w:rFonts w:ascii="Arial" w:hAnsi="Arial" w:cs="Arial"/>
          <w:color w:val="000000"/>
          <w:sz w:val="20"/>
          <w:szCs w:val="20"/>
          <w:lang w:val="en-US" w:eastAsia="it-IT"/>
        </w:rPr>
        <w:t xml:space="preserve"> </w:t>
      </w:r>
    </w:p>
    <w:p w:rsidR="009E2A1B" w:rsidRPr="00E1678F" w:rsidRDefault="009E2A1B" w:rsidP="00E1678F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0"/>
          <w:szCs w:val="20"/>
          <w:lang w:val="en-US" w:eastAsia="it-IT"/>
        </w:rPr>
      </w:pPr>
    </w:p>
    <w:p w:rsidR="009E2A1B" w:rsidRPr="00E1678F" w:rsidRDefault="009E2A1B" w:rsidP="00E1678F">
      <w:pPr>
        <w:pStyle w:val="Nessunaspaziatura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1678F">
        <w:rPr>
          <w:rFonts w:ascii="Arial" w:hAnsi="Arial" w:cs="Arial"/>
          <w:b/>
          <w:sz w:val="20"/>
          <w:szCs w:val="20"/>
          <w:lang w:val="en-US"/>
        </w:rPr>
        <w:t>MATERIALS AND METHODS</w:t>
      </w:r>
    </w:p>
    <w:p w:rsidR="00B57FF4" w:rsidRDefault="009E2A1B" w:rsidP="0065197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1678F">
        <w:rPr>
          <w:rFonts w:ascii="Arial" w:hAnsi="Arial" w:cs="Arial"/>
          <w:sz w:val="20"/>
          <w:szCs w:val="20"/>
          <w:lang w:val="en-US"/>
        </w:rPr>
        <w:t xml:space="preserve">Total nucleic acids were extracted from 1 g of fresh plant tissue (leaf midribs) from 137 symptomatic and 24 asymptomatic grapevines belonging to four grapevine cultivars (Chardonnay, </w:t>
      </w:r>
      <w:proofErr w:type="spellStart"/>
      <w:r w:rsidRPr="00E1678F">
        <w:rPr>
          <w:rFonts w:ascii="Arial" w:hAnsi="Arial" w:cs="Arial"/>
          <w:sz w:val="20"/>
          <w:szCs w:val="20"/>
          <w:lang w:val="en-US"/>
        </w:rPr>
        <w:t>Glera</w:t>
      </w:r>
      <w:proofErr w:type="spellEnd"/>
      <w:r w:rsidRPr="00E1678F">
        <w:rPr>
          <w:rFonts w:ascii="Arial" w:hAnsi="Arial" w:cs="Arial"/>
          <w:sz w:val="20"/>
          <w:szCs w:val="20"/>
          <w:lang w:val="en-US"/>
        </w:rPr>
        <w:t xml:space="preserve">, Pinot Gris and </w:t>
      </w:r>
      <w:proofErr w:type="spellStart"/>
      <w:r w:rsidRPr="00E1678F">
        <w:rPr>
          <w:rFonts w:ascii="Arial" w:hAnsi="Arial" w:cs="Arial"/>
          <w:sz w:val="20"/>
          <w:szCs w:val="20"/>
          <w:lang w:val="en-US"/>
        </w:rPr>
        <w:t>Perera</w:t>
      </w:r>
      <w:proofErr w:type="spellEnd"/>
      <w:r w:rsidRPr="00E1678F">
        <w:rPr>
          <w:rFonts w:ascii="Arial" w:hAnsi="Arial" w:cs="Arial"/>
          <w:sz w:val="20"/>
          <w:szCs w:val="20"/>
          <w:lang w:val="en-US"/>
        </w:rPr>
        <w:t>) collected in 17 different vineyard</w:t>
      </w:r>
      <w:r w:rsidR="002F0FC6" w:rsidRPr="00E1678F">
        <w:rPr>
          <w:rFonts w:ascii="Arial" w:hAnsi="Arial" w:cs="Arial"/>
          <w:sz w:val="20"/>
          <w:szCs w:val="20"/>
          <w:lang w:val="en-US"/>
        </w:rPr>
        <w:t>,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 using a phenol/chloroform protocol. Following a CTAB- based DNA extraction procedure 29 batches of </w:t>
      </w:r>
      <w:r w:rsidRPr="00E1678F">
        <w:rPr>
          <w:rFonts w:ascii="Arial" w:hAnsi="Arial" w:cs="Arial"/>
          <w:i/>
          <w:sz w:val="20"/>
          <w:szCs w:val="20"/>
          <w:lang w:val="en-US"/>
        </w:rPr>
        <w:t xml:space="preserve">S. </w:t>
      </w:r>
      <w:proofErr w:type="spellStart"/>
      <w:r w:rsidRPr="00E1678F">
        <w:rPr>
          <w:rFonts w:ascii="Arial" w:hAnsi="Arial" w:cs="Arial"/>
          <w:i/>
          <w:sz w:val="20"/>
          <w:szCs w:val="20"/>
          <w:lang w:val="en-US"/>
        </w:rPr>
        <w:t>titanus</w:t>
      </w:r>
      <w:proofErr w:type="spellEnd"/>
      <w:r w:rsidR="002F0FC6" w:rsidRPr="00E1678F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(50 individuals), 26 of </w:t>
      </w:r>
      <w:r w:rsidRPr="00E1678F">
        <w:rPr>
          <w:rFonts w:ascii="Arial" w:hAnsi="Arial" w:cs="Arial"/>
          <w:i/>
          <w:sz w:val="20"/>
          <w:szCs w:val="20"/>
          <w:lang w:val="en-US"/>
        </w:rPr>
        <w:t>H. obsoletus</w:t>
      </w:r>
      <w:r w:rsidR="002F0FC6" w:rsidRPr="00E1678F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(32 individuals), 69 of </w:t>
      </w:r>
      <w:r w:rsidRPr="00E1678F">
        <w:rPr>
          <w:rFonts w:ascii="Arial" w:hAnsi="Arial" w:cs="Arial"/>
          <w:i/>
          <w:sz w:val="20"/>
          <w:szCs w:val="20"/>
          <w:lang w:val="en-US"/>
        </w:rPr>
        <w:t xml:space="preserve">O. </w:t>
      </w:r>
      <w:proofErr w:type="spellStart"/>
      <w:r w:rsidRPr="00E1678F">
        <w:rPr>
          <w:rFonts w:ascii="Arial" w:hAnsi="Arial" w:cs="Arial"/>
          <w:i/>
          <w:sz w:val="20"/>
          <w:szCs w:val="20"/>
          <w:lang w:val="en-US"/>
        </w:rPr>
        <w:t>ishidae</w:t>
      </w:r>
      <w:proofErr w:type="spellEnd"/>
      <w:r w:rsidR="002F0FC6" w:rsidRPr="00E1678F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(89 individuals) and 2 of </w:t>
      </w:r>
      <w:r w:rsidRPr="00E1678F">
        <w:rPr>
          <w:rFonts w:ascii="Arial" w:hAnsi="Arial" w:cs="Arial"/>
          <w:i/>
          <w:sz w:val="20"/>
          <w:szCs w:val="20"/>
          <w:lang w:val="en-US"/>
        </w:rPr>
        <w:t xml:space="preserve">H. </w:t>
      </w:r>
      <w:proofErr w:type="spellStart"/>
      <w:r w:rsidRPr="00E1678F">
        <w:rPr>
          <w:rFonts w:ascii="Arial" w:hAnsi="Arial" w:cs="Arial"/>
          <w:i/>
          <w:sz w:val="20"/>
          <w:szCs w:val="20"/>
          <w:lang w:val="en-US"/>
        </w:rPr>
        <w:t>hamatus</w:t>
      </w:r>
      <w:proofErr w:type="spellEnd"/>
      <w:r w:rsidR="002F0FC6" w:rsidRPr="00E1678F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E1678F">
        <w:rPr>
          <w:rFonts w:ascii="Arial" w:hAnsi="Arial" w:cs="Arial"/>
          <w:sz w:val="20"/>
          <w:szCs w:val="20"/>
          <w:lang w:val="en-US"/>
        </w:rPr>
        <w:t>(4 individuals) were processed for molecular analyses to verify phytoplasma presence.</w:t>
      </w:r>
      <w:r w:rsidR="002F0FC6" w:rsidRPr="00E1678F">
        <w:rPr>
          <w:rFonts w:ascii="Arial" w:hAnsi="Arial" w:cs="Arial"/>
          <w:sz w:val="20"/>
          <w:szCs w:val="20"/>
          <w:lang w:val="en-US"/>
        </w:rPr>
        <w:t xml:space="preserve"> Phytoplasma detection was carrie</w:t>
      </w:r>
      <w:r w:rsidR="00651975">
        <w:rPr>
          <w:rFonts w:ascii="Arial" w:hAnsi="Arial" w:cs="Arial"/>
          <w:sz w:val="20"/>
          <w:szCs w:val="20"/>
          <w:lang w:val="en-US"/>
        </w:rPr>
        <w:t>d out by n</w:t>
      </w:r>
      <w:r w:rsidR="002F0FC6" w:rsidRPr="00E1678F">
        <w:rPr>
          <w:rFonts w:ascii="Arial" w:hAnsi="Arial" w:cs="Arial"/>
          <w:sz w:val="20"/>
          <w:szCs w:val="20"/>
          <w:lang w:val="en-US"/>
        </w:rPr>
        <w:t>ested-PCR using P1/P7</w:t>
      </w:r>
      <w:r w:rsidR="00B57FF4" w:rsidRPr="00E1678F">
        <w:rPr>
          <w:rFonts w:ascii="Arial" w:hAnsi="Arial" w:cs="Arial"/>
          <w:sz w:val="20"/>
          <w:szCs w:val="20"/>
          <w:lang w:val="en-US"/>
        </w:rPr>
        <w:t xml:space="preserve"> (Deng and </w:t>
      </w:r>
      <w:proofErr w:type="spellStart"/>
      <w:r w:rsidR="00B57FF4" w:rsidRPr="00E1678F">
        <w:rPr>
          <w:rFonts w:ascii="Arial" w:hAnsi="Arial" w:cs="Arial"/>
          <w:sz w:val="20"/>
          <w:szCs w:val="20"/>
          <w:lang w:val="en-US"/>
        </w:rPr>
        <w:t>Hiruki</w:t>
      </w:r>
      <w:proofErr w:type="spellEnd"/>
      <w:r w:rsidR="00651975">
        <w:rPr>
          <w:rFonts w:ascii="Arial" w:hAnsi="Arial" w:cs="Arial"/>
          <w:sz w:val="20"/>
          <w:szCs w:val="20"/>
          <w:lang w:val="en-US"/>
        </w:rPr>
        <w:t xml:space="preserve">, </w:t>
      </w:r>
      <w:r w:rsidR="00B57FF4" w:rsidRPr="00E1678F">
        <w:rPr>
          <w:rFonts w:ascii="Arial" w:hAnsi="Arial" w:cs="Arial"/>
          <w:sz w:val="20"/>
          <w:szCs w:val="20"/>
          <w:lang w:val="en-US"/>
        </w:rPr>
        <w:t>1991; Schneider et al. 1995)</w:t>
      </w:r>
      <w:r w:rsidR="002F0FC6" w:rsidRPr="00E1678F">
        <w:rPr>
          <w:rFonts w:ascii="Arial" w:hAnsi="Arial" w:cs="Arial"/>
          <w:sz w:val="20"/>
          <w:szCs w:val="20"/>
          <w:lang w:val="en-US"/>
        </w:rPr>
        <w:t xml:space="preserve"> followed by </w:t>
      </w:r>
      <w:r w:rsidR="00B57FF4" w:rsidRPr="00E1678F">
        <w:rPr>
          <w:rFonts w:ascii="Arial" w:hAnsi="Arial" w:cs="Arial"/>
          <w:sz w:val="20"/>
          <w:szCs w:val="20"/>
          <w:lang w:val="en-US"/>
        </w:rPr>
        <w:t>16R</w:t>
      </w:r>
      <w:r w:rsidR="00B57FF4" w:rsidRPr="00E1678F">
        <w:rPr>
          <w:rFonts w:ascii="Arial" w:hAnsi="Arial" w:cs="Arial"/>
          <w:sz w:val="20"/>
          <w:szCs w:val="20"/>
          <w:vertAlign w:val="subscript"/>
          <w:lang w:val="en-US"/>
        </w:rPr>
        <w:t>758</w:t>
      </w:r>
      <w:r w:rsidR="00B57FF4" w:rsidRPr="00E1678F">
        <w:rPr>
          <w:rFonts w:ascii="Arial" w:hAnsi="Arial" w:cs="Arial"/>
          <w:sz w:val="20"/>
          <w:szCs w:val="20"/>
          <w:lang w:val="en-US"/>
        </w:rPr>
        <w:t>f/23SR</w:t>
      </w:r>
      <w:r w:rsidR="00B57FF4" w:rsidRPr="00E1678F">
        <w:rPr>
          <w:rFonts w:ascii="Arial" w:hAnsi="Arial" w:cs="Arial"/>
          <w:sz w:val="20"/>
          <w:szCs w:val="20"/>
          <w:vertAlign w:val="subscript"/>
          <w:lang w:val="en-US"/>
        </w:rPr>
        <w:t xml:space="preserve">1804 </w:t>
      </w:r>
      <w:r w:rsidR="00B57FF4" w:rsidRPr="00E1678F">
        <w:rPr>
          <w:rFonts w:ascii="Arial" w:hAnsi="Arial" w:cs="Arial"/>
          <w:sz w:val="20"/>
          <w:szCs w:val="20"/>
          <w:lang w:val="en-US"/>
        </w:rPr>
        <w:t>(Gibb et al.</w:t>
      </w:r>
      <w:r w:rsidR="00651975">
        <w:rPr>
          <w:rFonts w:ascii="Arial" w:hAnsi="Arial" w:cs="Arial"/>
          <w:sz w:val="20"/>
          <w:szCs w:val="20"/>
          <w:lang w:val="en-US"/>
        </w:rPr>
        <w:t>,</w:t>
      </w:r>
      <w:r w:rsidR="00B57FF4" w:rsidRPr="00E1678F">
        <w:rPr>
          <w:rFonts w:ascii="Arial" w:hAnsi="Arial" w:cs="Arial"/>
          <w:sz w:val="20"/>
          <w:szCs w:val="20"/>
          <w:lang w:val="en-US"/>
        </w:rPr>
        <w:t xml:space="preserve"> 1995; </w:t>
      </w:r>
      <w:proofErr w:type="spellStart"/>
      <w:r w:rsidR="00B57FF4" w:rsidRPr="00E1678F">
        <w:rPr>
          <w:rFonts w:ascii="Arial" w:hAnsi="Arial" w:cs="Arial"/>
          <w:sz w:val="20"/>
          <w:szCs w:val="20"/>
          <w:lang w:val="en-US"/>
        </w:rPr>
        <w:t>Padovan</w:t>
      </w:r>
      <w:proofErr w:type="spellEnd"/>
      <w:r w:rsidR="00B57FF4" w:rsidRPr="00E1678F">
        <w:rPr>
          <w:rFonts w:ascii="Arial" w:hAnsi="Arial" w:cs="Arial"/>
          <w:sz w:val="20"/>
          <w:szCs w:val="20"/>
          <w:lang w:val="en-US"/>
        </w:rPr>
        <w:t xml:space="preserve"> et al.</w:t>
      </w:r>
      <w:r w:rsidR="00651975">
        <w:rPr>
          <w:rFonts w:ascii="Arial" w:hAnsi="Arial" w:cs="Arial"/>
          <w:sz w:val="20"/>
          <w:szCs w:val="20"/>
          <w:lang w:val="en-US"/>
        </w:rPr>
        <w:t>,</w:t>
      </w:r>
      <w:r w:rsidR="00B57FF4" w:rsidRPr="00E1678F">
        <w:rPr>
          <w:rFonts w:ascii="Arial" w:hAnsi="Arial" w:cs="Arial"/>
          <w:sz w:val="20"/>
          <w:szCs w:val="20"/>
          <w:lang w:val="en-US"/>
        </w:rPr>
        <w:t xml:space="preserve"> 1995) </w:t>
      </w:r>
      <w:r w:rsidR="002F0FC6" w:rsidRPr="00E1678F">
        <w:rPr>
          <w:rFonts w:ascii="Arial" w:hAnsi="Arial" w:cs="Arial"/>
          <w:sz w:val="20"/>
          <w:szCs w:val="20"/>
          <w:lang w:val="en-US"/>
        </w:rPr>
        <w:t>and/or U5</w:t>
      </w:r>
      <w:r w:rsidR="00651975">
        <w:rPr>
          <w:rFonts w:ascii="Arial" w:hAnsi="Arial" w:cs="Arial"/>
          <w:sz w:val="20"/>
          <w:szCs w:val="20"/>
          <w:lang w:val="en-US"/>
        </w:rPr>
        <w:t>/</w:t>
      </w:r>
      <w:r w:rsidR="002F0FC6" w:rsidRPr="00E1678F">
        <w:rPr>
          <w:rFonts w:ascii="Arial" w:hAnsi="Arial" w:cs="Arial"/>
          <w:sz w:val="20"/>
          <w:szCs w:val="20"/>
          <w:lang w:val="en-US"/>
        </w:rPr>
        <w:t>U3</w:t>
      </w:r>
      <w:r w:rsidR="00B57FF4" w:rsidRPr="00E1678F">
        <w:rPr>
          <w:rFonts w:ascii="Arial" w:hAnsi="Arial" w:cs="Arial"/>
          <w:sz w:val="20"/>
          <w:szCs w:val="20"/>
          <w:lang w:val="en-US"/>
        </w:rPr>
        <w:t xml:space="preserve"> (Lorenz et al.</w:t>
      </w:r>
      <w:r w:rsidR="00651975">
        <w:rPr>
          <w:rFonts w:ascii="Arial" w:hAnsi="Arial" w:cs="Arial"/>
          <w:sz w:val="20"/>
          <w:szCs w:val="20"/>
          <w:lang w:val="en-US"/>
        </w:rPr>
        <w:t>,</w:t>
      </w:r>
      <w:r w:rsidR="00B57FF4" w:rsidRPr="00E1678F">
        <w:rPr>
          <w:rFonts w:ascii="Arial" w:hAnsi="Arial" w:cs="Arial"/>
          <w:sz w:val="20"/>
          <w:szCs w:val="20"/>
          <w:lang w:val="en-US"/>
        </w:rPr>
        <w:t xml:space="preserve"> 1995) </w:t>
      </w:r>
      <w:r w:rsidR="002F0FC6" w:rsidRPr="00E1678F">
        <w:rPr>
          <w:rFonts w:ascii="Arial" w:hAnsi="Arial" w:cs="Arial"/>
          <w:sz w:val="20"/>
          <w:szCs w:val="20"/>
          <w:lang w:val="en-US"/>
        </w:rPr>
        <w:t xml:space="preserve"> primer pairs. Additional c</w:t>
      </w:r>
      <w:r w:rsidR="00B57FF4" w:rsidRPr="00E1678F">
        <w:rPr>
          <w:rFonts w:ascii="Arial" w:hAnsi="Arial" w:cs="Arial"/>
          <w:sz w:val="20"/>
          <w:szCs w:val="20"/>
          <w:lang w:val="en-US"/>
        </w:rPr>
        <w:t>h</w:t>
      </w:r>
      <w:r w:rsidR="002F0FC6" w:rsidRPr="00E1678F">
        <w:rPr>
          <w:rFonts w:ascii="Arial" w:hAnsi="Arial" w:cs="Arial"/>
          <w:sz w:val="20"/>
          <w:szCs w:val="20"/>
          <w:lang w:val="en-US"/>
        </w:rPr>
        <w:t>ar</w:t>
      </w:r>
      <w:r w:rsidR="00B57FF4" w:rsidRPr="00E1678F">
        <w:rPr>
          <w:rFonts w:ascii="Arial" w:hAnsi="Arial" w:cs="Arial"/>
          <w:sz w:val="20"/>
          <w:szCs w:val="20"/>
          <w:lang w:val="en-US"/>
        </w:rPr>
        <w:t>act</w:t>
      </w:r>
      <w:r w:rsidR="002F0FC6" w:rsidRPr="00E1678F">
        <w:rPr>
          <w:rFonts w:ascii="Arial" w:hAnsi="Arial" w:cs="Arial"/>
          <w:sz w:val="20"/>
          <w:szCs w:val="20"/>
          <w:lang w:val="en-US"/>
        </w:rPr>
        <w:t xml:space="preserve">erization was performed on </w:t>
      </w:r>
      <w:r w:rsidR="002F0FC6" w:rsidRPr="00E1678F">
        <w:rPr>
          <w:rFonts w:ascii="Arial" w:hAnsi="Arial" w:cs="Arial"/>
          <w:i/>
          <w:sz w:val="20"/>
          <w:szCs w:val="20"/>
          <w:lang w:val="en-US"/>
        </w:rPr>
        <w:t>rp</w:t>
      </w:r>
      <w:r w:rsidR="002F0FC6" w:rsidRPr="00E1678F">
        <w:rPr>
          <w:rFonts w:ascii="Arial" w:hAnsi="Arial" w:cs="Arial"/>
          <w:sz w:val="20"/>
          <w:szCs w:val="20"/>
          <w:lang w:val="en-US"/>
        </w:rPr>
        <w:t xml:space="preserve"> </w:t>
      </w:r>
      <w:r w:rsidR="0006325B">
        <w:rPr>
          <w:rFonts w:ascii="Arial" w:hAnsi="Arial" w:cs="Arial"/>
          <w:sz w:val="20"/>
          <w:szCs w:val="20"/>
          <w:lang w:val="en-US"/>
        </w:rPr>
        <w:t>gene</w:t>
      </w:r>
      <w:r w:rsidR="002F0FC6" w:rsidRPr="00E1678F">
        <w:rPr>
          <w:rFonts w:ascii="Arial" w:hAnsi="Arial" w:cs="Arial"/>
          <w:sz w:val="20"/>
          <w:szCs w:val="20"/>
          <w:lang w:val="en-US"/>
        </w:rPr>
        <w:t xml:space="preserve"> with group specific primers</w:t>
      </w:r>
      <w:r w:rsidR="00B57FF4" w:rsidRPr="00E1678F">
        <w:rPr>
          <w:rFonts w:ascii="Arial" w:hAnsi="Arial" w:cs="Arial"/>
          <w:sz w:val="20"/>
          <w:szCs w:val="20"/>
          <w:lang w:val="en-US"/>
        </w:rPr>
        <w:t xml:space="preserve"> (Lee et al.</w:t>
      </w:r>
      <w:r w:rsidR="00651975">
        <w:rPr>
          <w:rFonts w:ascii="Arial" w:hAnsi="Arial" w:cs="Arial"/>
          <w:sz w:val="20"/>
          <w:szCs w:val="20"/>
          <w:lang w:val="en-US"/>
        </w:rPr>
        <w:t>,</w:t>
      </w:r>
      <w:r w:rsidR="00B57FF4" w:rsidRPr="00E1678F">
        <w:rPr>
          <w:rFonts w:ascii="Arial" w:hAnsi="Arial" w:cs="Arial"/>
          <w:sz w:val="20"/>
          <w:szCs w:val="20"/>
          <w:lang w:val="en-US"/>
        </w:rPr>
        <w:t xml:space="preserve"> 2004; Martini et al.</w:t>
      </w:r>
      <w:r w:rsidR="00651975">
        <w:rPr>
          <w:rFonts w:ascii="Arial" w:hAnsi="Arial" w:cs="Arial"/>
          <w:sz w:val="20"/>
          <w:szCs w:val="20"/>
          <w:lang w:val="en-US"/>
        </w:rPr>
        <w:t>,</w:t>
      </w:r>
      <w:r w:rsidR="0006325B">
        <w:rPr>
          <w:rFonts w:ascii="Arial" w:hAnsi="Arial" w:cs="Arial"/>
          <w:sz w:val="20"/>
          <w:szCs w:val="20"/>
          <w:lang w:val="en-US"/>
        </w:rPr>
        <w:t xml:space="preserve"> 2007</w:t>
      </w:r>
      <w:r w:rsidR="00B57FF4" w:rsidRPr="00E1678F">
        <w:rPr>
          <w:rFonts w:ascii="Arial" w:hAnsi="Arial" w:cs="Arial"/>
          <w:sz w:val="20"/>
          <w:szCs w:val="20"/>
          <w:lang w:val="en-US"/>
        </w:rPr>
        <w:t xml:space="preserve">). Direct sequencing of selected </w:t>
      </w:r>
      <w:r w:rsidR="00B57FF4" w:rsidRPr="00E1678F">
        <w:rPr>
          <w:rFonts w:ascii="Arial" w:hAnsi="Arial" w:cs="Arial"/>
          <w:i/>
          <w:sz w:val="20"/>
          <w:szCs w:val="20"/>
          <w:lang w:val="en-US"/>
        </w:rPr>
        <w:t>16Sr</w:t>
      </w:r>
      <w:r w:rsidR="00B57FF4" w:rsidRPr="00E1678F">
        <w:rPr>
          <w:rFonts w:ascii="Arial" w:hAnsi="Arial" w:cs="Arial"/>
          <w:sz w:val="20"/>
          <w:szCs w:val="20"/>
          <w:lang w:val="en-US"/>
        </w:rPr>
        <w:t xml:space="preserve"> and </w:t>
      </w:r>
      <w:r w:rsidR="00B57FF4" w:rsidRPr="00E1678F">
        <w:rPr>
          <w:rFonts w:ascii="Arial" w:hAnsi="Arial" w:cs="Arial"/>
          <w:i/>
          <w:sz w:val="20"/>
          <w:szCs w:val="20"/>
          <w:lang w:val="en-US"/>
        </w:rPr>
        <w:t>rp</w:t>
      </w:r>
      <w:r w:rsidR="00B57FF4" w:rsidRPr="00E1678F">
        <w:rPr>
          <w:rFonts w:ascii="Arial" w:hAnsi="Arial" w:cs="Arial"/>
          <w:sz w:val="20"/>
          <w:szCs w:val="20"/>
          <w:lang w:val="en-US"/>
        </w:rPr>
        <w:t xml:space="preserve"> gene </w:t>
      </w:r>
      <w:proofErr w:type="spellStart"/>
      <w:r w:rsidR="00B57FF4" w:rsidRPr="00E1678F">
        <w:rPr>
          <w:rFonts w:ascii="Arial" w:hAnsi="Arial" w:cs="Arial"/>
          <w:sz w:val="20"/>
          <w:szCs w:val="20"/>
          <w:lang w:val="en-US"/>
        </w:rPr>
        <w:t>amplicons</w:t>
      </w:r>
      <w:proofErr w:type="spellEnd"/>
      <w:r w:rsidR="00B57FF4" w:rsidRPr="00E1678F">
        <w:rPr>
          <w:rFonts w:ascii="Arial" w:hAnsi="Arial" w:cs="Arial"/>
          <w:sz w:val="20"/>
          <w:szCs w:val="20"/>
          <w:lang w:val="en-US"/>
        </w:rPr>
        <w:t xml:space="preserve"> was performed </w:t>
      </w:r>
      <w:r w:rsidR="00651975">
        <w:rPr>
          <w:rFonts w:ascii="Arial" w:hAnsi="Arial" w:cs="Arial"/>
          <w:sz w:val="20"/>
          <w:szCs w:val="20"/>
          <w:lang w:val="en-US"/>
        </w:rPr>
        <w:t>and assembled sequences were</w:t>
      </w:r>
      <w:r w:rsidR="00B57FF4" w:rsidRPr="00E1678F">
        <w:rPr>
          <w:rFonts w:ascii="Arial" w:hAnsi="Arial" w:cs="Arial"/>
          <w:sz w:val="20"/>
          <w:szCs w:val="20"/>
          <w:lang w:val="en-US"/>
        </w:rPr>
        <w:t xml:space="preserve"> deposited in GenBank.</w:t>
      </w:r>
    </w:p>
    <w:p w:rsidR="000601A6" w:rsidRPr="00E1678F" w:rsidRDefault="000601A6" w:rsidP="00E167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331C6B" w:rsidRPr="00E1678F" w:rsidRDefault="003244C4" w:rsidP="00E167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val="en-US"/>
        </w:rPr>
      </w:pPr>
      <w:r w:rsidRPr="00E1678F">
        <w:rPr>
          <w:rFonts w:ascii="Arial" w:hAnsi="Arial" w:cs="Arial"/>
          <w:b/>
          <w:sz w:val="20"/>
          <w:szCs w:val="20"/>
          <w:lang w:val="en-US"/>
        </w:rPr>
        <w:t>Table 1</w:t>
      </w:r>
      <w:r w:rsidR="00651975">
        <w:rPr>
          <w:rFonts w:ascii="Arial" w:hAnsi="Arial" w:cs="Arial"/>
          <w:sz w:val="20"/>
          <w:szCs w:val="20"/>
          <w:lang w:val="en-US"/>
        </w:rPr>
        <w:t>: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 Phytoplasma</w:t>
      </w:r>
      <w:r w:rsidR="000A256E">
        <w:rPr>
          <w:rFonts w:ascii="Arial" w:hAnsi="Arial" w:cs="Arial"/>
          <w:sz w:val="20"/>
          <w:szCs w:val="20"/>
          <w:lang w:val="en-US"/>
        </w:rPr>
        <w:t>s</w:t>
      </w:r>
      <w:r w:rsidR="00EC0EE8">
        <w:rPr>
          <w:rFonts w:ascii="Arial" w:hAnsi="Arial" w:cs="Arial"/>
          <w:sz w:val="20"/>
          <w:szCs w:val="20"/>
          <w:lang w:val="en-US"/>
        </w:rPr>
        <w:t xml:space="preserve"> detected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 in plants and insect samples during</w:t>
      </w:r>
      <w:r w:rsidR="00EC0EE8">
        <w:rPr>
          <w:rFonts w:ascii="Arial" w:hAnsi="Arial" w:cs="Arial"/>
          <w:sz w:val="20"/>
          <w:szCs w:val="20"/>
          <w:lang w:val="en-US"/>
        </w:rPr>
        <w:t xml:space="preserve"> 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surveys in Treviso province vineyards. </w:t>
      </w:r>
      <w:r w:rsidRPr="000A256E">
        <w:rPr>
          <w:rFonts w:ascii="Arial" w:hAnsi="Arial" w:cs="Arial"/>
          <w:sz w:val="20"/>
          <w:szCs w:val="20"/>
          <w:lang w:val="en-US"/>
        </w:rPr>
        <w:t>Insect numbers are referred to batches of 1 to 2 individuals.</w:t>
      </w:r>
    </w:p>
    <w:tbl>
      <w:tblPr>
        <w:tblW w:w="4915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6"/>
        <w:gridCol w:w="963"/>
        <w:gridCol w:w="572"/>
        <w:gridCol w:w="523"/>
        <w:gridCol w:w="645"/>
        <w:gridCol w:w="625"/>
        <w:gridCol w:w="397"/>
        <w:gridCol w:w="523"/>
        <w:gridCol w:w="404"/>
        <w:gridCol w:w="744"/>
        <w:gridCol w:w="33"/>
        <w:gridCol w:w="804"/>
        <w:gridCol w:w="67"/>
        <w:gridCol w:w="695"/>
        <w:gridCol w:w="62"/>
        <w:gridCol w:w="730"/>
      </w:tblGrid>
      <w:tr w:rsidR="00EC0EE8" w:rsidRPr="00E1678F" w:rsidTr="009D2112">
        <w:trPr>
          <w:trHeight w:val="294"/>
          <w:jc w:val="center"/>
        </w:trPr>
        <w:tc>
          <w:tcPr>
            <w:tcW w:w="700" w:type="pct"/>
            <w:vMerge w:val="restart"/>
            <w:tcBorders>
              <w:top w:val="single" w:sz="12" w:space="0" w:color="000000" w:themeColor="text1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C0EE8" w:rsidRPr="00E1678F" w:rsidRDefault="00EC0EE8" w:rsidP="00EC0EE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1678F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Samples</w:t>
            </w:r>
            <w:proofErr w:type="spellEnd"/>
          </w:p>
        </w:tc>
        <w:tc>
          <w:tcPr>
            <w:tcW w:w="532" w:type="pct"/>
            <w:vMerge w:val="restart"/>
            <w:tcBorders>
              <w:top w:val="single" w:sz="12" w:space="0" w:color="000000" w:themeColor="text1"/>
              <w:bottom w:val="single" w:sz="4" w:space="0" w:color="auto"/>
            </w:tcBorders>
            <w:shd w:val="clear" w:color="000000" w:fill="FFFFFF"/>
            <w:vAlign w:val="center"/>
          </w:tcPr>
          <w:p w:rsidR="00EC0EE8" w:rsidRPr="00E1678F" w:rsidRDefault="00EC0EE8" w:rsidP="00EC0EE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1678F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Samples</w:t>
            </w:r>
            <w:proofErr w:type="spellEnd"/>
            <w:r w:rsidRPr="00E1678F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positive/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collected</w:t>
            </w:r>
            <w:proofErr w:type="spellEnd"/>
          </w:p>
        </w:tc>
        <w:tc>
          <w:tcPr>
            <w:tcW w:w="3768" w:type="pct"/>
            <w:gridSpan w:val="14"/>
            <w:tcBorders>
              <w:top w:val="single" w:sz="12" w:space="0" w:color="000000" w:themeColor="text1"/>
              <w:bottom w:val="single" w:sz="4" w:space="0" w:color="auto"/>
            </w:tcBorders>
            <w:shd w:val="clear" w:color="000000" w:fill="FFFFFF"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16Sr </w:t>
            </w:r>
            <w:proofErr w:type="spellStart"/>
            <w:r w:rsidRPr="00E1678F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group</w:t>
            </w:r>
            <w:proofErr w:type="spellEnd"/>
            <w:r w:rsidRPr="00E1678F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/</w:t>
            </w:r>
            <w:proofErr w:type="spellStart"/>
            <w:r w:rsidRPr="00E1678F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subgroup</w:t>
            </w:r>
            <w:proofErr w:type="spellEnd"/>
          </w:p>
        </w:tc>
      </w:tr>
      <w:tr w:rsidR="00EC0EE8" w:rsidRPr="00E1678F" w:rsidTr="00EC0EE8">
        <w:trPr>
          <w:trHeight w:val="552"/>
          <w:jc w:val="center"/>
        </w:trPr>
        <w:tc>
          <w:tcPr>
            <w:tcW w:w="700" w:type="pct"/>
            <w:vMerge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C0EE8" w:rsidRPr="00E1678F" w:rsidRDefault="00EC0EE8" w:rsidP="00EC0EE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" w:type="pct"/>
            <w:vMerge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6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V-C</w:t>
            </w:r>
          </w:p>
        </w:tc>
        <w:tc>
          <w:tcPr>
            <w:tcW w:w="289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V-D</w:t>
            </w:r>
          </w:p>
        </w:tc>
        <w:tc>
          <w:tcPr>
            <w:tcW w:w="356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XII-A</w:t>
            </w:r>
          </w:p>
        </w:tc>
        <w:tc>
          <w:tcPr>
            <w:tcW w:w="345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VII-A</w:t>
            </w:r>
          </w:p>
        </w:tc>
        <w:tc>
          <w:tcPr>
            <w:tcW w:w="219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VI</w:t>
            </w:r>
          </w:p>
        </w:tc>
        <w:tc>
          <w:tcPr>
            <w:tcW w:w="289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X-B</w:t>
            </w:r>
          </w:p>
        </w:tc>
        <w:tc>
          <w:tcPr>
            <w:tcW w:w="223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I-B</w:t>
            </w:r>
          </w:p>
        </w:tc>
        <w:tc>
          <w:tcPr>
            <w:tcW w:w="411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EC0EE8" w:rsidRPr="00E1678F" w:rsidRDefault="00EC0EE8" w:rsidP="00EC0EE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V-C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E1678F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+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E1678F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V-D</w:t>
            </w:r>
          </w:p>
        </w:tc>
        <w:tc>
          <w:tcPr>
            <w:tcW w:w="499" w:type="pct"/>
            <w:gridSpan w:val="3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V-C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E1678F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+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E1678F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XII-A</w:t>
            </w:r>
          </w:p>
        </w:tc>
        <w:tc>
          <w:tcPr>
            <w:tcW w:w="418" w:type="pct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V-C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E1678F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+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E1678F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VII-A</w:t>
            </w:r>
          </w:p>
        </w:tc>
        <w:tc>
          <w:tcPr>
            <w:tcW w:w="403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V-A</w:t>
            </w:r>
          </w:p>
        </w:tc>
      </w:tr>
      <w:tr w:rsidR="00EC0EE8" w:rsidRPr="00E1678F" w:rsidTr="00EC0EE8">
        <w:trPr>
          <w:trHeight w:val="230"/>
          <w:jc w:val="center"/>
        </w:trPr>
        <w:tc>
          <w:tcPr>
            <w:tcW w:w="700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EC0EE8" w:rsidRPr="00E1678F" w:rsidRDefault="00EC0EE8" w:rsidP="00EC0EE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EC0EE8" w:rsidRPr="00E1678F" w:rsidRDefault="00EC0EE8" w:rsidP="00E167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6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EC0EE8" w:rsidRPr="00E1678F" w:rsidRDefault="00EC0EE8" w:rsidP="00E167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9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EC0EE8" w:rsidRPr="00E1678F" w:rsidRDefault="00EC0EE8" w:rsidP="00E167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6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EC0EE8" w:rsidRPr="00E1678F" w:rsidRDefault="00EC0EE8" w:rsidP="00E167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5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EC0EE8" w:rsidRPr="00E1678F" w:rsidRDefault="00EC0EE8" w:rsidP="00E167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EC0EE8" w:rsidRPr="00E1678F" w:rsidRDefault="00EC0EE8" w:rsidP="00E167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9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EC0EE8" w:rsidRPr="00E1678F" w:rsidRDefault="00EC0EE8" w:rsidP="00E167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3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EC0EE8" w:rsidRPr="00E1678F" w:rsidRDefault="00EC0EE8" w:rsidP="00E167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EC0EE8" w:rsidRPr="00E1678F" w:rsidRDefault="00EC0EE8" w:rsidP="00E167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9" w:type="pct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EC0EE8" w:rsidRPr="00E1678F" w:rsidRDefault="00EC0EE8" w:rsidP="00E167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pct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EC0EE8" w:rsidRPr="00E1678F" w:rsidRDefault="00EC0EE8" w:rsidP="00E167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3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EC0EE8" w:rsidRPr="00E1678F" w:rsidRDefault="00EC0EE8" w:rsidP="00E167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EC0EE8" w:rsidRPr="00E1678F" w:rsidTr="00EC0EE8">
        <w:trPr>
          <w:trHeight w:val="130"/>
          <w:jc w:val="center"/>
        </w:trPr>
        <w:tc>
          <w:tcPr>
            <w:tcW w:w="700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EC0EE8" w:rsidRPr="00E1678F" w:rsidRDefault="00EC0EE8" w:rsidP="00EC0EE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1678F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Grapevines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103/</w:t>
            </w:r>
            <w:r w:rsidRPr="00E1678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161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C0EE8" w:rsidRPr="00E1678F" w:rsidTr="00EC0EE8">
        <w:trPr>
          <w:trHeight w:val="230"/>
          <w:jc w:val="center"/>
        </w:trPr>
        <w:tc>
          <w:tcPr>
            <w:tcW w:w="700" w:type="pct"/>
            <w:shd w:val="clear" w:color="000000" w:fill="FFFFFF"/>
            <w:noWrap/>
            <w:vAlign w:val="bottom"/>
          </w:tcPr>
          <w:p w:rsidR="00EC0EE8" w:rsidRPr="00E1678F" w:rsidRDefault="00EC0EE8" w:rsidP="00EC0EE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S. </w:t>
            </w:r>
            <w:proofErr w:type="spellStart"/>
            <w:r w:rsidRPr="00E1678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titanus</w:t>
            </w:r>
            <w:proofErr w:type="spellEnd"/>
          </w:p>
        </w:tc>
        <w:tc>
          <w:tcPr>
            <w:tcW w:w="532" w:type="pct"/>
            <w:shd w:val="clear" w:color="000000" w:fill="FFFFFF"/>
            <w:noWrap/>
            <w:vAlign w:val="bottom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14/</w:t>
            </w:r>
            <w:r w:rsidRPr="00E1678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16" w:type="pct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45" w:type="pct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9" w:type="pct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23" w:type="pct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29" w:type="pct"/>
            <w:gridSpan w:val="2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4" w:type="pct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1" w:type="pct"/>
            <w:gridSpan w:val="2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7" w:type="pct"/>
            <w:gridSpan w:val="2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C0EE8" w:rsidRPr="00E1678F" w:rsidTr="00EC0EE8">
        <w:trPr>
          <w:trHeight w:val="104"/>
          <w:jc w:val="center"/>
        </w:trPr>
        <w:tc>
          <w:tcPr>
            <w:tcW w:w="700" w:type="pct"/>
            <w:shd w:val="clear" w:color="000000" w:fill="FFFFFF"/>
            <w:noWrap/>
            <w:vAlign w:val="center"/>
          </w:tcPr>
          <w:p w:rsidR="00EC0EE8" w:rsidRPr="00E1678F" w:rsidRDefault="00EC0EE8" w:rsidP="00EC0EE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O.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1678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ishidae</w:t>
            </w:r>
            <w:proofErr w:type="spellEnd"/>
          </w:p>
        </w:tc>
        <w:tc>
          <w:tcPr>
            <w:tcW w:w="532" w:type="pct"/>
            <w:shd w:val="clear" w:color="000000" w:fill="FFFFFF"/>
            <w:noWrap/>
            <w:vAlign w:val="bottom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22/</w:t>
            </w:r>
            <w:r w:rsidRPr="00E1678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316" w:type="pct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45" w:type="pct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9" w:type="pct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3" w:type="pct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29" w:type="pct"/>
            <w:gridSpan w:val="2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4" w:type="pct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21" w:type="pct"/>
            <w:gridSpan w:val="2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7" w:type="pct"/>
            <w:gridSpan w:val="2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C0EE8" w:rsidRPr="00E1678F" w:rsidTr="00EC0EE8">
        <w:trPr>
          <w:trHeight w:val="164"/>
          <w:jc w:val="center"/>
        </w:trPr>
        <w:tc>
          <w:tcPr>
            <w:tcW w:w="700" w:type="pct"/>
            <w:shd w:val="clear" w:color="000000" w:fill="FFFFFF"/>
            <w:noWrap/>
            <w:vAlign w:val="bottom"/>
          </w:tcPr>
          <w:p w:rsidR="00EC0EE8" w:rsidRPr="00E1678F" w:rsidRDefault="00EC0EE8" w:rsidP="00EC0EE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H.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E1678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obsoletus</w:t>
            </w:r>
          </w:p>
        </w:tc>
        <w:tc>
          <w:tcPr>
            <w:tcW w:w="532" w:type="pct"/>
            <w:shd w:val="clear" w:color="000000" w:fill="FFFFFF"/>
            <w:noWrap/>
            <w:vAlign w:val="bottom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10/</w:t>
            </w:r>
            <w:r w:rsidRPr="00E1678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16" w:type="pct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45" w:type="pct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3" w:type="pct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29" w:type="pct"/>
            <w:gridSpan w:val="2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4" w:type="pct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1" w:type="pct"/>
            <w:gridSpan w:val="2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7" w:type="pct"/>
            <w:gridSpan w:val="2"/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C0EE8" w:rsidRPr="00E1678F" w:rsidTr="009D2112">
        <w:trPr>
          <w:trHeight w:val="73"/>
          <w:jc w:val="center"/>
        </w:trPr>
        <w:tc>
          <w:tcPr>
            <w:tcW w:w="700" w:type="pct"/>
            <w:tcBorders>
              <w:bottom w:val="single" w:sz="12" w:space="0" w:color="000000" w:themeColor="text1"/>
            </w:tcBorders>
            <w:shd w:val="clear" w:color="000000" w:fill="FFFFFF"/>
            <w:noWrap/>
            <w:vAlign w:val="center"/>
          </w:tcPr>
          <w:p w:rsidR="00EC0EE8" w:rsidRPr="00E1678F" w:rsidRDefault="00EC0EE8" w:rsidP="00EC0EE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1678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H.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1678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hamatus</w:t>
            </w:r>
            <w:proofErr w:type="spellEnd"/>
          </w:p>
        </w:tc>
        <w:tc>
          <w:tcPr>
            <w:tcW w:w="532" w:type="pct"/>
            <w:tcBorders>
              <w:bottom w:val="single" w:sz="12" w:space="0" w:color="000000" w:themeColor="text1"/>
            </w:tcBorders>
            <w:shd w:val="clear" w:color="000000" w:fill="FFFFFF"/>
            <w:noWrap/>
            <w:vAlign w:val="bottom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0/</w:t>
            </w:r>
            <w:r w:rsidRPr="00E1678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16" w:type="pct"/>
            <w:tcBorders>
              <w:bottom w:val="single" w:sz="12" w:space="0" w:color="000000" w:themeColor="text1"/>
            </w:tcBorders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9" w:type="pct"/>
            <w:tcBorders>
              <w:bottom w:val="single" w:sz="12" w:space="0" w:color="000000" w:themeColor="text1"/>
            </w:tcBorders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6" w:type="pct"/>
            <w:tcBorders>
              <w:bottom w:val="single" w:sz="12" w:space="0" w:color="000000" w:themeColor="text1"/>
            </w:tcBorders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5" w:type="pct"/>
            <w:tcBorders>
              <w:bottom w:val="single" w:sz="12" w:space="0" w:color="000000" w:themeColor="text1"/>
            </w:tcBorders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" w:type="pct"/>
            <w:tcBorders>
              <w:bottom w:val="single" w:sz="12" w:space="0" w:color="000000" w:themeColor="text1"/>
            </w:tcBorders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9" w:type="pct"/>
            <w:tcBorders>
              <w:bottom w:val="single" w:sz="12" w:space="0" w:color="000000" w:themeColor="text1"/>
            </w:tcBorders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3" w:type="pct"/>
            <w:tcBorders>
              <w:bottom w:val="single" w:sz="12" w:space="0" w:color="000000" w:themeColor="text1"/>
            </w:tcBorders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9" w:type="pct"/>
            <w:gridSpan w:val="2"/>
            <w:tcBorders>
              <w:bottom w:val="single" w:sz="12" w:space="0" w:color="000000" w:themeColor="text1"/>
            </w:tcBorders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4" w:type="pct"/>
            <w:tcBorders>
              <w:bottom w:val="single" w:sz="12" w:space="0" w:color="000000" w:themeColor="text1"/>
            </w:tcBorders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1" w:type="pct"/>
            <w:gridSpan w:val="2"/>
            <w:tcBorders>
              <w:bottom w:val="single" w:sz="12" w:space="0" w:color="000000" w:themeColor="text1"/>
            </w:tcBorders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7" w:type="pct"/>
            <w:gridSpan w:val="2"/>
            <w:tcBorders>
              <w:bottom w:val="single" w:sz="12" w:space="0" w:color="000000" w:themeColor="text1"/>
            </w:tcBorders>
            <w:shd w:val="clear" w:color="000000" w:fill="FFFFFF"/>
            <w:noWrap/>
            <w:vAlign w:val="center"/>
          </w:tcPr>
          <w:p w:rsidR="00EC0EE8" w:rsidRPr="00E1678F" w:rsidRDefault="00EC0EE8" w:rsidP="00E16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651975" w:rsidRDefault="00651975" w:rsidP="006519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val="en-US"/>
        </w:rPr>
      </w:pPr>
    </w:p>
    <w:p w:rsidR="000A256E" w:rsidRDefault="000A256E" w:rsidP="006519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val="en-US"/>
        </w:rPr>
      </w:pPr>
    </w:p>
    <w:p w:rsidR="00651975" w:rsidRPr="00E1678F" w:rsidRDefault="00651975" w:rsidP="006519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val="en-US"/>
        </w:rPr>
      </w:pPr>
      <w:r w:rsidRPr="00E1678F">
        <w:rPr>
          <w:rFonts w:ascii="Arial" w:hAnsi="Arial" w:cs="Arial"/>
          <w:b/>
          <w:caps/>
          <w:sz w:val="20"/>
          <w:szCs w:val="20"/>
          <w:lang w:val="en-US"/>
        </w:rPr>
        <w:t>Results and discussion</w:t>
      </w:r>
    </w:p>
    <w:p w:rsidR="00651975" w:rsidRPr="00E1678F" w:rsidRDefault="00651975" w:rsidP="006519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val="en-US"/>
        </w:rPr>
      </w:pPr>
      <w:r w:rsidRPr="00E1678F">
        <w:rPr>
          <w:rFonts w:ascii="Arial" w:hAnsi="Arial" w:cs="Arial"/>
          <w:sz w:val="20"/>
          <w:szCs w:val="20"/>
          <w:lang w:val="en-US" w:eastAsia="it-IT"/>
        </w:rPr>
        <w:t xml:space="preserve">The three years monitoring highlighted a significant percentage of phytoplasma positive plants in both, symptomatic (about 75%) and asymptomatic (about 40%) grapevine plants, with a prevalence of FD strains. </w:t>
      </w:r>
      <w:r>
        <w:rPr>
          <w:rFonts w:ascii="Arial" w:hAnsi="Arial" w:cs="Arial"/>
          <w:sz w:val="20"/>
          <w:szCs w:val="20"/>
          <w:lang w:val="en-US" w:eastAsia="it-IT"/>
        </w:rPr>
        <w:t>D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uring 2015 the presence of phytoplasma strains belonging to 16SrVI (4 samples) and 16SrVII ribosomal group (9 samples), both in single and in mixed infection was </w:t>
      </w:r>
      <w:r>
        <w:rPr>
          <w:rFonts w:ascii="Arial" w:hAnsi="Arial" w:cs="Arial"/>
          <w:sz w:val="20"/>
          <w:szCs w:val="20"/>
          <w:lang w:val="en-US"/>
        </w:rPr>
        <w:t xml:space="preserve">also 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detected in the 18% of the tested samples, mainly in asymptomatic plants. Moreover, phytoplasmas belonging to ribosomal groups 16SrI-B, 16SrV-A and 16SrX-B were occasionally detected in 12 samples (Table 1). Identification of phytoplasmas from insects showed the presence of 16SrXII-A, 16SrVII and 16SrVI in specimens of </w:t>
      </w:r>
      <w:r w:rsidRPr="00E1678F">
        <w:rPr>
          <w:rFonts w:ascii="Arial" w:hAnsi="Arial" w:cs="Arial"/>
          <w:i/>
          <w:sz w:val="20"/>
          <w:szCs w:val="20"/>
          <w:lang w:val="en-US"/>
        </w:rPr>
        <w:t>S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E1678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E1678F">
        <w:rPr>
          <w:rFonts w:ascii="Arial" w:hAnsi="Arial" w:cs="Arial"/>
          <w:i/>
          <w:sz w:val="20"/>
          <w:szCs w:val="20"/>
          <w:lang w:val="en-US"/>
        </w:rPr>
        <w:t>titanus</w:t>
      </w:r>
      <w:proofErr w:type="spellEnd"/>
      <w:r w:rsidRPr="00E1678F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E1678F">
        <w:rPr>
          <w:rFonts w:ascii="Arial" w:hAnsi="Arial" w:cs="Arial"/>
          <w:i/>
          <w:sz w:val="20"/>
          <w:szCs w:val="20"/>
          <w:lang w:val="en-US"/>
        </w:rPr>
        <w:t>O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E1678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E1678F">
        <w:rPr>
          <w:rFonts w:ascii="Arial" w:hAnsi="Arial" w:cs="Arial"/>
          <w:i/>
          <w:sz w:val="20"/>
          <w:szCs w:val="20"/>
          <w:lang w:val="en-US"/>
        </w:rPr>
        <w:t>ishidae</w:t>
      </w:r>
      <w:proofErr w:type="spellEnd"/>
      <w:r w:rsidRPr="00E1678F">
        <w:rPr>
          <w:rFonts w:ascii="Arial" w:hAnsi="Arial" w:cs="Arial"/>
          <w:sz w:val="20"/>
          <w:szCs w:val="20"/>
          <w:lang w:val="en-US"/>
        </w:rPr>
        <w:t>, while</w:t>
      </w:r>
      <w:r w:rsidRPr="00E1678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16SrXII-A and 16SrI-B phytoplasma strains were identified in </w:t>
      </w:r>
      <w:r w:rsidRPr="00E1678F">
        <w:rPr>
          <w:rFonts w:ascii="Arial" w:hAnsi="Arial" w:cs="Arial"/>
          <w:i/>
          <w:sz w:val="20"/>
          <w:szCs w:val="20"/>
          <w:lang w:val="en-US"/>
        </w:rPr>
        <w:t xml:space="preserve">O. </w:t>
      </w:r>
      <w:proofErr w:type="spellStart"/>
      <w:r w:rsidRPr="00E1678F">
        <w:rPr>
          <w:rFonts w:ascii="Arial" w:hAnsi="Arial" w:cs="Arial"/>
          <w:i/>
          <w:sz w:val="20"/>
          <w:szCs w:val="20"/>
          <w:lang w:val="en-US"/>
        </w:rPr>
        <w:t>ishidae</w:t>
      </w:r>
      <w:proofErr w:type="spellEnd"/>
      <w:r w:rsidRPr="00E1678F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E1678F">
        <w:rPr>
          <w:rFonts w:ascii="Arial" w:hAnsi="Arial" w:cs="Arial"/>
          <w:i/>
          <w:sz w:val="20"/>
          <w:szCs w:val="20"/>
          <w:lang w:val="en-US"/>
        </w:rPr>
        <w:t>H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E1678F">
        <w:rPr>
          <w:rFonts w:ascii="Arial" w:hAnsi="Arial" w:cs="Arial"/>
          <w:i/>
          <w:sz w:val="20"/>
          <w:szCs w:val="20"/>
          <w:lang w:val="en-US"/>
        </w:rPr>
        <w:t xml:space="preserve"> obsoletus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, and 16SrX-B in </w:t>
      </w:r>
      <w:r w:rsidRPr="00E1678F">
        <w:rPr>
          <w:rFonts w:ascii="Arial" w:hAnsi="Arial" w:cs="Arial"/>
          <w:i/>
          <w:sz w:val="20"/>
          <w:szCs w:val="20"/>
          <w:lang w:val="en-US"/>
        </w:rPr>
        <w:t xml:space="preserve">S. </w:t>
      </w:r>
      <w:proofErr w:type="spellStart"/>
      <w:r w:rsidRPr="00E1678F">
        <w:rPr>
          <w:rFonts w:ascii="Arial" w:hAnsi="Arial" w:cs="Arial"/>
          <w:i/>
          <w:sz w:val="20"/>
          <w:szCs w:val="20"/>
          <w:lang w:val="en-US"/>
        </w:rPr>
        <w:t>titanus</w:t>
      </w:r>
      <w:proofErr w:type="spellEnd"/>
      <w:r w:rsidRPr="00E1678F">
        <w:rPr>
          <w:rFonts w:ascii="Arial" w:hAnsi="Arial" w:cs="Arial"/>
          <w:sz w:val="20"/>
          <w:szCs w:val="20"/>
          <w:lang w:val="en-US"/>
        </w:rPr>
        <w:t xml:space="preserve">. </w:t>
      </w:r>
      <w:r w:rsidRPr="00E1678F">
        <w:rPr>
          <w:rStyle w:val="Rimandocommento"/>
          <w:rFonts w:ascii="Arial" w:hAnsi="Arial" w:cs="Arial"/>
          <w:sz w:val="20"/>
          <w:szCs w:val="20"/>
          <w:lang w:val="en-US"/>
        </w:rPr>
        <w:t>(Table 1)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. </w:t>
      </w:r>
      <w:r w:rsidRPr="00E1678F">
        <w:rPr>
          <w:rFonts w:ascii="Arial" w:hAnsi="Arial" w:cs="Arial"/>
          <w:sz w:val="20"/>
          <w:szCs w:val="20"/>
          <w:lang w:val="en-US" w:eastAsia="it-IT"/>
        </w:rPr>
        <w:t>The results of this st</w:t>
      </w:r>
      <w:r>
        <w:rPr>
          <w:rFonts w:ascii="Arial" w:hAnsi="Arial" w:cs="Arial"/>
          <w:sz w:val="20"/>
          <w:szCs w:val="20"/>
          <w:lang w:val="en-US" w:eastAsia="it-IT"/>
        </w:rPr>
        <w:t xml:space="preserve">udy confirm that GYs diseases in </w:t>
      </w:r>
      <w:r w:rsidRPr="00E1678F">
        <w:rPr>
          <w:rFonts w:ascii="Arial" w:hAnsi="Arial" w:cs="Arial"/>
          <w:sz w:val="20"/>
          <w:szCs w:val="20"/>
          <w:lang w:val="en-US" w:eastAsia="it-IT"/>
        </w:rPr>
        <w:t>one o</w:t>
      </w:r>
      <w:r>
        <w:rPr>
          <w:rFonts w:ascii="Arial" w:hAnsi="Arial" w:cs="Arial"/>
          <w:sz w:val="20"/>
          <w:szCs w:val="20"/>
          <w:lang w:val="en-US" w:eastAsia="it-IT"/>
        </w:rPr>
        <w:t xml:space="preserve">f the most important </w:t>
      </w:r>
      <w:proofErr w:type="spellStart"/>
      <w:r>
        <w:rPr>
          <w:rFonts w:ascii="Arial" w:hAnsi="Arial" w:cs="Arial"/>
          <w:sz w:val="20"/>
          <w:szCs w:val="20"/>
          <w:lang w:val="en-US" w:eastAsia="it-IT"/>
        </w:rPr>
        <w:t>viticultural</w:t>
      </w:r>
      <w:proofErr w:type="spellEnd"/>
      <w:r>
        <w:rPr>
          <w:rFonts w:ascii="Arial" w:hAnsi="Arial" w:cs="Arial"/>
          <w:sz w:val="20"/>
          <w:szCs w:val="20"/>
          <w:lang w:val="en-US" w:eastAsia="it-IT"/>
        </w:rPr>
        <w:t xml:space="preserve"> areas in Italy are</w:t>
      </w:r>
      <w:r w:rsidRPr="00E1678F">
        <w:rPr>
          <w:rFonts w:ascii="Arial" w:hAnsi="Arial" w:cs="Arial"/>
          <w:sz w:val="20"/>
          <w:szCs w:val="20"/>
          <w:lang w:val="en-US" w:eastAsia="it-IT"/>
        </w:rPr>
        <w:t xml:space="preserve"> associated with </w:t>
      </w:r>
      <w:r w:rsidRPr="00E1678F">
        <w:rPr>
          <w:rFonts w:ascii="Arial" w:hAnsi="Arial" w:cs="Arial"/>
          <w:sz w:val="20"/>
          <w:szCs w:val="20"/>
          <w:lang w:val="en-US" w:eastAsia="it-IT"/>
        </w:rPr>
        <w:lastRenderedPageBreak/>
        <w:t xml:space="preserve">the presence of different phytoplasmas and diverse insects vectors. The number of </w:t>
      </w:r>
      <w:r w:rsidRPr="00E1678F">
        <w:rPr>
          <w:rFonts w:ascii="Arial" w:hAnsi="Arial" w:cs="Arial"/>
          <w:i/>
          <w:sz w:val="20"/>
          <w:szCs w:val="20"/>
          <w:lang w:val="en-US" w:eastAsia="it-IT"/>
        </w:rPr>
        <w:t xml:space="preserve">O. </w:t>
      </w:r>
      <w:proofErr w:type="spellStart"/>
      <w:r w:rsidRPr="00E1678F">
        <w:rPr>
          <w:rFonts w:ascii="Arial" w:hAnsi="Arial" w:cs="Arial"/>
          <w:i/>
          <w:sz w:val="20"/>
          <w:szCs w:val="20"/>
          <w:lang w:val="en-US" w:eastAsia="it-IT"/>
        </w:rPr>
        <w:t>ishidae</w:t>
      </w:r>
      <w:proofErr w:type="spellEnd"/>
      <w:r w:rsidRPr="00E1678F">
        <w:rPr>
          <w:rFonts w:ascii="Arial" w:hAnsi="Arial" w:cs="Arial"/>
          <w:sz w:val="20"/>
          <w:szCs w:val="20"/>
          <w:lang w:val="en-US" w:eastAsia="it-IT"/>
        </w:rPr>
        <w:t xml:space="preserve"> captured in the selected vineyards is significantly higher than previously reported in North-West Italy and Switzerland, where the insect was quite uncommon and was collected under low density situations (Casati et al.</w:t>
      </w:r>
      <w:r>
        <w:rPr>
          <w:rFonts w:ascii="Arial" w:hAnsi="Arial" w:cs="Arial"/>
          <w:sz w:val="20"/>
          <w:szCs w:val="20"/>
          <w:lang w:val="en-US" w:eastAsia="it-IT"/>
        </w:rPr>
        <w:t>,</w:t>
      </w:r>
      <w:r w:rsidRPr="00E1678F">
        <w:rPr>
          <w:rFonts w:ascii="Arial" w:hAnsi="Arial" w:cs="Arial"/>
          <w:sz w:val="20"/>
          <w:szCs w:val="20"/>
          <w:lang w:val="en-US" w:eastAsia="it-IT"/>
        </w:rPr>
        <w:t xml:space="preserve"> 2017). Moreover the three insect species positive to phytoplasmas were carrying indeed different ribosomal groups reported as associated to GY diseases in Chile and Iran</w:t>
      </w:r>
      <w:r>
        <w:rPr>
          <w:rFonts w:ascii="Arial" w:hAnsi="Arial" w:cs="Arial"/>
          <w:sz w:val="20"/>
          <w:szCs w:val="20"/>
          <w:lang w:val="en-US" w:eastAsia="it-IT"/>
        </w:rPr>
        <w:t xml:space="preserve"> respectively</w:t>
      </w:r>
      <w:r w:rsidRPr="00E1678F">
        <w:rPr>
          <w:rFonts w:ascii="Arial" w:hAnsi="Arial" w:cs="Arial"/>
          <w:sz w:val="20"/>
          <w:szCs w:val="20"/>
          <w:lang w:val="en-US" w:eastAsia="it-IT"/>
        </w:rPr>
        <w:t xml:space="preserve"> (16SrVII; </w:t>
      </w:r>
      <w:proofErr w:type="spellStart"/>
      <w:r w:rsidRPr="00E1678F">
        <w:rPr>
          <w:rFonts w:ascii="Arial" w:hAnsi="Arial" w:cs="Arial"/>
          <w:sz w:val="20"/>
          <w:szCs w:val="20"/>
          <w:lang w:val="en-US" w:eastAsia="it-IT"/>
        </w:rPr>
        <w:t>Gajardo</w:t>
      </w:r>
      <w:proofErr w:type="spellEnd"/>
      <w:r>
        <w:rPr>
          <w:rFonts w:ascii="Arial" w:hAnsi="Arial" w:cs="Arial"/>
          <w:sz w:val="20"/>
          <w:szCs w:val="20"/>
          <w:lang w:val="en-US" w:eastAsia="it-IT"/>
        </w:rPr>
        <w:t xml:space="preserve"> </w:t>
      </w:r>
      <w:r w:rsidRPr="00E1678F">
        <w:rPr>
          <w:rFonts w:ascii="Arial" w:hAnsi="Arial" w:cs="Arial"/>
          <w:sz w:val="20"/>
          <w:szCs w:val="20"/>
          <w:lang w:val="en-US" w:eastAsia="it-IT"/>
        </w:rPr>
        <w:t>et al.</w:t>
      </w:r>
      <w:r>
        <w:rPr>
          <w:rFonts w:ascii="Arial" w:hAnsi="Arial" w:cs="Arial"/>
          <w:sz w:val="20"/>
          <w:szCs w:val="20"/>
          <w:lang w:val="en-US" w:eastAsia="it-IT"/>
        </w:rPr>
        <w:t>,</w:t>
      </w:r>
      <w:r w:rsidRPr="00E1678F">
        <w:rPr>
          <w:rFonts w:ascii="Arial" w:hAnsi="Arial" w:cs="Arial"/>
          <w:sz w:val="20"/>
          <w:szCs w:val="20"/>
          <w:lang w:val="en-US" w:eastAsia="it-IT"/>
        </w:rPr>
        <w:t xml:space="preserve"> 2009; Zamharir et al.</w:t>
      </w:r>
      <w:r>
        <w:rPr>
          <w:rFonts w:ascii="Arial" w:hAnsi="Arial" w:cs="Arial"/>
          <w:sz w:val="20"/>
          <w:szCs w:val="20"/>
          <w:lang w:val="en-US" w:eastAsia="it-IT"/>
        </w:rPr>
        <w:t>,</w:t>
      </w:r>
      <w:r w:rsidRPr="00E1678F">
        <w:rPr>
          <w:rFonts w:ascii="Arial" w:hAnsi="Arial" w:cs="Arial"/>
          <w:sz w:val="20"/>
          <w:szCs w:val="20"/>
          <w:lang w:val="en-US" w:eastAsia="it-IT"/>
        </w:rPr>
        <w:t xml:space="preserve"> 2017) and occasionally in Syria (16SrVI; Contaldo et al.</w:t>
      </w:r>
      <w:r>
        <w:rPr>
          <w:rFonts w:ascii="Arial" w:hAnsi="Arial" w:cs="Arial"/>
          <w:sz w:val="20"/>
          <w:szCs w:val="20"/>
          <w:lang w:val="en-US" w:eastAsia="it-IT"/>
        </w:rPr>
        <w:t>,</w:t>
      </w:r>
      <w:r w:rsidRPr="00E1678F">
        <w:rPr>
          <w:rFonts w:ascii="Arial" w:hAnsi="Arial" w:cs="Arial"/>
          <w:sz w:val="20"/>
          <w:szCs w:val="20"/>
          <w:lang w:val="en-US" w:eastAsia="it-IT"/>
        </w:rPr>
        <w:t xml:space="preserve"> 2011). </w:t>
      </w:r>
      <w:r w:rsidRPr="00E1678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The 16SrVII-A and 16SrVI phytoplasmas were never detected before in Europe in grapevine, </w:t>
      </w:r>
      <w:r w:rsidRPr="00E1678F">
        <w:rPr>
          <w:rFonts w:ascii="Arial" w:hAnsi="Arial" w:cs="Arial"/>
          <w:i/>
          <w:sz w:val="20"/>
          <w:szCs w:val="20"/>
          <w:lang w:val="en-US"/>
        </w:rPr>
        <w:t xml:space="preserve">S. </w:t>
      </w:r>
      <w:proofErr w:type="spellStart"/>
      <w:r w:rsidRPr="00E1678F">
        <w:rPr>
          <w:rFonts w:ascii="Arial" w:hAnsi="Arial" w:cs="Arial"/>
          <w:i/>
          <w:sz w:val="20"/>
          <w:szCs w:val="20"/>
          <w:lang w:val="en-US"/>
        </w:rPr>
        <w:t>titanus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and </w:t>
      </w:r>
      <w:r w:rsidRPr="00E1678F">
        <w:rPr>
          <w:rFonts w:ascii="Arial" w:hAnsi="Arial" w:cs="Arial"/>
          <w:i/>
          <w:sz w:val="20"/>
          <w:szCs w:val="20"/>
          <w:lang w:val="en-US"/>
        </w:rPr>
        <w:t xml:space="preserve">O. </w:t>
      </w:r>
      <w:proofErr w:type="spellStart"/>
      <w:r w:rsidRPr="00E1678F">
        <w:rPr>
          <w:rFonts w:ascii="Arial" w:hAnsi="Arial" w:cs="Arial"/>
          <w:i/>
          <w:sz w:val="20"/>
          <w:szCs w:val="20"/>
          <w:lang w:val="en-US"/>
        </w:rPr>
        <w:t>ishidae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E1678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and 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their epidemiologic relevance is under </w:t>
      </w:r>
      <w:r>
        <w:rPr>
          <w:rFonts w:ascii="Arial" w:hAnsi="Arial" w:cs="Arial"/>
          <w:sz w:val="20"/>
          <w:szCs w:val="20"/>
          <w:lang w:val="en-US"/>
        </w:rPr>
        <w:t xml:space="preserve">further </w:t>
      </w:r>
      <w:r w:rsidRPr="00E1678F">
        <w:rPr>
          <w:rFonts w:ascii="Arial" w:hAnsi="Arial" w:cs="Arial"/>
          <w:sz w:val="20"/>
          <w:szCs w:val="20"/>
          <w:lang w:val="en-US"/>
        </w:rPr>
        <w:t>monitoring.</w:t>
      </w:r>
    </w:p>
    <w:p w:rsidR="00BF74A0" w:rsidRPr="00E1678F" w:rsidRDefault="00BF74A0" w:rsidP="00E1678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07E90" w:rsidRPr="00E1678F" w:rsidRDefault="00707E90" w:rsidP="00E1678F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n-US"/>
        </w:rPr>
      </w:pPr>
      <w:r w:rsidRPr="00E1678F">
        <w:rPr>
          <w:rStyle w:val="fontsize2"/>
          <w:rFonts w:ascii="Arial" w:hAnsi="Arial" w:cs="Arial"/>
          <w:b/>
          <w:bCs/>
          <w:sz w:val="20"/>
          <w:szCs w:val="20"/>
          <w:lang w:val="en-US"/>
        </w:rPr>
        <w:t>ACKNOWLEDGMENTS</w:t>
      </w:r>
    </w:p>
    <w:p w:rsidR="00707E90" w:rsidRPr="00E1678F" w:rsidRDefault="00707E90" w:rsidP="00E1678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E1678F">
        <w:rPr>
          <w:rFonts w:ascii="Arial" w:hAnsi="Arial" w:cs="Arial"/>
          <w:sz w:val="20"/>
          <w:szCs w:val="20"/>
          <w:lang w:val="en-US"/>
        </w:rPr>
        <w:t>This work was carried out in the frame of European</w:t>
      </w:r>
      <w:r w:rsidR="00651975">
        <w:rPr>
          <w:rFonts w:ascii="Arial" w:hAnsi="Arial" w:cs="Arial"/>
          <w:sz w:val="20"/>
          <w:szCs w:val="20"/>
          <w:lang w:val="en-US"/>
        </w:rPr>
        <w:t xml:space="preserve"> </w:t>
      </w:r>
      <w:r w:rsidRPr="00E1678F">
        <w:rPr>
          <w:rFonts w:ascii="Arial" w:hAnsi="Arial" w:cs="Arial"/>
          <w:sz w:val="20"/>
          <w:szCs w:val="20"/>
          <w:lang w:val="en-US"/>
        </w:rPr>
        <w:t>Union’s Horizon 2020 research and innovation</w:t>
      </w:r>
      <w:r w:rsidR="003B6F7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1678F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Pr="00E1678F">
        <w:rPr>
          <w:rFonts w:ascii="Arial" w:hAnsi="Arial" w:cs="Arial"/>
          <w:sz w:val="20"/>
          <w:szCs w:val="20"/>
          <w:lang w:val="en-US"/>
        </w:rPr>
        <w:t xml:space="preserve"> project “</w:t>
      </w:r>
      <w:proofErr w:type="spellStart"/>
      <w:r w:rsidRPr="00E1678F">
        <w:rPr>
          <w:rFonts w:ascii="Arial" w:hAnsi="Arial" w:cs="Arial"/>
          <w:sz w:val="20"/>
          <w:szCs w:val="20"/>
          <w:lang w:val="en-US"/>
        </w:rPr>
        <w:t>Tropicsafe</w:t>
      </w:r>
      <w:proofErr w:type="spellEnd"/>
      <w:r w:rsidRPr="00E1678F">
        <w:rPr>
          <w:rFonts w:ascii="Arial" w:hAnsi="Arial" w:cs="Arial"/>
          <w:sz w:val="20"/>
          <w:szCs w:val="20"/>
          <w:lang w:val="en-US"/>
        </w:rPr>
        <w:t>” under grant agreement No</w:t>
      </w:r>
      <w:r w:rsidR="003B6F7B">
        <w:rPr>
          <w:rFonts w:ascii="Arial" w:hAnsi="Arial" w:cs="Arial"/>
          <w:sz w:val="20"/>
          <w:szCs w:val="20"/>
          <w:lang w:val="en-US"/>
        </w:rPr>
        <w:t>.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 727459.</w:t>
      </w:r>
    </w:p>
    <w:p w:rsidR="00BF74A0" w:rsidRPr="00E1678F" w:rsidRDefault="00BF74A0" w:rsidP="00E1678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07E90" w:rsidRPr="00B2210F" w:rsidRDefault="00707E90" w:rsidP="00E1678F">
      <w:pPr>
        <w:pStyle w:val="Nessunaspaziatura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B2210F">
        <w:rPr>
          <w:rFonts w:ascii="Arial" w:hAnsi="Arial" w:cs="Arial"/>
          <w:b/>
          <w:sz w:val="20"/>
          <w:szCs w:val="20"/>
          <w:lang w:val="it-IT"/>
        </w:rPr>
        <w:t>REFERENCES</w:t>
      </w:r>
    </w:p>
    <w:p w:rsidR="00F61C54" w:rsidRPr="00E1678F" w:rsidRDefault="00F61C54" w:rsidP="003B6F7B">
      <w:pPr>
        <w:pStyle w:val="Nessunaspaziatura"/>
        <w:jc w:val="both"/>
        <w:rPr>
          <w:rFonts w:ascii="Arial" w:hAnsi="Arial" w:cs="Arial"/>
          <w:sz w:val="20"/>
          <w:szCs w:val="20"/>
          <w:lang w:val="it-IT"/>
        </w:rPr>
      </w:pPr>
      <w:r w:rsidRPr="00E1678F">
        <w:rPr>
          <w:rFonts w:ascii="Arial" w:hAnsi="Arial" w:cs="Arial"/>
          <w:sz w:val="20"/>
          <w:szCs w:val="20"/>
          <w:lang w:val="it-IT"/>
        </w:rPr>
        <w:t xml:space="preserve">Casati, P., </w:t>
      </w:r>
      <w:proofErr w:type="spellStart"/>
      <w:r w:rsidRPr="00E1678F">
        <w:rPr>
          <w:rFonts w:ascii="Arial" w:hAnsi="Arial" w:cs="Arial"/>
          <w:sz w:val="20"/>
          <w:szCs w:val="20"/>
          <w:lang w:val="it-IT"/>
        </w:rPr>
        <w:t>Jermini</w:t>
      </w:r>
      <w:proofErr w:type="spellEnd"/>
      <w:r w:rsidRPr="00E1678F">
        <w:rPr>
          <w:rFonts w:ascii="Arial" w:hAnsi="Arial" w:cs="Arial"/>
          <w:sz w:val="20"/>
          <w:szCs w:val="20"/>
          <w:lang w:val="it-IT"/>
        </w:rPr>
        <w:t xml:space="preserve">, M., Quaglino, F., </w:t>
      </w:r>
      <w:proofErr w:type="spellStart"/>
      <w:r w:rsidRPr="00E1678F">
        <w:rPr>
          <w:rFonts w:ascii="Arial" w:hAnsi="Arial" w:cs="Arial"/>
          <w:sz w:val="20"/>
          <w:szCs w:val="20"/>
          <w:lang w:val="it-IT"/>
        </w:rPr>
        <w:t>Corbani</w:t>
      </w:r>
      <w:proofErr w:type="spellEnd"/>
      <w:r w:rsidRPr="00E1678F">
        <w:rPr>
          <w:rFonts w:ascii="Arial" w:hAnsi="Arial" w:cs="Arial"/>
          <w:sz w:val="20"/>
          <w:szCs w:val="20"/>
          <w:lang w:val="it-IT"/>
        </w:rPr>
        <w:t>, G.</w:t>
      </w:r>
      <w:r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Schaerer</w:t>
      </w:r>
      <w:proofErr w:type="spellEnd"/>
      <w:r>
        <w:rPr>
          <w:rFonts w:ascii="Arial" w:hAnsi="Arial" w:cs="Arial"/>
          <w:sz w:val="20"/>
          <w:szCs w:val="20"/>
          <w:lang w:val="it-IT"/>
        </w:rPr>
        <w:t>, S., Passera, A.,</w:t>
      </w:r>
      <w:r w:rsidRPr="00E1678F">
        <w:rPr>
          <w:rFonts w:ascii="Arial" w:hAnsi="Arial" w:cs="Arial"/>
          <w:sz w:val="20"/>
          <w:szCs w:val="20"/>
          <w:lang w:val="it-IT"/>
        </w:rPr>
        <w:t xml:space="preserve"> Bianco, P. A. 2017. </w:t>
      </w:r>
      <w:r w:rsidRPr="00E1678F">
        <w:rPr>
          <w:rFonts w:ascii="Arial" w:hAnsi="Arial" w:cs="Arial"/>
          <w:sz w:val="20"/>
          <w:szCs w:val="20"/>
          <w:lang w:val="en-US"/>
        </w:rPr>
        <w:t>New insights on “</w:t>
      </w:r>
      <w:proofErr w:type="spellStart"/>
      <w:r w:rsidRPr="00E1678F">
        <w:rPr>
          <w:rFonts w:ascii="Arial" w:hAnsi="Arial" w:cs="Arial"/>
          <w:sz w:val="20"/>
          <w:szCs w:val="20"/>
          <w:lang w:val="en-US"/>
        </w:rPr>
        <w:t>flavescence</w:t>
      </w:r>
      <w:proofErr w:type="spellEnd"/>
      <w:r w:rsidRPr="00E1678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1678F">
        <w:rPr>
          <w:rFonts w:ascii="Arial" w:hAnsi="Arial" w:cs="Arial"/>
          <w:sz w:val="20"/>
          <w:szCs w:val="20"/>
          <w:lang w:val="en-US"/>
        </w:rPr>
        <w:t>dorèe</w:t>
      </w:r>
      <w:proofErr w:type="spellEnd"/>
      <w:r w:rsidRPr="00E1678F">
        <w:rPr>
          <w:rFonts w:ascii="Arial" w:hAnsi="Arial" w:cs="Arial"/>
          <w:sz w:val="20"/>
          <w:szCs w:val="20"/>
          <w:lang w:val="en-US"/>
        </w:rPr>
        <w:t xml:space="preserve">” phytoplasma ecology in the vineyard agro-ecosystem in southern Switzerland. </w:t>
      </w:r>
      <w:proofErr w:type="spellStart"/>
      <w:r w:rsidRPr="00023A27">
        <w:rPr>
          <w:rFonts w:ascii="Arial" w:hAnsi="Arial" w:cs="Arial"/>
          <w:sz w:val="20"/>
          <w:szCs w:val="20"/>
          <w:lang w:val="it-IT"/>
        </w:rPr>
        <w:t>Annals</w:t>
      </w:r>
      <w:proofErr w:type="spellEnd"/>
      <w:r w:rsidRPr="00023A27">
        <w:rPr>
          <w:rFonts w:ascii="Arial" w:hAnsi="Arial" w:cs="Arial"/>
          <w:sz w:val="20"/>
          <w:szCs w:val="20"/>
          <w:lang w:val="it-IT"/>
        </w:rPr>
        <w:t xml:space="preserve"> of </w:t>
      </w:r>
      <w:proofErr w:type="spellStart"/>
      <w:r w:rsidRPr="00023A27">
        <w:rPr>
          <w:rFonts w:ascii="Arial" w:hAnsi="Arial" w:cs="Arial"/>
          <w:sz w:val="20"/>
          <w:szCs w:val="20"/>
          <w:lang w:val="it-IT"/>
        </w:rPr>
        <w:t>Applied</w:t>
      </w:r>
      <w:proofErr w:type="spellEnd"/>
      <w:r w:rsidRPr="00023A27">
        <w:rPr>
          <w:rFonts w:ascii="Arial" w:hAnsi="Arial" w:cs="Arial"/>
          <w:sz w:val="20"/>
          <w:szCs w:val="20"/>
          <w:lang w:val="it-IT"/>
        </w:rPr>
        <w:t xml:space="preserve"> Biology, </w:t>
      </w:r>
      <w:r>
        <w:rPr>
          <w:rFonts w:ascii="Arial" w:hAnsi="Arial" w:cs="Arial"/>
          <w:sz w:val="20"/>
          <w:szCs w:val="20"/>
          <w:lang w:val="it-IT"/>
        </w:rPr>
        <w:t>171(1): 37-51</w:t>
      </w:r>
      <w:r w:rsidRPr="00E1678F">
        <w:rPr>
          <w:rFonts w:ascii="Arial" w:hAnsi="Arial" w:cs="Arial"/>
          <w:sz w:val="20"/>
          <w:szCs w:val="20"/>
          <w:lang w:val="it-IT"/>
        </w:rPr>
        <w:t>.</w:t>
      </w:r>
    </w:p>
    <w:p w:rsidR="0006325B" w:rsidRPr="0006325B" w:rsidRDefault="0006325B" w:rsidP="003B6F7B">
      <w:pPr>
        <w:pStyle w:val="Nessunaspaziatura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it-IT"/>
        </w:rPr>
        <w:t xml:space="preserve">Contaldo, N.,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Soufi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, Z., Bertaccini, A. 2011. </w:t>
      </w:r>
      <w:r w:rsidRPr="0006325B">
        <w:rPr>
          <w:rFonts w:ascii="Arial" w:hAnsi="Arial" w:cs="Arial"/>
          <w:sz w:val="20"/>
          <w:szCs w:val="20"/>
          <w:lang w:val="en-US"/>
        </w:rPr>
        <w:t>Preliminary identification of phytoplasmas associated with grapevine yellows in Syria</w:t>
      </w:r>
      <w:r w:rsidR="0089267D">
        <w:rPr>
          <w:rFonts w:ascii="Arial" w:hAnsi="Arial" w:cs="Arial"/>
          <w:sz w:val="20"/>
          <w:szCs w:val="20"/>
          <w:lang w:val="en-US"/>
        </w:rPr>
        <w:t xml:space="preserve">. Bull. </w:t>
      </w:r>
      <w:proofErr w:type="spellStart"/>
      <w:r w:rsidR="0089267D">
        <w:rPr>
          <w:rFonts w:ascii="Arial" w:hAnsi="Arial" w:cs="Arial"/>
          <w:sz w:val="20"/>
          <w:szCs w:val="20"/>
          <w:lang w:val="en-US"/>
        </w:rPr>
        <w:t>Insectol</w:t>
      </w:r>
      <w:proofErr w:type="spellEnd"/>
      <w:r w:rsidR="0089267D">
        <w:rPr>
          <w:rFonts w:ascii="Arial" w:hAnsi="Arial" w:cs="Arial"/>
          <w:sz w:val="20"/>
          <w:szCs w:val="20"/>
          <w:lang w:val="en-US"/>
        </w:rPr>
        <w:t>. 64(suppl.):S217-S218.</w:t>
      </w:r>
    </w:p>
    <w:p w:rsidR="00F61C54" w:rsidRPr="00E1678F" w:rsidRDefault="00F61C54" w:rsidP="003B6F7B">
      <w:pPr>
        <w:pStyle w:val="Nessunaspaziatura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Deng, S.J.,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1678F">
        <w:rPr>
          <w:rFonts w:ascii="Arial" w:hAnsi="Arial" w:cs="Arial"/>
          <w:sz w:val="20"/>
          <w:szCs w:val="20"/>
          <w:lang w:val="en-US"/>
        </w:rPr>
        <w:t>Hiruki</w:t>
      </w:r>
      <w:proofErr w:type="spellEnd"/>
      <w:r w:rsidRPr="00E1678F">
        <w:rPr>
          <w:rFonts w:ascii="Arial" w:hAnsi="Arial" w:cs="Arial"/>
          <w:sz w:val="20"/>
          <w:szCs w:val="20"/>
          <w:lang w:val="en-US"/>
        </w:rPr>
        <w:t xml:space="preserve">, C. 1991. Amplification of 16S ribosomal-RNA genes from </w:t>
      </w:r>
      <w:proofErr w:type="spellStart"/>
      <w:r w:rsidRPr="00E1678F">
        <w:rPr>
          <w:rFonts w:ascii="Arial" w:hAnsi="Arial" w:cs="Arial"/>
          <w:sz w:val="20"/>
          <w:szCs w:val="20"/>
          <w:lang w:val="en-US"/>
        </w:rPr>
        <w:t>culturable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nonculturablemollicutes</w:t>
      </w:r>
      <w:proofErr w:type="spellEnd"/>
      <w:r>
        <w:rPr>
          <w:rFonts w:ascii="Arial" w:hAnsi="Arial" w:cs="Arial"/>
          <w:sz w:val="20"/>
          <w:szCs w:val="20"/>
          <w:lang w:val="en-US"/>
        </w:rPr>
        <w:t>. Journal of Microbiological Methods,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 14: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1678F">
        <w:rPr>
          <w:rFonts w:ascii="Arial" w:hAnsi="Arial" w:cs="Arial"/>
          <w:sz w:val="20"/>
          <w:szCs w:val="20"/>
          <w:lang w:val="en-US"/>
        </w:rPr>
        <w:t>53–61.</w:t>
      </w:r>
    </w:p>
    <w:p w:rsidR="00F61C54" w:rsidRPr="00B2210F" w:rsidRDefault="00F61C54" w:rsidP="003B6F7B">
      <w:pPr>
        <w:pStyle w:val="Nessunaspaziatura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E1678F">
        <w:rPr>
          <w:rFonts w:ascii="Arial" w:hAnsi="Arial" w:cs="Arial"/>
          <w:sz w:val="20"/>
          <w:szCs w:val="20"/>
          <w:lang w:val="en-US"/>
        </w:rPr>
        <w:t>Gaffuri</w:t>
      </w:r>
      <w:proofErr w:type="spellEnd"/>
      <w:r w:rsidRPr="00E1678F">
        <w:rPr>
          <w:rFonts w:ascii="Arial" w:hAnsi="Arial" w:cs="Arial"/>
          <w:sz w:val="20"/>
          <w:szCs w:val="20"/>
          <w:lang w:val="en-US"/>
        </w:rPr>
        <w:t xml:space="preserve">, F., </w:t>
      </w:r>
      <w:proofErr w:type="spellStart"/>
      <w:r w:rsidRPr="00E1678F">
        <w:rPr>
          <w:rFonts w:ascii="Arial" w:hAnsi="Arial" w:cs="Arial"/>
          <w:sz w:val="20"/>
          <w:szCs w:val="20"/>
          <w:lang w:val="en-US"/>
        </w:rPr>
        <w:t>Sacchi</w:t>
      </w:r>
      <w:proofErr w:type="spellEnd"/>
      <w:r w:rsidRPr="00E1678F">
        <w:rPr>
          <w:rFonts w:ascii="Arial" w:hAnsi="Arial" w:cs="Arial"/>
          <w:sz w:val="20"/>
          <w:szCs w:val="20"/>
          <w:lang w:val="en-US"/>
        </w:rPr>
        <w:t xml:space="preserve">, S., </w:t>
      </w:r>
      <w:proofErr w:type="spellStart"/>
      <w:r w:rsidRPr="00E1678F">
        <w:rPr>
          <w:rFonts w:ascii="Arial" w:hAnsi="Arial" w:cs="Arial"/>
          <w:sz w:val="20"/>
          <w:szCs w:val="20"/>
          <w:lang w:val="en-US"/>
        </w:rPr>
        <w:t>Cavagna</w:t>
      </w:r>
      <w:proofErr w:type="spellEnd"/>
      <w:r w:rsidRPr="00E1678F">
        <w:rPr>
          <w:rFonts w:ascii="Arial" w:hAnsi="Arial" w:cs="Arial"/>
          <w:sz w:val="20"/>
          <w:szCs w:val="20"/>
          <w:lang w:val="en-US"/>
        </w:rPr>
        <w:t xml:space="preserve">, B. 2011.First detection of the mosaic leafhopper, </w:t>
      </w:r>
      <w:proofErr w:type="spellStart"/>
      <w:r w:rsidRPr="00E1678F">
        <w:rPr>
          <w:rFonts w:ascii="Arial" w:hAnsi="Arial" w:cs="Arial"/>
          <w:i/>
          <w:sz w:val="20"/>
          <w:szCs w:val="20"/>
          <w:lang w:val="en-US"/>
        </w:rPr>
        <w:t>Orientus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E1678F">
        <w:rPr>
          <w:rFonts w:ascii="Arial" w:hAnsi="Arial" w:cs="Arial"/>
          <w:i/>
          <w:sz w:val="20"/>
          <w:szCs w:val="20"/>
          <w:lang w:val="en-US"/>
        </w:rPr>
        <w:t>ishidae</w:t>
      </w:r>
      <w:proofErr w:type="spellEnd"/>
      <w:r w:rsidRPr="00E1678F">
        <w:rPr>
          <w:rFonts w:ascii="Arial" w:hAnsi="Arial" w:cs="Arial"/>
          <w:sz w:val="20"/>
          <w:szCs w:val="20"/>
          <w:lang w:val="en-US"/>
        </w:rPr>
        <w:t>, in northern Italy infected by the “</w:t>
      </w:r>
      <w:proofErr w:type="spellStart"/>
      <w:r w:rsidRPr="00E1678F">
        <w:rPr>
          <w:rFonts w:ascii="Arial" w:hAnsi="Arial" w:cs="Arial"/>
          <w:sz w:val="20"/>
          <w:szCs w:val="20"/>
          <w:lang w:val="en-US"/>
        </w:rPr>
        <w:t>flavescence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1678F">
        <w:rPr>
          <w:rFonts w:ascii="Arial" w:hAnsi="Arial" w:cs="Arial"/>
          <w:sz w:val="20"/>
          <w:szCs w:val="20"/>
          <w:lang w:val="en-US"/>
        </w:rPr>
        <w:t>dorée</w:t>
      </w:r>
      <w:proofErr w:type="spellEnd"/>
      <w:r w:rsidRPr="00E1678F">
        <w:rPr>
          <w:rFonts w:ascii="Arial" w:hAnsi="Arial" w:cs="Arial"/>
          <w:sz w:val="20"/>
          <w:szCs w:val="20"/>
          <w:lang w:val="en-US"/>
        </w:rPr>
        <w:t>” phytoplasma.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B2210F">
        <w:rPr>
          <w:rFonts w:ascii="Arial" w:hAnsi="Arial" w:cs="Arial"/>
          <w:sz w:val="20"/>
          <w:szCs w:val="20"/>
          <w:lang w:val="it-IT"/>
        </w:rPr>
        <w:t>New Disease Reporter, 24: 22.</w:t>
      </w:r>
    </w:p>
    <w:p w:rsidR="00F61C54" w:rsidRPr="00E1678F" w:rsidRDefault="00F61C54" w:rsidP="003B6F7B">
      <w:pPr>
        <w:pStyle w:val="Nessunaspaziatura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023A27">
        <w:rPr>
          <w:rFonts w:ascii="Arial" w:hAnsi="Arial" w:cs="Arial"/>
          <w:sz w:val="20"/>
          <w:szCs w:val="20"/>
          <w:lang w:val="it-IT"/>
        </w:rPr>
        <w:t>Gajardo</w:t>
      </w:r>
      <w:proofErr w:type="spellEnd"/>
      <w:r w:rsidRPr="00023A27">
        <w:rPr>
          <w:rFonts w:ascii="Arial" w:hAnsi="Arial" w:cs="Arial"/>
          <w:sz w:val="20"/>
          <w:szCs w:val="20"/>
          <w:lang w:val="it-IT"/>
        </w:rPr>
        <w:t xml:space="preserve">, A., Fiore, N., </w:t>
      </w:r>
      <w:proofErr w:type="spellStart"/>
      <w:r w:rsidRPr="00023A27">
        <w:rPr>
          <w:rFonts w:ascii="Arial" w:hAnsi="Arial" w:cs="Arial"/>
          <w:sz w:val="20"/>
          <w:szCs w:val="20"/>
          <w:lang w:val="it-IT"/>
        </w:rPr>
        <w:t>Prodan</w:t>
      </w:r>
      <w:proofErr w:type="spellEnd"/>
      <w:r w:rsidRPr="00023A27">
        <w:rPr>
          <w:rFonts w:ascii="Arial" w:hAnsi="Arial" w:cs="Arial"/>
          <w:sz w:val="20"/>
          <w:szCs w:val="20"/>
          <w:lang w:val="it-IT"/>
        </w:rPr>
        <w:t>, S., Paltrinieri, S., Botti, S., Pino, A.M., Za</w:t>
      </w:r>
      <w:r>
        <w:rPr>
          <w:rFonts w:ascii="Arial" w:hAnsi="Arial" w:cs="Arial"/>
          <w:sz w:val="20"/>
          <w:szCs w:val="20"/>
          <w:lang w:val="it-IT"/>
        </w:rPr>
        <w:t xml:space="preserve">morano, A.,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Montealegre</w:t>
      </w:r>
      <w:proofErr w:type="spellEnd"/>
      <w:r>
        <w:rPr>
          <w:rFonts w:ascii="Arial" w:hAnsi="Arial" w:cs="Arial"/>
          <w:sz w:val="20"/>
          <w:szCs w:val="20"/>
          <w:lang w:val="it-IT"/>
        </w:rPr>
        <w:t>, J.,</w:t>
      </w:r>
      <w:r w:rsidRPr="00023A27">
        <w:rPr>
          <w:rFonts w:ascii="Arial" w:hAnsi="Arial" w:cs="Arial"/>
          <w:sz w:val="20"/>
          <w:szCs w:val="20"/>
          <w:lang w:val="it-IT"/>
        </w:rPr>
        <w:t xml:space="preserve"> Bertaccini, A. 2009. </w:t>
      </w:r>
      <w:r w:rsidRPr="00E1678F">
        <w:rPr>
          <w:rFonts w:ascii="Arial" w:hAnsi="Arial" w:cs="Arial"/>
          <w:sz w:val="20"/>
          <w:szCs w:val="20"/>
          <w:lang w:val="en-US"/>
        </w:rPr>
        <w:t>Phytoplasmas associated with grapevine yellows disease in Chile. Plant Dis</w:t>
      </w:r>
      <w:r>
        <w:rPr>
          <w:rFonts w:ascii="Arial" w:hAnsi="Arial" w:cs="Arial"/>
          <w:sz w:val="20"/>
          <w:szCs w:val="20"/>
          <w:lang w:val="en-US"/>
        </w:rPr>
        <w:t>ease,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 93(8):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1678F">
        <w:rPr>
          <w:rFonts w:ascii="Arial" w:hAnsi="Arial" w:cs="Arial"/>
          <w:sz w:val="20"/>
          <w:szCs w:val="20"/>
          <w:lang w:val="en-US"/>
        </w:rPr>
        <w:t>789-796.</w:t>
      </w:r>
    </w:p>
    <w:p w:rsidR="00F61C54" w:rsidRPr="00E1678F" w:rsidRDefault="00F61C54" w:rsidP="003B6F7B">
      <w:pPr>
        <w:pStyle w:val="Nessunaspaziatura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Gibb, K.S.,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Padovan</w:t>
      </w:r>
      <w:proofErr w:type="spellEnd"/>
      <w:r>
        <w:rPr>
          <w:rFonts w:ascii="Arial" w:hAnsi="Arial" w:cs="Arial"/>
          <w:sz w:val="20"/>
          <w:szCs w:val="20"/>
          <w:lang w:val="en-US"/>
        </w:rPr>
        <w:t>, A.C.,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 Mogen, B.D. 1995. Studies on sweet potato little-leaf phytoplasma detected in sweet potato and other plant species growing in Northern Australia. Phytopathology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 85: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1678F">
        <w:rPr>
          <w:rFonts w:ascii="Arial" w:hAnsi="Arial" w:cs="Arial"/>
          <w:sz w:val="20"/>
          <w:szCs w:val="20"/>
          <w:lang w:val="en-US"/>
        </w:rPr>
        <w:t>169-</w:t>
      </w:r>
      <w:r>
        <w:rPr>
          <w:rFonts w:ascii="Arial" w:hAnsi="Arial" w:cs="Arial"/>
          <w:sz w:val="20"/>
          <w:szCs w:val="20"/>
          <w:lang w:val="en-US"/>
        </w:rPr>
        <w:t>1</w:t>
      </w:r>
      <w:r w:rsidRPr="00E1678F">
        <w:rPr>
          <w:rFonts w:ascii="Arial" w:hAnsi="Arial" w:cs="Arial"/>
          <w:sz w:val="20"/>
          <w:szCs w:val="20"/>
          <w:lang w:val="en-US"/>
        </w:rPr>
        <w:t>74.</w:t>
      </w:r>
    </w:p>
    <w:p w:rsidR="00F61C54" w:rsidRPr="00B77CD2" w:rsidRDefault="00F61C54" w:rsidP="003B6F7B">
      <w:pPr>
        <w:pStyle w:val="Nessunaspaziatura"/>
        <w:jc w:val="both"/>
        <w:rPr>
          <w:rFonts w:ascii="Arial" w:hAnsi="Arial" w:cs="Arial"/>
          <w:sz w:val="20"/>
          <w:szCs w:val="20"/>
          <w:lang w:val="en-US"/>
        </w:rPr>
      </w:pPr>
      <w:r w:rsidRPr="00E1678F">
        <w:rPr>
          <w:rFonts w:ascii="Arial" w:hAnsi="Arial" w:cs="Arial"/>
          <w:sz w:val="20"/>
          <w:szCs w:val="20"/>
          <w:lang w:val="en-US"/>
        </w:rPr>
        <w:t>Lee, I-M</w:t>
      </w:r>
      <w:r>
        <w:rPr>
          <w:rFonts w:ascii="Arial" w:hAnsi="Arial" w:cs="Arial"/>
          <w:sz w:val="20"/>
          <w:szCs w:val="20"/>
          <w:lang w:val="en-US"/>
        </w:rPr>
        <w:t>., Martini, M., Marcone, C.,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 Zhu, S.F. 2004. Classification of phytoplasma strains in the elm yellows group (16SrV) and proposal of ‘</w:t>
      </w:r>
      <w:r w:rsidRPr="00E1678F">
        <w:rPr>
          <w:rFonts w:ascii="Arial" w:hAnsi="Arial" w:cs="Arial"/>
          <w:i/>
          <w:sz w:val="20"/>
          <w:szCs w:val="20"/>
          <w:lang w:val="en-US"/>
        </w:rPr>
        <w:t xml:space="preserve">Candidatus 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Phytoplasma </w:t>
      </w:r>
      <w:proofErr w:type="spellStart"/>
      <w:r w:rsidRPr="00E1678F">
        <w:rPr>
          <w:rFonts w:ascii="Arial" w:hAnsi="Arial" w:cs="Arial"/>
          <w:sz w:val="20"/>
          <w:szCs w:val="20"/>
          <w:lang w:val="en-US"/>
        </w:rPr>
        <w:t>ulmi</w:t>
      </w:r>
      <w:proofErr w:type="spellEnd"/>
      <w:r w:rsidRPr="00E1678F">
        <w:rPr>
          <w:rFonts w:ascii="Arial" w:hAnsi="Arial" w:cs="Arial"/>
          <w:sz w:val="20"/>
          <w:szCs w:val="20"/>
          <w:lang w:val="en-US"/>
        </w:rPr>
        <w:t xml:space="preserve">’ for the phytoplasma associated with elm yellows. </w:t>
      </w:r>
      <w:r w:rsidRPr="00B77CD2">
        <w:rPr>
          <w:rFonts w:ascii="Arial" w:hAnsi="Arial" w:cs="Arial"/>
          <w:sz w:val="20"/>
          <w:szCs w:val="20"/>
          <w:lang w:val="en-US"/>
        </w:rPr>
        <w:t>International Journal of Systematic and Evolutionary Microbiology, 54: 337–347.</w:t>
      </w:r>
    </w:p>
    <w:p w:rsidR="00F61C54" w:rsidRPr="00E1678F" w:rsidRDefault="00F61C54" w:rsidP="003B6F7B">
      <w:pPr>
        <w:pStyle w:val="Nessunaspaziatura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B77CD2">
        <w:rPr>
          <w:rFonts w:ascii="Arial" w:hAnsi="Arial" w:cs="Arial"/>
          <w:sz w:val="20"/>
          <w:szCs w:val="20"/>
          <w:lang w:val="en-US"/>
        </w:rPr>
        <w:t>Lessio</w:t>
      </w:r>
      <w:proofErr w:type="spellEnd"/>
      <w:r w:rsidRPr="00B77CD2">
        <w:rPr>
          <w:rFonts w:ascii="Arial" w:hAnsi="Arial" w:cs="Arial"/>
          <w:sz w:val="20"/>
          <w:szCs w:val="20"/>
          <w:lang w:val="en-US"/>
        </w:rPr>
        <w:t xml:space="preserve">, F., </w:t>
      </w:r>
      <w:proofErr w:type="spellStart"/>
      <w:r w:rsidRPr="00B77CD2">
        <w:rPr>
          <w:rFonts w:ascii="Arial" w:hAnsi="Arial" w:cs="Arial"/>
          <w:sz w:val="20"/>
          <w:szCs w:val="20"/>
          <w:lang w:val="en-US"/>
        </w:rPr>
        <w:t>Picciau</w:t>
      </w:r>
      <w:proofErr w:type="spellEnd"/>
      <w:r w:rsidRPr="00B77CD2">
        <w:rPr>
          <w:rFonts w:ascii="Arial" w:hAnsi="Arial" w:cs="Arial"/>
          <w:sz w:val="20"/>
          <w:szCs w:val="20"/>
          <w:lang w:val="en-US"/>
        </w:rPr>
        <w:t xml:space="preserve">, L., </w:t>
      </w:r>
      <w:proofErr w:type="spellStart"/>
      <w:r w:rsidRPr="00B77CD2">
        <w:rPr>
          <w:rFonts w:ascii="Arial" w:hAnsi="Arial" w:cs="Arial"/>
          <w:sz w:val="20"/>
          <w:szCs w:val="20"/>
          <w:lang w:val="en-US"/>
        </w:rPr>
        <w:t>Gonella</w:t>
      </w:r>
      <w:proofErr w:type="spellEnd"/>
      <w:r w:rsidRPr="00B77CD2">
        <w:rPr>
          <w:rFonts w:ascii="Arial" w:hAnsi="Arial" w:cs="Arial"/>
          <w:sz w:val="20"/>
          <w:szCs w:val="20"/>
          <w:lang w:val="en-US"/>
        </w:rPr>
        <w:t xml:space="preserve">, E., </w:t>
      </w:r>
      <w:proofErr w:type="spellStart"/>
      <w:r w:rsidRPr="00B77CD2">
        <w:rPr>
          <w:rFonts w:ascii="Arial" w:hAnsi="Arial" w:cs="Arial"/>
          <w:sz w:val="20"/>
          <w:szCs w:val="20"/>
          <w:lang w:val="en-US"/>
        </w:rPr>
        <w:t>Mandrioli</w:t>
      </w:r>
      <w:proofErr w:type="spellEnd"/>
      <w:r w:rsidRPr="00B77CD2">
        <w:rPr>
          <w:rFonts w:ascii="Arial" w:hAnsi="Arial" w:cs="Arial"/>
          <w:sz w:val="20"/>
          <w:szCs w:val="20"/>
          <w:lang w:val="en-US"/>
        </w:rPr>
        <w:t xml:space="preserve">, M., </w:t>
      </w:r>
      <w:proofErr w:type="spellStart"/>
      <w:r w:rsidRPr="00B77CD2">
        <w:rPr>
          <w:rFonts w:ascii="Arial" w:hAnsi="Arial" w:cs="Arial"/>
          <w:sz w:val="20"/>
          <w:szCs w:val="20"/>
          <w:lang w:val="en-US"/>
        </w:rPr>
        <w:t>Tota</w:t>
      </w:r>
      <w:proofErr w:type="spellEnd"/>
      <w:r w:rsidRPr="00B77CD2">
        <w:rPr>
          <w:rFonts w:ascii="Arial" w:hAnsi="Arial" w:cs="Arial"/>
          <w:sz w:val="20"/>
          <w:szCs w:val="20"/>
          <w:lang w:val="en-US"/>
        </w:rPr>
        <w:t xml:space="preserve">, F., Alma, A. 2016. 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The mosaic leafhopper </w:t>
      </w:r>
      <w:proofErr w:type="spellStart"/>
      <w:r w:rsidRPr="00E1678F">
        <w:rPr>
          <w:rFonts w:ascii="Arial" w:hAnsi="Arial" w:cs="Arial"/>
          <w:i/>
          <w:sz w:val="20"/>
          <w:szCs w:val="20"/>
          <w:lang w:val="en-US"/>
        </w:rPr>
        <w:t>Orientus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E1678F">
        <w:rPr>
          <w:rFonts w:ascii="Arial" w:hAnsi="Arial" w:cs="Arial"/>
          <w:i/>
          <w:sz w:val="20"/>
          <w:szCs w:val="20"/>
          <w:lang w:val="en-US"/>
        </w:rPr>
        <w:t>ishidae</w:t>
      </w:r>
      <w:r w:rsidRPr="00E1678F">
        <w:rPr>
          <w:rFonts w:ascii="Arial" w:hAnsi="Arial" w:cs="Arial"/>
          <w:sz w:val="20"/>
          <w:szCs w:val="20"/>
          <w:lang w:val="en-US"/>
        </w:rPr>
        <w:t>:host</w:t>
      </w:r>
      <w:proofErr w:type="spellEnd"/>
      <w:r w:rsidRPr="00E1678F">
        <w:rPr>
          <w:rFonts w:ascii="Arial" w:hAnsi="Arial" w:cs="Arial"/>
          <w:sz w:val="20"/>
          <w:szCs w:val="20"/>
          <w:lang w:val="en-US"/>
        </w:rPr>
        <w:t xml:space="preserve"> plants, spatial distribution, infectivity, and transmission of 1</w:t>
      </w:r>
      <w:r>
        <w:rPr>
          <w:rFonts w:ascii="Arial" w:hAnsi="Arial" w:cs="Arial"/>
          <w:sz w:val="20"/>
          <w:szCs w:val="20"/>
          <w:lang w:val="en-US"/>
        </w:rPr>
        <w:t>6SrV phytoplasma to vines. Bulletin of Insectology,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 69(2):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1678F">
        <w:rPr>
          <w:rFonts w:ascii="Arial" w:hAnsi="Arial" w:cs="Arial"/>
          <w:sz w:val="20"/>
          <w:szCs w:val="20"/>
          <w:lang w:val="en-US"/>
        </w:rPr>
        <w:t>277-289.</w:t>
      </w:r>
    </w:p>
    <w:p w:rsidR="00F61C54" w:rsidRPr="00E1678F" w:rsidRDefault="00F61C54" w:rsidP="003B6F7B">
      <w:pPr>
        <w:pStyle w:val="Nessunaspaziatura"/>
        <w:jc w:val="both"/>
        <w:rPr>
          <w:rFonts w:ascii="Arial" w:hAnsi="Arial" w:cs="Arial"/>
          <w:sz w:val="20"/>
          <w:szCs w:val="20"/>
          <w:lang w:val="it-IT"/>
        </w:rPr>
      </w:pPr>
      <w:r w:rsidRPr="00E1678F">
        <w:rPr>
          <w:rFonts w:ascii="Arial" w:hAnsi="Arial" w:cs="Arial"/>
          <w:sz w:val="20"/>
          <w:szCs w:val="20"/>
          <w:lang w:val="en-US"/>
        </w:rPr>
        <w:t>Lorenz, K.H.,</w:t>
      </w:r>
      <w:r>
        <w:rPr>
          <w:rFonts w:ascii="Arial" w:hAnsi="Arial" w:cs="Arial"/>
          <w:sz w:val="20"/>
          <w:szCs w:val="20"/>
          <w:lang w:val="en-US"/>
        </w:rPr>
        <w:t xml:space="preserve"> Schneider, B., Ahrens, U., 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Seemüller, E. 1995. Detection of the apple proliferation and pear decline phytoplasmas by PCR amplification of ribosomal and </w:t>
      </w:r>
      <w:proofErr w:type="spellStart"/>
      <w:r w:rsidRPr="00E1678F">
        <w:rPr>
          <w:rFonts w:ascii="Arial" w:hAnsi="Arial" w:cs="Arial"/>
          <w:sz w:val="20"/>
          <w:szCs w:val="20"/>
          <w:lang w:val="en-US"/>
        </w:rPr>
        <w:t>nonribosomal</w:t>
      </w:r>
      <w:proofErr w:type="spellEnd"/>
      <w:r w:rsidRPr="00E1678F">
        <w:rPr>
          <w:rFonts w:ascii="Arial" w:hAnsi="Arial" w:cs="Arial"/>
          <w:sz w:val="20"/>
          <w:szCs w:val="20"/>
          <w:lang w:val="en-US"/>
        </w:rPr>
        <w:t xml:space="preserve"> DNA. </w:t>
      </w:r>
      <w:proofErr w:type="spellStart"/>
      <w:r w:rsidRPr="00E1678F">
        <w:rPr>
          <w:rFonts w:ascii="Arial" w:hAnsi="Arial" w:cs="Arial"/>
          <w:sz w:val="20"/>
          <w:szCs w:val="20"/>
          <w:lang w:val="it-IT"/>
        </w:rPr>
        <w:t>Phytopathology</w:t>
      </w:r>
      <w:proofErr w:type="spellEnd"/>
      <w:r w:rsidRPr="00E1678F">
        <w:rPr>
          <w:rFonts w:ascii="Arial" w:hAnsi="Arial" w:cs="Arial"/>
          <w:sz w:val="20"/>
          <w:szCs w:val="20"/>
          <w:lang w:val="it-IT"/>
        </w:rPr>
        <w:t>, 85: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E1678F">
        <w:rPr>
          <w:rFonts w:ascii="Arial" w:hAnsi="Arial" w:cs="Arial"/>
          <w:sz w:val="20"/>
          <w:szCs w:val="20"/>
          <w:lang w:val="it-IT"/>
        </w:rPr>
        <w:t>771-776.</w:t>
      </w:r>
    </w:p>
    <w:p w:rsidR="00F61C54" w:rsidRDefault="00F61C54" w:rsidP="003B6F7B">
      <w:pPr>
        <w:pStyle w:val="Nessunaspaziatura"/>
        <w:jc w:val="both"/>
        <w:rPr>
          <w:rFonts w:ascii="Arial" w:hAnsi="Arial" w:cs="Arial"/>
          <w:sz w:val="20"/>
          <w:szCs w:val="20"/>
          <w:lang w:val="en-US"/>
        </w:rPr>
      </w:pPr>
      <w:r w:rsidRPr="0006325B">
        <w:rPr>
          <w:rFonts w:ascii="Arial" w:hAnsi="Arial" w:cs="Arial"/>
          <w:sz w:val="20"/>
          <w:szCs w:val="20"/>
          <w:lang w:val="it-IT"/>
        </w:rPr>
        <w:t xml:space="preserve">Martini, M., Murari, E., Mori, N., Bertaccini, A. 1999. </w:t>
      </w:r>
      <w:r w:rsidRPr="00E1678F">
        <w:rPr>
          <w:rFonts w:ascii="Arial" w:hAnsi="Arial" w:cs="Arial"/>
          <w:sz w:val="20"/>
          <w:szCs w:val="20"/>
          <w:lang w:val="en-US"/>
        </w:rPr>
        <w:t>Identification and epidemic distribution of two “</w:t>
      </w:r>
      <w:proofErr w:type="spellStart"/>
      <w:r w:rsidRPr="00E1678F">
        <w:rPr>
          <w:rFonts w:ascii="Arial" w:hAnsi="Arial" w:cs="Arial"/>
          <w:sz w:val="20"/>
          <w:szCs w:val="20"/>
          <w:lang w:val="en-US"/>
        </w:rPr>
        <w:t>flavescencedorée</w:t>
      </w:r>
      <w:proofErr w:type="spellEnd"/>
      <w:r w:rsidRPr="00E1678F">
        <w:rPr>
          <w:rFonts w:ascii="Arial" w:hAnsi="Arial" w:cs="Arial"/>
          <w:sz w:val="20"/>
          <w:szCs w:val="20"/>
          <w:lang w:val="en-US"/>
        </w:rPr>
        <w:t>”-related phytoplasmas in Veneto (Italy). Plant</w:t>
      </w:r>
      <w:r>
        <w:rPr>
          <w:rFonts w:ascii="Arial" w:hAnsi="Arial" w:cs="Arial"/>
          <w:sz w:val="20"/>
          <w:szCs w:val="20"/>
          <w:lang w:val="en-US"/>
        </w:rPr>
        <w:t xml:space="preserve"> Disease,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 83: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1678F">
        <w:rPr>
          <w:rFonts w:ascii="Arial" w:hAnsi="Arial" w:cs="Arial"/>
          <w:sz w:val="20"/>
          <w:szCs w:val="20"/>
          <w:lang w:val="en-US"/>
        </w:rPr>
        <w:t>925-930.</w:t>
      </w:r>
    </w:p>
    <w:p w:rsidR="0006325B" w:rsidRDefault="0006325B" w:rsidP="003B6F7B">
      <w:pPr>
        <w:pStyle w:val="Nessunaspaziatura"/>
        <w:jc w:val="both"/>
        <w:rPr>
          <w:rFonts w:ascii="Arial" w:hAnsi="Arial" w:cs="Arial"/>
          <w:sz w:val="20"/>
          <w:szCs w:val="20"/>
          <w:lang w:val="en-US"/>
        </w:rPr>
      </w:pPr>
      <w:r w:rsidRPr="00B77CD2">
        <w:rPr>
          <w:rFonts w:ascii="Arial" w:hAnsi="Arial" w:cs="Arial"/>
          <w:sz w:val="20"/>
          <w:szCs w:val="20"/>
          <w:lang w:val="it-IT"/>
        </w:rPr>
        <w:t xml:space="preserve">Martini, M., Lee, I-M., </w:t>
      </w:r>
      <w:proofErr w:type="spellStart"/>
      <w:r w:rsidRPr="00B77CD2">
        <w:rPr>
          <w:rFonts w:ascii="Arial" w:hAnsi="Arial" w:cs="Arial"/>
          <w:sz w:val="20"/>
          <w:szCs w:val="20"/>
          <w:lang w:val="it-IT"/>
        </w:rPr>
        <w:t>Bottner</w:t>
      </w:r>
      <w:proofErr w:type="spellEnd"/>
      <w:r w:rsidRPr="00B77CD2">
        <w:rPr>
          <w:rFonts w:ascii="Arial" w:hAnsi="Arial" w:cs="Arial"/>
          <w:sz w:val="20"/>
          <w:szCs w:val="20"/>
          <w:lang w:val="it-IT"/>
        </w:rPr>
        <w:t xml:space="preserve">, K.D., Zhao, Y., Botti, S., Bertaccini, A., Harrison, N.A., Carraro, </w:t>
      </w:r>
      <w:r>
        <w:rPr>
          <w:rFonts w:ascii="Arial" w:hAnsi="Arial" w:cs="Arial"/>
          <w:sz w:val="20"/>
          <w:szCs w:val="20"/>
          <w:lang w:val="it-IT"/>
        </w:rPr>
        <w:t>L., Marcone, C., Khan, A.J.,</w:t>
      </w:r>
      <w:r w:rsidRPr="00B77CD2">
        <w:rPr>
          <w:rFonts w:ascii="Arial" w:hAnsi="Arial" w:cs="Arial"/>
          <w:sz w:val="20"/>
          <w:szCs w:val="20"/>
          <w:lang w:val="it-IT"/>
        </w:rPr>
        <w:t xml:space="preserve"> Osler, R. 2007. 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Ribosomal protein gene-based phylogeny for finer differentiation and classification of phytoplasmas. </w:t>
      </w:r>
      <w:r w:rsidRPr="00B77CD2">
        <w:rPr>
          <w:rFonts w:ascii="Arial" w:hAnsi="Arial" w:cs="Arial"/>
          <w:sz w:val="20"/>
          <w:szCs w:val="20"/>
          <w:lang w:val="en-US"/>
        </w:rPr>
        <w:t>International Journal of Systematic and Evolutionary Microbiology, 57: 2037-2051.</w:t>
      </w:r>
    </w:p>
    <w:p w:rsidR="0006325B" w:rsidRPr="00E1678F" w:rsidRDefault="0006325B" w:rsidP="0006325B">
      <w:pPr>
        <w:pStyle w:val="Nessunaspaziatura"/>
        <w:rPr>
          <w:rFonts w:ascii="Arial" w:hAnsi="Arial" w:cs="Arial"/>
          <w:sz w:val="20"/>
          <w:szCs w:val="20"/>
          <w:lang w:val="en-US"/>
        </w:rPr>
      </w:pPr>
      <w:r w:rsidRPr="0006325B">
        <w:rPr>
          <w:rFonts w:ascii="Arial" w:hAnsi="Arial" w:cs="Arial"/>
          <w:sz w:val="20"/>
          <w:szCs w:val="20"/>
          <w:lang w:val="en-US"/>
        </w:rPr>
        <w:t xml:space="preserve">Mehle, N., </w:t>
      </w:r>
      <w:proofErr w:type="spellStart"/>
      <w:r w:rsidRPr="0006325B">
        <w:rPr>
          <w:rFonts w:ascii="Arial" w:hAnsi="Arial" w:cs="Arial"/>
          <w:sz w:val="20"/>
          <w:szCs w:val="20"/>
          <w:lang w:val="en-US"/>
        </w:rPr>
        <w:t>Seljak</w:t>
      </w:r>
      <w:proofErr w:type="spellEnd"/>
      <w:r w:rsidRPr="0006325B">
        <w:rPr>
          <w:rFonts w:ascii="Arial" w:hAnsi="Arial" w:cs="Arial"/>
          <w:sz w:val="20"/>
          <w:szCs w:val="20"/>
          <w:lang w:val="en-US"/>
        </w:rPr>
        <w:t xml:space="preserve">, G., </w:t>
      </w:r>
      <w:proofErr w:type="spellStart"/>
      <w:r w:rsidRPr="0006325B">
        <w:rPr>
          <w:rFonts w:ascii="Arial" w:hAnsi="Arial" w:cs="Arial"/>
          <w:sz w:val="20"/>
          <w:szCs w:val="20"/>
          <w:lang w:val="en-US"/>
        </w:rPr>
        <w:t>Rupar</w:t>
      </w:r>
      <w:proofErr w:type="spellEnd"/>
      <w:r w:rsidRPr="0006325B">
        <w:rPr>
          <w:rFonts w:ascii="Arial" w:hAnsi="Arial" w:cs="Arial"/>
          <w:sz w:val="20"/>
          <w:szCs w:val="20"/>
          <w:lang w:val="en-US"/>
        </w:rPr>
        <w:t xml:space="preserve">, M., </w:t>
      </w:r>
      <w:proofErr w:type="spellStart"/>
      <w:r w:rsidRPr="0006325B">
        <w:rPr>
          <w:rFonts w:ascii="Arial" w:hAnsi="Arial" w:cs="Arial"/>
          <w:sz w:val="20"/>
          <w:szCs w:val="20"/>
          <w:lang w:val="en-US"/>
        </w:rPr>
        <w:t>Ravnikar</w:t>
      </w:r>
      <w:proofErr w:type="spellEnd"/>
      <w:r w:rsidRPr="0006325B">
        <w:rPr>
          <w:rFonts w:ascii="Arial" w:hAnsi="Arial" w:cs="Arial"/>
          <w:sz w:val="20"/>
          <w:szCs w:val="20"/>
          <w:lang w:val="en-US"/>
        </w:rPr>
        <w:t xml:space="preserve">, M., and Dermastia, M. 2010. The first detection of a phytoplasma from the 16SrV (Elm yellows) group in the mosaic leafhopper </w:t>
      </w:r>
      <w:proofErr w:type="spellStart"/>
      <w:r w:rsidRPr="0006325B">
        <w:rPr>
          <w:rFonts w:ascii="Arial" w:hAnsi="Arial" w:cs="Arial"/>
          <w:i/>
          <w:sz w:val="20"/>
          <w:szCs w:val="20"/>
          <w:lang w:val="en-US"/>
        </w:rPr>
        <w:t>Orientus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06325B">
        <w:rPr>
          <w:rFonts w:ascii="Arial" w:hAnsi="Arial" w:cs="Arial"/>
          <w:i/>
          <w:sz w:val="20"/>
          <w:szCs w:val="20"/>
          <w:lang w:val="en-US"/>
        </w:rPr>
        <w:t>ishidae</w:t>
      </w:r>
      <w:proofErr w:type="spellEnd"/>
      <w:r w:rsidRPr="0006325B">
        <w:rPr>
          <w:rFonts w:ascii="Arial" w:hAnsi="Arial" w:cs="Arial"/>
          <w:sz w:val="20"/>
          <w:szCs w:val="20"/>
          <w:lang w:val="en-US"/>
        </w:rPr>
        <w:t>. New Dis. Rep. 22: 11.</w:t>
      </w:r>
    </w:p>
    <w:p w:rsidR="00F61C54" w:rsidRPr="00E1678F" w:rsidRDefault="00F61C54" w:rsidP="003B6F7B">
      <w:pPr>
        <w:pStyle w:val="Nessunaspaziatura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E1678F">
        <w:rPr>
          <w:rFonts w:ascii="Arial" w:hAnsi="Arial" w:cs="Arial"/>
          <w:sz w:val="20"/>
          <w:szCs w:val="20"/>
          <w:lang w:val="en-US"/>
        </w:rPr>
        <w:t>Padovan</w:t>
      </w:r>
      <w:proofErr w:type="spellEnd"/>
      <w:r w:rsidRPr="00E1678F">
        <w:rPr>
          <w:rFonts w:ascii="Arial" w:hAnsi="Arial" w:cs="Arial"/>
          <w:sz w:val="20"/>
          <w:szCs w:val="20"/>
          <w:lang w:val="en-US"/>
        </w:rPr>
        <w:t xml:space="preserve">, A.C., Gibb, K.S., Bertaccini, A., </w:t>
      </w:r>
      <w:proofErr w:type="spellStart"/>
      <w:r w:rsidRPr="00E1678F">
        <w:rPr>
          <w:rFonts w:ascii="Arial" w:hAnsi="Arial" w:cs="Arial"/>
          <w:sz w:val="20"/>
          <w:szCs w:val="20"/>
          <w:lang w:val="en-US"/>
        </w:rPr>
        <w:t>Vibio</w:t>
      </w:r>
      <w:proofErr w:type="spellEnd"/>
      <w:r w:rsidRPr="00E1678F">
        <w:rPr>
          <w:rFonts w:ascii="Arial" w:hAnsi="Arial" w:cs="Arial"/>
          <w:sz w:val="20"/>
          <w:szCs w:val="20"/>
          <w:lang w:val="en-US"/>
        </w:rPr>
        <w:t xml:space="preserve">, M., </w:t>
      </w:r>
      <w:proofErr w:type="spellStart"/>
      <w:r w:rsidRPr="00E1678F">
        <w:rPr>
          <w:rFonts w:ascii="Arial" w:hAnsi="Arial" w:cs="Arial"/>
          <w:sz w:val="20"/>
          <w:szCs w:val="20"/>
          <w:lang w:val="en-US"/>
        </w:rPr>
        <w:t>Bonfig</w:t>
      </w:r>
      <w:r>
        <w:rPr>
          <w:rFonts w:ascii="Arial" w:hAnsi="Arial" w:cs="Arial"/>
          <w:sz w:val="20"/>
          <w:szCs w:val="20"/>
          <w:lang w:val="en-US"/>
        </w:rPr>
        <w:t>lioli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R.E., Magarey, P.A., 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Sears, B.B. 1995. Molecular detection of the Australian grapevine yellows phytoplasma and comparison with a grapevine yellows phytoplasma from Emilia-Romagna in Italy. </w:t>
      </w:r>
      <w:r>
        <w:rPr>
          <w:rFonts w:ascii="Arial" w:hAnsi="Arial" w:cs="Arial"/>
          <w:sz w:val="20"/>
          <w:szCs w:val="20"/>
          <w:lang w:val="en-US"/>
        </w:rPr>
        <w:t>Australian J.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 Grape </w:t>
      </w:r>
      <w:r>
        <w:rPr>
          <w:rFonts w:ascii="Arial" w:hAnsi="Arial" w:cs="Arial"/>
          <w:sz w:val="20"/>
          <w:szCs w:val="20"/>
          <w:lang w:val="en-US"/>
        </w:rPr>
        <w:t>and Wine Research,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 1: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1678F">
        <w:rPr>
          <w:rFonts w:ascii="Arial" w:hAnsi="Arial" w:cs="Arial"/>
          <w:sz w:val="20"/>
          <w:szCs w:val="20"/>
          <w:lang w:val="en-US"/>
        </w:rPr>
        <w:t>25-31.</w:t>
      </w:r>
    </w:p>
    <w:p w:rsidR="00F61C54" w:rsidRPr="00E1678F" w:rsidRDefault="00F61C54" w:rsidP="003B6F7B">
      <w:pPr>
        <w:pStyle w:val="Nessunaspaziatura"/>
        <w:jc w:val="both"/>
        <w:rPr>
          <w:rFonts w:ascii="Arial" w:hAnsi="Arial" w:cs="Arial"/>
          <w:sz w:val="20"/>
          <w:szCs w:val="20"/>
          <w:lang w:val="en-US"/>
        </w:rPr>
      </w:pPr>
      <w:r w:rsidRPr="00E1678F">
        <w:rPr>
          <w:rFonts w:ascii="Arial" w:hAnsi="Arial" w:cs="Arial"/>
          <w:sz w:val="20"/>
          <w:szCs w:val="20"/>
          <w:lang w:val="en-US"/>
        </w:rPr>
        <w:t xml:space="preserve">Schneider, B., </w:t>
      </w:r>
      <w:r>
        <w:rPr>
          <w:rFonts w:ascii="Arial" w:hAnsi="Arial" w:cs="Arial"/>
          <w:sz w:val="20"/>
          <w:szCs w:val="20"/>
          <w:lang w:val="en-US"/>
        </w:rPr>
        <w:t xml:space="preserve">Seemüller, E., Smart, C.D., </w:t>
      </w:r>
      <w:r w:rsidRPr="00E1678F">
        <w:rPr>
          <w:rFonts w:ascii="Arial" w:hAnsi="Arial" w:cs="Arial"/>
          <w:sz w:val="20"/>
          <w:szCs w:val="20"/>
          <w:lang w:val="en-US"/>
        </w:rPr>
        <w:t>Kirkpatrick,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B.C. 1995. Phylogenetic classification of plant pathogenic mycoplasma-like organisms or phytoplasmas. 369-380. In S. </w:t>
      </w:r>
      <w:proofErr w:type="spellStart"/>
      <w:r w:rsidRPr="00E1678F">
        <w:rPr>
          <w:rFonts w:ascii="Arial" w:hAnsi="Arial" w:cs="Arial"/>
          <w:sz w:val="20"/>
          <w:szCs w:val="20"/>
          <w:lang w:val="en-US"/>
        </w:rPr>
        <w:t>Razin</w:t>
      </w:r>
      <w:proofErr w:type="spellEnd"/>
      <w:r w:rsidRPr="00E1678F">
        <w:rPr>
          <w:rFonts w:ascii="Arial" w:hAnsi="Arial" w:cs="Arial"/>
          <w:sz w:val="20"/>
          <w:szCs w:val="20"/>
          <w:lang w:val="en-US"/>
        </w:rPr>
        <w:t xml:space="preserve"> and J.G. Tully (ed.), Molecular and diagnostic procedures in </w:t>
      </w:r>
      <w:proofErr w:type="spellStart"/>
      <w:r w:rsidRPr="00E1678F">
        <w:rPr>
          <w:rFonts w:ascii="Arial" w:hAnsi="Arial" w:cs="Arial"/>
          <w:sz w:val="20"/>
          <w:szCs w:val="20"/>
          <w:lang w:val="en-US"/>
        </w:rPr>
        <w:t>mycoplasmology</w:t>
      </w:r>
      <w:proofErr w:type="spellEnd"/>
      <w:r w:rsidRPr="00E1678F">
        <w:rPr>
          <w:rFonts w:ascii="Arial" w:hAnsi="Arial" w:cs="Arial"/>
          <w:sz w:val="20"/>
          <w:szCs w:val="20"/>
          <w:lang w:val="en-US"/>
        </w:rPr>
        <w:t>, vol.1. Ac</w:t>
      </w:r>
      <w:r>
        <w:rPr>
          <w:rFonts w:ascii="Arial" w:hAnsi="Arial" w:cs="Arial"/>
          <w:sz w:val="20"/>
          <w:szCs w:val="20"/>
          <w:lang w:val="en-US"/>
        </w:rPr>
        <w:t>ademic Press, San Diego, CA</w:t>
      </w:r>
      <w:r w:rsidRPr="00E1678F">
        <w:rPr>
          <w:rFonts w:ascii="Arial" w:hAnsi="Arial" w:cs="Arial"/>
          <w:sz w:val="20"/>
          <w:szCs w:val="20"/>
          <w:lang w:val="en-US"/>
        </w:rPr>
        <w:t>.</w:t>
      </w:r>
    </w:p>
    <w:p w:rsidR="00F61C54" w:rsidRPr="00E1678F" w:rsidRDefault="00F61C54" w:rsidP="003B6F7B">
      <w:pPr>
        <w:pStyle w:val="Nessunaspaziatura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61C54">
        <w:rPr>
          <w:rFonts w:ascii="Arial" w:hAnsi="Arial" w:cs="Arial"/>
          <w:sz w:val="20"/>
          <w:szCs w:val="20"/>
          <w:lang w:val="en-US"/>
        </w:rPr>
        <w:t>Trivellone</w:t>
      </w:r>
      <w:proofErr w:type="spellEnd"/>
      <w:r w:rsidRPr="00F61C54">
        <w:rPr>
          <w:rFonts w:ascii="Arial" w:hAnsi="Arial" w:cs="Arial"/>
          <w:sz w:val="20"/>
          <w:szCs w:val="20"/>
          <w:lang w:val="en-US"/>
        </w:rPr>
        <w:t xml:space="preserve">, V., Filippin, L., </w:t>
      </w:r>
      <w:proofErr w:type="spellStart"/>
      <w:r w:rsidRPr="00F61C54">
        <w:rPr>
          <w:rFonts w:ascii="Arial" w:hAnsi="Arial" w:cs="Arial"/>
          <w:sz w:val="20"/>
          <w:szCs w:val="20"/>
          <w:lang w:val="en-US"/>
        </w:rPr>
        <w:t>Jermini</w:t>
      </w:r>
      <w:proofErr w:type="spellEnd"/>
      <w:r w:rsidRPr="00F61C54">
        <w:rPr>
          <w:rFonts w:ascii="Arial" w:hAnsi="Arial" w:cs="Arial"/>
          <w:sz w:val="20"/>
          <w:szCs w:val="20"/>
          <w:lang w:val="en-US"/>
        </w:rPr>
        <w:t xml:space="preserve">, M., Angelini, E. 2015. 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Molecular characterization of phytoplasma strains in leafhoppers inhabiting the vineyard agroecosystem in </w:t>
      </w:r>
      <w:r>
        <w:rPr>
          <w:rFonts w:ascii="Arial" w:hAnsi="Arial" w:cs="Arial"/>
          <w:sz w:val="20"/>
          <w:szCs w:val="20"/>
          <w:lang w:val="en-US"/>
        </w:rPr>
        <w:t xml:space="preserve">Southern Switzerland. Phytopathogenic Mollicutes, 5(1-Supplement), </w:t>
      </w:r>
      <w:r w:rsidRPr="00E1678F">
        <w:rPr>
          <w:rFonts w:ascii="Arial" w:hAnsi="Arial" w:cs="Arial"/>
          <w:sz w:val="20"/>
          <w:szCs w:val="20"/>
          <w:lang w:val="en-US"/>
        </w:rPr>
        <w:t>S45-S46.</w:t>
      </w:r>
    </w:p>
    <w:p w:rsidR="0006325B" w:rsidRPr="00A26470" w:rsidRDefault="00F61C54" w:rsidP="003B6F7B">
      <w:pPr>
        <w:pStyle w:val="Nessunaspaziatura"/>
        <w:jc w:val="both"/>
        <w:rPr>
          <w:rFonts w:ascii="Arial" w:hAnsi="Arial" w:cs="Arial"/>
          <w:sz w:val="20"/>
          <w:szCs w:val="20"/>
          <w:lang w:val="en-US"/>
        </w:rPr>
      </w:pPr>
      <w:r w:rsidRPr="00E1678F">
        <w:rPr>
          <w:rFonts w:ascii="Arial" w:hAnsi="Arial" w:cs="Arial"/>
          <w:sz w:val="20"/>
          <w:szCs w:val="20"/>
          <w:lang w:val="en-US"/>
        </w:rPr>
        <w:t>Zamharir, M. G., Paltrinieri, S.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Hajivand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S., Taheri, M., </w:t>
      </w:r>
      <w:r w:rsidRPr="00E1678F">
        <w:rPr>
          <w:rFonts w:ascii="Arial" w:hAnsi="Arial" w:cs="Arial"/>
          <w:sz w:val="20"/>
          <w:szCs w:val="20"/>
          <w:lang w:val="en-US"/>
        </w:rPr>
        <w:t>Bertaccini, A. 2017. Molecular identification of diverse ‘</w:t>
      </w:r>
      <w:r w:rsidRPr="00E1678F">
        <w:rPr>
          <w:rFonts w:ascii="Arial" w:hAnsi="Arial" w:cs="Arial"/>
          <w:i/>
          <w:sz w:val="20"/>
          <w:szCs w:val="20"/>
          <w:lang w:val="en-US"/>
        </w:rPr>
        <w:t>Candidatus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 Phytoplasma’ species associated with grapevine decline in Iran. J</w:t>
      </w:r>
      <w:r>
        <w:rPr>
          <w:rFonts w:ascii="Arial" w:hAnsi="Arial" w:cs="Arial"/>
          <w:sz w:val="20"/>
          <w:szCs w:val="20"/>
          <w:lang w:val="en-US"/>
        </w:rPr>
        <w:t>ournal of Phytopathology,</w:t>
      </w:r>
      <w:r w:rsidRPr="00E1678F">
        <w:rPr>
          <w:rFonts w:ascii="Arial" w:hAnsi="Arial" w:cs="Arial"/>
          <w:sz w:val="20"/>
          <w:szCs w:val="20"/>
          <w:lang w:val="en-US"/>
        </w:rPr>
        <w:t xml:space="preserve"> 165: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1678F">
        <w:rPr>
          <w:rFonts w:ascii="Arial" w:hAnsi="Arial" w:cs="Arial"/>
          <w:sz w:val="20"/>
          <w:szCs w:val="20"/>
          <w:lang w:val="en-US"/>
        </w:rPr>
        <w:t>407–413.</w:t>
      </w:r>
    </w:p>
    <w:sectPr w:rsidR="0006325B" w:rsidRPr="00A26470" w:rsidSect="00E167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27"/>
    <w:rsid w:val="00023A27"/>
    <w:rsid w:val="000601A6"/>
    <w:rsid w:val="0006325B"/>
    <w:rsid w:val="00080B69"/>
    <w:rsid w:val="000A256E"/>
    <w:rsid w:val="00203120"/>
    <w:rsid w:val="002A750B"/>
    <w:rsid w:val="002F0FC6"/>
    <w:rsid w:val="003244C4"/>
    <w:rsid w:val="00331C6B"/>
    <w:rsid w:val="00370E27"/>
    <w:rsid w:val="003B6F7B"/>
    <w:rsid w:val="0055361F"/>
    <w:rsid w:val="005542AC"/>
    <w:rsid w:val="00580133"/>
    <w:rsid w:val="00651975"/>
    <w:rsid w:val="00707E90"/>
    <w:rsid w:val="00887FD5"/>
    <w:rsid w:val="0089267D"/>
    <w:rsid w:val="009D2112"/>
    <w:rsid w:val="009E2A1B"/>
    <w:rsid w:val="00A26470"/>
    <w:rsid w:val="00B2210F"/>
    <w:rsid w:val="00B57FF4"/>
    <w:rsid w:val="00B77CD2"/>
    <w:rsid w:val="00BA0305"/>
    <w:rsid w:val="00BF74A0"/>
    <w:rsid w:val="00D2194C"/>
    <w:rsid w:val="00E1678F"/>
    <w:rsid w:val="00E62FF3"/>
    <w:rsid w:val="00EC0EE8"/>
    <w:rsid w:val="00F6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E27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370E27"/>
    <w:pPr>
      <w:spacing w:after="0" w:line="240" w:lineRule="auto"/>
    </w:pPr>
    <w:rPr>
      <w:rFonts w:ascii="Calibri" w:eastAsia="Calibri" w:hAnsi="Calibri" w:cs="Times New Roman"/>
      <w:lang w:val="es-MX"/>
    </w:rPr>
  </w:style>
  <w:style w:type="character" w:styleId="Rimandocommento">
    <w:name w:val="annotation reference"/>
    <w:basedOn w:val="Carpredefinitoparagrafo"/>
    <w:uiPriority w:val="99"/>
    <w:semiHidden/>
    <w:rsid w:val="00BF74A0"/>
    <w:rPr>
      <w:rFonts w:cs="Times New Roman"/>
      <w:sz w:val="16"/>
      <w:szCs w:val="16"/>
    </w:rPr>
  </w:style>
  <w:style w:type="character" w:customStyle="1" w:styleId="fontsize2">
    <w:name w:val="fontsize2"/>
    <w:basedOn w:val="Carpredefinitoparagrafo"/>
    <w:uiPriority w:val="99"/>
    <w:rsid w:val="00707E9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E27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370E27"/>
    <w:pPr>
      <w:spacing w:after="0" w:line="240" w:lineRule="auto"/>
    </w:pPr>
    <w:rPr>
      <w:rFonts w:ascii="Calibri" w:eastAsia="Calibri" w:hAnsi="Calibri" w:cs="Times New Roman"/>
      <w:lang w:val="es-MX"/>
    </w:rPr>
  </w:style>
  <w:style w:type="character" w:styleId="Rimandocommento">
    <w:name w:val="annotation reference"/>
    <w:basedOn w:val="Carpredefinitoparagrafo"/>
    <w:uiPriority w:val="99"/>
    <w:semiHidden/>
    <w:rsid w:val="00BF74A0"/>
    <w:rPr>
      <w:rFonts w:cs="Times New Roman"/>
      <w:sz w:val="16"/>
      <w:szCs w:val="16"/>
    </w:rPr>
  </w:style>
  <w:style w:type="character" w:customStyle="1" w:styleId="fontsize2">
    <w:name w:val="fontsize2"/>
    <w:basedOn w:val="Carpredefinitoparagrafo"/>
    <w:uiPriority w:val="99"/>
    <w:rsid w:val="00707E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94341F0-0C45-4CCA-82B5-CAC3D026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Zambon</dc:creator>
  <cp:lastModifiedBy>user</cp:lastModifiedBy>
  <cp:revision>2</cp:revision>
  <dcterms:created xsi:type="dcterms:W3CDTF">2017-11-10T11:11:00Z</dcterms:created>
  <dcterms:modified xsi:type="dcterms:W3CDTF">2017-11-10T11:11:00Z</dcterms:modified>
</cp:coreProperties>
</file>