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F3CBB" w14:textId="77777777" w:rsidR="0054161B" w:rsidRPr="003F6D4E" w:rsidRDefault="0054161B" w:rsidP="003F6D4E">
      <w:pPr>
        <w:spacing w:line="480" w:lineRule="auto"/>
        <w:jc w:val="both"/>
        <w:rPr>
          <w:rFonts w:ascii="Times New Roman" w:hAnsi="Times New Roman" w:cs="Times New Roman"/>
          <w:b/>
          <w:bCs/>
          <w:sz w:val="22"/>
          <w:szCs w:val="22"/>
        </w:rPr>
      </w:pPr>
      <w:r w:rsidRPr="003F6D4E">
        <w:rPr>
          <w:rFonts w:ascii="Times New Roman" w:hAnsi="Times New Roman" w:cs="Times New Roman"/>
          <w:b/>
          <w:bCs/>
          <w:sz w:val="22"/>
          <w:szCs w:val="22"/>
        </w:rPr>
        <w:t>Supplementary materials</w:t>
      </w:r>
    </w:p>
    <w:p w14:paraId="065808EC" w14:textId="77777777" w:rsidR="0054161B" w:rsidRPr="003F6D4E" w:rsidRDefault="0054161B" w:rsidP="003F6D4E">
      <w:pPr>
        <w:spacing w:line="480" w:lineRule="auto"/>
        <w:jc w:val="both"/>
        <w:rPr>
          <w:rFonts w:ascii="Times New Roman" w:hAnsi="Times New Roman" w:cs="Times New Roman"/>
          <w:b/>
          <w:bCs/>
          <w:sz w:val="22"/>
          <w:szCs w:val="22"/>
        </w:rPr>
      </w:pPr>
    </w:p>
    <w:p w14:paraId="6CDC4CC2" w14:textId="77777777" w:rsidR="008F2A86" w:rsidRPr="003F6D4E" w:rsidRDefault="008F2A86" w:rsidP="003F6D4E">
      <w:pPr>
        <w:spacing w:line="480" w:lineRule="auto"/>
        <w:jc w:val="both"/>
        <w:rPr>
          <w:rFonts w:ascii="Times New Roman" w:hAnsi="Times New Roman" w:cs="Times New Roman"/>
          <w:bCs/>
          <w:i/>
          <w:sz w:val="22"/>
          <w:szCs w:val="22"/>
        </w:rPr>
      </w:pPr>
      <w:r w:rsidRPr="003F6D4E">
        <w:rPr>
          <w:rFonts w:ascii="Times New Roman" w:hAnsi="Times New Roman" w:cs="Times New Roman"/>
          <w:bCs/>
          <w:i/>
          <w:sz w:val="22"/>
          <w:szCs w:val="22"/>
        </w:rPr>
        <w:t>Demographics and clinical features of included studies</w:t>
      </w:r>
    </w:p>
    <w:p w14:paraId="0B110EF4" w14:textId="35D02511" w:rsidR="00010597" w:rsidRDefault="008F2A86" w:rsidP="003F6D4E">
      <w:pPr>
        <w:spacing w:line="480" w:lineRule="auto"/>
        <w:jc w:val="both"/>
        <w:rPr>
          <w:rFonts w:ascii="Times New Roman" w:hAnsi="Times New Roman" w:cs="Times New Roman"/>
          <w:b/>
          <w:bCs/>
          <w:sz w:val="22"/>
          <w:szCs w:val="22"/>
        </w:rPr>
      </w:pPr>
      <w:r w:rsidRPr="003F6D4E">
        <w:rPr>
          <w:rFonts w:ascii="Times New Roman" w:hAnsi="Times New Roman" w:cs="Times New Roman"/>
          <w:bCs/>
          <w:sz w:val="22"/>
          <w:szCs w:val="22"/>
        </w:rPr>
        <w:tab/>
      </w:r>
      <w:bookmarkStart w:id="0" w:name="_GoBack"/>
      <w:r w:rsidR="003F6D4E" w:rsidRPr="003F6D4E">
        <w:rPr>
          <w:rFonts w:ascii="Times New Roman" w:hAnsi="Times New Roman" w:cs="Times New Roman"/>
          <w:sz w:val="22"/>
          <w:szCs w:val="22"/>
        </w:rPr>
        <w:t xml:space="preserve">Patients had median and/or mean age ranging from 59 to 69 years, a male preponderance (ranging from 53.5% to 71.0%) in all but one studies </w:t>
      </w:r>
      <w:r w:rsidR="003F6D4E" w:rsidRPr="003F6D4E">
        <w:rPr>
          <w:rFonts w:ascii="Times New Roman" w:hAnsi="Times New Roman" w:cs="Times New Roman"/>
          <w:sz w:val="22"/>
          <w:szCs w:val="22"/>
        </w:rPr>
        <w:fldChar w:fldCharType="begin"/>
      </w:r>
      <w:r w:rsidR="003F6D4E" w:rsidRPr="003F6D4E">
        <w:rPr>
          <w:rFonts w:ascii="Times New Roman" w:hAnsi="Times New Roman" w:cs="Times New Roman"/>
          <w:sz w:val="22"/>
          <w:szCs w:val="22"/>
        </w:rPr>
        <w:instrText xml:space="preserve"> ADDIN ZOTERO_ITEM CSL_CITATION {"citationID":"mUkJRRz8","properties":{"formattedCitation":"[20,21,23\\uc0\\u8211{}25]","plainCitation":"[20,21,23–25]","noteIndex":0},"citationItems":[{"id":1787,"uris":["http://zotero.org/users/local/wdeRwDbG/items/59ZST5SK"],"itemData":{"id":1787,"type":"article-journal","abstract":"ABSTRACT\n            \n              \n              \n                Few studies compare outcomes of patients with difficult-to-treat resistance (DTR)\n                Pseudomonas aeruginosa\n                infections treated with ceftolozane-tazobactam versus ceftazidime-avibactam. A multicenter prospective study was conducted of unique patients with DTR\n                P. aeruginosa\n                infections from 2018 to 2023 receiving &gt;72 h of ceftolozane-tazobactam or ceftazidime-avibactam, with confirmation that the\n                P. aeruginosa\n                isolate was susceptible to the agent administered by broth microdilution. Inverse probability weighting (IPW) incorporating propensity scores was utilized to ensure balanced baseline characteristics. Regression performed on the post-IPW group determined 30-day mortality and subsequent emergence of resistance (i.e., ≥4-fold increase in MIC) to the initial treatment (i.e., ceftolozane-tazobactam or ceftazidime-avibactam). Among 186 eligible patients, 102 (55%) received ceftolozane-tazobactam and 84 (45%) received ceftazidime-avibactam. In the post-IPW cohort, balance was achieved across all variables [e.g., demographics, severity of illness, severe immunocompromise, Charlson Comorbidity Index ≥5, continuous renal replacement therapy (CRRT), source of infection, combination therapy]. Thirty-day mortality was similar between the ceftolozane-tazobactam and ceftazidime-avibactam groups [21% vs 17%; adjusted odds ratio (aOR): 1.01 (95% confidence interval, CI: 0.90–1.14)]. Emergence of resistance was higher in the ceftolozane-tazobactam group [38% vs 25%; aOR: 1.89 (95% CI: 0.98–4.88)], but did not achieve statistical significance. Prolonged treatment durations and use of CRRT were associated with increased emergence of resistance (both\n                P\n                = 0.04). Although the survival of patients with DTR\n                P. aeruginosa\n                infections appears similar regardless of whether ceftolozane-tazobactam or ceftazidime-avibactam is prescribed, the emergence of resistance may be more concerning with the former. Plausible mechanistic explanations support these findings. Modifiable risk factors were identified that may mitigate this risk.","container-title":"Antimicrobial Agents and Chemotherapy","DOI":"10.1128/aac.00907-24","ISSN":"0066-4804, 1098-6596","issue":"10","journalAbbreviation":"Antimicrob Agents Chemother","language":"en","page":"e00907-24","source":"DOI.org (Crossref)","title":"Clinical outcomes and emergence of resistance of &lt;i&gt;Pseudomonas aeruginosa&lt;/i&gt; infections treated with ceftolozane-tazobactam versus ceftazidime-avibactam","volume":"68","author":[{"family":"Hareza","given":"Dariusz A."},{"family":"Cosgrove","given":"Sara E."},{"family":"Bonomo","given":"Robert A."},{"family":"Dzintars","given":"Kathryn"},{"family":"Karaba","given":"Sara M."},{"family":"Hawes","given":"Armani M."},{"family":"Tekle","given":"Tsigereda"},{"family":"Simner","given":"Patricia J."},{"family":"Tamma","given":"Pranita D."}],"editor":[{"family":"Uhlemann","given":"Anne-Catrin"}],"issued":{"date-parts":[["2024",10,8]]}}},{"id":1788,"uris":["http://zotero.org/users/local/wdeRwDbG/items/MYX558BY"],"itemData":{"id":1788,"type":"article-journal","abstract":"Ceftolozane-tazobactam (C-T) and ceftazidime-avibactam (CAZ-AVI) are two novel antimicrobials that retain activity against resistant\n              Pseudomonas aeruginosa\n              . The comparative effectiveness and safety of C-T versus CAZ-AVI remain unknown.\n            \n          , \n            ABSTRACT\n            \n              Ceftolozane-tazobactam (C-T) and ceftazidime-avibactam (CAZ-AVI) are two novel antimicrobials that retain activity against resistant\n              Pseudomonas aeruginosa\n              . The comparative effectiveness and safety of C-T versus CAZ-AVI remain unknown. A retrospective, multicenter cohort study was performed in six tertiary centers in Saudi Arabia and included patients who received either C-T or CAZ-AVI for infections due to multidrug-resistant (MDR)\n              P. aeruginosa\n              . Overall in-hospital mortality, 30-day mortality, and clinical cure were the main study outcomes. Safety outcomes were also evaluated. A multivariate analysis using logistic regression was used to determine the independent impact of treatment on the main outcomes of interest. We enrolled 200 patients in the study (100 in each treatment arm). A total of 56% were in the intensive care unit, 48% were mechanically ventilated, and 37% were in septic shock. Approximately 19% of patients had bacteremia. Combination therapy was administered to 41% of the patients. The differences between the C-T and CAZ-AVI groups did not reach statistical significance in the overall in-hospital mortality (44% versus 37%;\n              P\n               = 0.314; OR, 1.34; 95% CI, 0.76 to 2.36), 30-day mortality (27% versus 23%;\n              P\n               = 0.514; OR, 1.24; 95% CI, 0.65 to 2.35), clinical cure (61% versus 66%;\n              P\n               = 0.463; OR, 0.81; 95% CI, 0.43 to 1.49), or acute kidney injury (23% versus 17%;\n              P\n               = 0.289; OR, 1.46; 95% CI, 0.69 to 3.14), even after adjusting for differences between the two groups. C-T and CAZ-AVI did not significantly differ in terms of safety and effectiveness, and they serve as potential options for the treatment of infections caused by MDR\n              P. aeruginosa\n              .","container-title":"Antimicrobial Agents and Chemotherapy","DOI":"10.1128/aac.00405-23","ISSN":"0066-4804, 1098-6596","issue":"8","journalAbbreviation":"Antimicrob Agents Chemother","language":"en","page":"e00405-23","source":"DOI.org (Crossref)","title":"Ceftolozane-Tazobactam Versus Ceftazidime-Avibactam for the Treatment of Infections Caused by Multidrug-Resistant Pseudomonas aeruginosa: a Multicenter Cohort Study","title-short":"Ceftolozane-Tazobactam Versus Ceftazidime-Avibactam for the Treatment of Infections Caused by Multidrug-Resistant Pseudomonas aeruginosa","volume":"67","author":[{"family":"Almangour","given":"Thamer A."},{"family":"Ghonem","given":"Leen"},{"family":"Alassiri","given":"Dareen"},{"family":"Aljurbua","given":"Alanoud"},{"family":"Al Musawa","given":"Mohammed"},{"family":"Alharbi","given":"Aminah"},{"family":"Almohaizeie","given":"Abdullah"},{"family":"Almuhisen","given":"Sara"},{"family":"Alghaith","given":"Jeelan"},{"family":"Damfu","given":"Nader"},{"family":"Aljefri","given":"Doaa"},{"family":"Alfahad","given":"Wafa"},{"family":"Khormi","given":"Yaqoub"},{"family":"Alanazi","given":"Menyfah Q."},{"family":"Alsowaida","given":"Yazed Saleh"}],"issued":{"date-parts":[["2023",8,17]]}}},{"id":1789,"uris":["http://zotero.org/users/local/wdeRwDbG/items/U6Y3MI6D"],"itemData":{"id":1789,"type":"article-journal","abstract":"Abstract\n            Among consecutive patients with multidrug-resistant Pseudomonas aeruginosa bacteremia or pneumonia we found those treated with ceftazidime-avibactam were more likely to develop resistance (defined as ≥4-fold increased MIC) than those treated with ceftolozane-tazobactam (40% vs 10%; P = .002). Ceftazidime-avibactam resistance was associated with new mutations in ampC and efflux regulatory pathways.","container-title":"Clinical Infectious Diseases","DOI":"10.1093/cid/ciae332","ISSN":"1058-4838, 1537-6591","issue":"1","language":"en","license":"https://academic.oup.com/pages/standard-publication-reuse-rights","page":"24-28","source":"DOI.org (Crossref)","title":"Rates of Resistance to Ceftazidime-Avibactam and Ceftolozane-Tazobactam Among Patients Treated for Multidrug-Resistant &lt;i&gt;Pseudomonas aeruginosa&lt;/i&gt; Bacteremia or Pneumonia","volume":"80","author":[{"family":"Shah","given":"Sunish"},{"family":"Kline","given":"Ellen G"},{"family":"Haidar","given":"Ghady"},{"family":"Squires","given":"Kevin M"},{"family":"Pogue","given":"Jason M"},{"family":"McCreary","given":"Erin K"},{"family":"Ludwig","given":"Justin"},{"family":"Clarke","given":"Lloyd G"},{"family":"Stellfox","given":"Madison"},{"family":"Van Tyne","given":"Daria"},{"family":"Shields","given":"Ryan K"}],"issued":{"date-parts":[["2025",2,5]]}}},{"id":1782,"uris":["http://zotero.org/users/local/wdeRwDbG/items/T9ZPTYVQ"],"itemData":{"id":1782,"type":"article-journal","container-title":"The Lancet Infectious Diseases","DOI":"10.1016/S1473-3099(24)00648-0","ISSN":"14733099","issue":"5","journalAbbreviation":"The Lancet Infectious Diseases","language":"en","page":"574-584","source":"DOI.org (Crossref)","title":"Effectiveness of ceftazidime–avibactam versus ceftolozane–tazobactam for multidrug-resistant Pseudomonas aeruginosa infections in the USA (CACTUS): a multicentre, retrospective, observational study","title-short":"Effectiveness of ceftazidime–avibactam versus ceftolozane–tazobactam for multidrug-resistant Pseudomonas aeruginosa infections in the USA (CACTUS)","volume":"25","author":[{"family":"Shields","given":"Ryan K"},{"family":"Abbo","given":"Lilian M"},{"family":"Ackley","given":"Renee"},{"family":"Aitken","given":"Samuel L"},{"family":"Albrecht","given":"Benjamin"},{"family":"Babiker","given":"Ahmed"},{"family":"Burgoon","given":"Rachel"},{"family":"Cifuentes","given":"Renzo"},{"family":"Claeys","given":"Kimberly C"},{"family":"Curry","given":"Brooke N"},{"family":"DeSear","given":"Kathryn E"},{"family":"Gallagher","given":"Jason C"},{"family":"Golnabi","given":"Esther Y"},{"family":"Gross","given":"Alan E"},{"family":"Hand","given":"Jonathan"},{"family":"Heil","given":"Emily L"},{"family":"Hornback","given":"Krutika M"},{"family":"Kaye","given":"Keith S"},{"family":"Khuu","given":"Trieu-Vi"},{"family":"Klatt","given":"Megan E"},{"family":"Kline","given":"Ellen G"},{"family":"Kubat","given":"Ryan C"},{"family":"Kufel","given":"Wesley D"},{"family":"Lee","given":"Jae Hyoung"},{"family":"Lepak","given":"Alexander J"},{"family":"Lim","given":"Ahmi"},{"family":"Ludwig","given":"Justin M"},{"family":"Macdougall","given":"Conan"},{"family":"Majumdar","given":"Anjali"},{"family":"Mathers","given":"Amy J"},{"family":"McCreary","given":"Erin K"},{"family":"Miller","given":"William R"},{"family":"Monogue","given":"Marguerite L"},{"family":"Moore","given":"W Justin"},{"family":"Olson","given":"Shannon"},{"family":"Oxer","given":"Jessica"},{"family":"Pearson","given":"Jeffrey C"},{"family":"Pham","given":"Christine"},{"family":"Pinargote","given":"Paulette"},{"family":"Polk","given":"Christopher"},{"family":"Satlin","given":"Michael J"},{"family":"Satola","given":"Sarah W"},{"family":"Shah","given":"Sunish"},{"family":"Tamma","given":"Pranita D"},{"family":"Tran","given":"Truc T"},{"family":"Van Duin","given":"David"},{"family":"VanNatta","given":"Mollie"},{"family":"Vega","given":"Ana"},{"family":"Venugopalan","given":"Veena"},{"family":"Veve","given":"Michael P"},{"family":"Wangchinda","given":"Walaiporn"},{"family":"Witt","given":"Lucy S"},{"family":"Wu","given":"Janet Y"},{"family":"Pogue","given":"Jason M"},{"family":"Shields","given":"Ryan K"},{"family":"Abbo","given":"Lilian M"},{"family":"Ackley","given":"Renee"},{"family":"Aitken","given":"Samuel L"},{"family":"Albrecht","given":"Benjamin"},{"family":"Babiker","given":"Ahmed"},{"family":"Burgoon","given":"Rachel"},{"family":"Cifuentes","given":"Renzo"},{"family":"Claeys","given":"Kimberly C"},{"family":"Curry","given":"Brooke N"},{"family":"DeSear","given":"Kathryn E"},{"family":"Gallagher","given":"Jason C"},{"family":"Golnabi","given":"Esther Y"},{"family":"Gross","given":"Alan E"},{"family":"Hand","given":"Jonathan"},{"family":"Heil","given":"Emily L"},{"family":"Hornback","given":"Krutika M"},{"family":"Kaye","given":"Keith S"},{"family":"Khuu","given":"Trieu-Vi"},{"family":"Klatt","given":"Megan E"},{"family":"Kline","given":"Ellen G"},{"family":"Kubat","given":"Ryan C"},{"family":"Kufel","given":"Wesley D"},{"family":"Lee","given":"Jae Hyoung"},{"family":"Lepak","given":"Alexander J"},{"family":"Lim","given":"Ahmi"},{"family":"Ludwig","given":"Justin M"},{"family":"Macdougall","given":"Conan"},{"family":"Majumdar","given":"Anjali"},{"family":"Mathers","given":"Amy J"},{"family":"McCreary","given":"Erin K"},{"family":"Miller","given":"William R"},{"family":"Monogue","given":"Marguerite L"},{"family":"Moore","given":"W Justin"},{"family":"Olson","given":"Shannon"},{"family":"Oxer","given":"Jessica"},{"family":"Pearson","given":"Jeffrey C"},{"family":"Pham","given":"Christine"},{"family":"Pinargote","given":"Paulette"},{"family":"Polk","given":"Christopher"},{"family":"Satlin","given":"Michael J"},{"family":"Satola","given":"Sarah W"},{"family":"Shah","given":"Sunish"},{"family":"Tamma","given":"Pranita D"},{"family":"Tran","given":"Truc T"},{"family":"Van Duin","given":"David"},{"family":"VanNatta","given":"Mollie"},{"family":"Vega","given":"Ana"},{"family":"Venugopalan","given":"Veena"},{"family":"Veve","given":"Michael P"},{"family":"Wangchinda","given":"Walaiporn"},{"family":"Witt","given":"Lucy S"},{"family":"Wu","given":"Janet Y"},{"family":"Pogue","given":"Jason M"}],"issued":{"date-parts":[["2025",5]]}}},{"id":324,"uris":["http://zotero.org/users/local/wdeRwDbG/items/646JTEQM"],"itemData":{"id":324,"type":"article-journal","abstract":"Abstract\n            \n              Background\n              Ceftolozane/tazobactam and ceftazidime/avibactam are commonly used in patients with MDR-Pseudomonas aeruginosa (PSA) pneumonia (PNA). This study compared outcomes between non-COVID-19 hospitalized patients with MDR-PSA PNA who received ceftolozane/tazobactam or ceftazidime/avibactam.\n            \n            \n              Methods\n              The study included non-COVID-19 adult hospitalized patients with MDR-PSA PNA in the PINC AI Healthcare Database (2016–22) who received ceftolozane/tazobactam or ceftazidime/avibactam within 3 days of index culture for ≥2 days. Outcomes were mortality, recurrent MDR-PSA PNA, discharge destination, post-index culture day length of stay (LOS) and costs (in US dollars, USD), and hospital readmission.\n            \n            \n              Results\n              The final sample included 197 patients (117 ceftolozane/tazobactam, 80 ceftazidime/avibactam). No significant differences were observed in mortality and post-index culture LOS and costs between groups. In the multivariable analyses, patients who received ceftolozane/tazobactam versus ceftazidime/avibactam had lower recurrent MDR-PSA PNA (7.9% versus 18.0%, P = 0.03) and 60 day PNA-related readmissions (11.1% versus 28.5%, P = 0.03) and were more likely to be discharged home (25.8% versus 9.8%, P = 0.03). Compared with ceftazidime/avibactam patients, ceftolozane/tazobactam patients had lower adjusted median total antibiotic costs (5052 USD versus 8099 USD, P = 0.003) and lower adjusted median comparator (ceftolozane/tazobactam or ceftazidime/avibactam) antibiotic costs (3938 USD versus 6441 USD, P = 0.005). In the desirability of outcome ranking (DOOR) analysis, a ceftolozane/tazobactam-treated patient was more likely to have a more favourable outcome than a ceftazidime/avibactam-treated patient [DOOR probability: 59.6% (95% CI: 52.5%–66.8%)].\n            \n            \n              Conclusions\n              Early treatment with ceftolozane/tazobactam may offer some clinical and cost benefits over ceftazidime/avibactam in patients with MDR-PSA PNA. Further large-scale studies are necessary to comprehensively understand the outcomes associated with these treatments for MDR-PSA PNA.","container-title":"Journal of Antimicrobial Chemotherapy","DOI":"10.1093/jac/dkae313","ISSN":"0305-7453, 1460-2091","language":"en","license":"https://creativecommons.org/licenses/by/4.0/","page":"dkae313","source":"DOI.org (Crossref)","title":"Comparative evaluation of early treatment with ceftolozane/tazobactam versus ceftazidime/avibactam for non-COVID-19 patients with pneumonia due to multidrug-resistant &lt;i&gt;Pseudomonas aeruginosa&lt;/i&gt;","author":[{"family":"Lodise","given":"Thomas P"},{"family":"Obi","given":"Engels N"},{"family":"Watanabe","given":"Alexandre H"},{"family":"Yucel","given":"Emre"},{"family":"Min","given":"Jae"},{"family":"Nathanson","given":"Brian H"}],"issued":{"date-parts":[["2024",9,11]]}}}],"schema":"https://github.com/citation-style-language/schema/raw/master/csl-citation.json"} </w:instrText>
      </w:r>
      <w:r w:rsidR="003F6D4E" w:rsidRPr="003F6D4E">
        <w:rPr>
          <w:rFonts w:ascii="Times New Roman" w:hAnsi="Times New Roman" w:cs="Times New Roman"/>
          <w:sz w:val="22"/>
          <w:szCs w:val="22"/>
        </w:rPr>
        <w:fldChar w:fldCharType="separate"/>
      </w:r>
      <w:r w:rsidR="003F6D4E" w:rsidRPr="003F6D4E">
        <w:rPr>
          <w:rFonts w:ascii="Times New Roman" w:hAnsi="Times New Roman" w:cs="Times New Roman"/>
          <w:sz w:val="22"/>
          <w:szCs w:val="22"/>
        </w:rPr>
        <w:t>[20,21,23–25]</w:t>
      </w:r>
      <w:r w:rsidR="003F6D4E" w:rsidRPr="003F6D4E">
        <w:rPr>
          <w:rFonts w:ascii="Times New Roman" w:hAnsi="Times New Roman" w:cs="Times New Roman"/>
          <w:sz w:val="22"/>
          <w:szCs w:val="22"/>
        </w:rPr>
        <w:fldChar w:fldCharType="end"/>
      </w:r>
      <w:r w:rsidR="003F6D4E" w:rsidRPr="003F6D4E">
        <w:rPr>
          <w:rFonts w:ascii="Times New Roman" w:hAnsi="Times New Roman" w:cs="Times New Roman"/>
          <w:sz w:val="22"/>
          <w:szCs w:val="22"/>
        </w:rPr>
        <w:t xml:space="preserve"> and an ICU admission higher than 50% in all of the studies </w:t>
      </w:r>
      <w:r w:rsidR="003F6D4E" w:rsidRPr="003F6D4E">
        <w:rPr>
          <w:rFonts w:ascii="Times New Roman" w:hAnsi="Times New Roman" w:cs="Times New Roman"/>
          <w:sz w:val="22"/>
          <w:szCs w:val="22"/>
        </w:rPr>
        <w:fldChar w:fldCharType="begin"/>
      </w:r>
      <w:r w:rsidR="003F6D4E" w:rsidRPr="003F6D4E">
        <w:rPr>
          <w:rFonts w:ascii="Times New Roman" w:hAnsi="Times New Roman" w:cs="Times New Roman"/>
          <w:sz w:val="22"/>
          <w:szCs w:val="22"/>
        </w:rPr>
        <w:instrText xml:space="preserve"> ADDIN ZOTERO_ITEM CSL_CITATION {"citationID":"upQIvjcj","properties":{"formattedCitation":"[20,22\\uc0\\u8211{}25]","plainCitation":"[20,22–25]","noteIndex":0},"citationItems":[{"id":1787,"uris":["http://zotero.org/users/local/wdeRwDbG/items/59ZST5SK"],"itemData":{"id":1787,"type":"article-journal","abstract":"ABSTRACT\n            \n              \n              \n                Few studies compare outcomes of patients with difficult-to-treat resistance (DTR)\n                Pseudomonas aeruginosa\n                infections treated with ceftolozane-tazobactam versus ceftazidime-avibactam. A multicenter prospective study was conducted of unique patients with DTR\n                P. aeruginosa\n                infections from 2018 to 2023 receiving &gt;72 h of ceftolozane-tazobactam or ceftazidime-avibactam, with confirmation that the\n                P. aeruginosa\n                isolate was susceptible to the agent administered by broth microdilution. Inverse probability weighting (IPW) incorporating propensity scores was utilized to ensure balanced baseline characteristics. Regression performed on the post-IPW group determined 30-day mortality and subsequent emergence of resistance (i.e., ≥4-fold increase in MIC) to the initial treatment (i.e., ceftolozane-tazobactam or ceftazidime-avibactam). Among 186 eligible patients, 102 (55%) received ceftolozane-tazobactam and 84 (45%) received ceftazidime-avibactam. In the post-IPW cohort, balance was achieved across all variables [e.g., demographics, severity of illness, severe immunocompromise, Charlson Comorbidity Index ≥5, continuous renal replacement therapy (CRRT), source of infection, combination therapy]. Thirty-day mortality was similar between the ceftolozane-tazobactam and ceftazidime-avibactam groups [21% vs 17%; adjusted odds ratio (aOR): 1.01 (95% confidence interval, CI: 0.90–1.14)]. Emergence of resistance was higher in the ceftolozane-tazobactam group [38% vs 25%; aOR: 1.89 (95% CI: 0.98–4.88)], but did not achieve statistical significance. Prolonged treatment durations and use of CRRT were associated with increased emergence of resistance (both\n                P\n                = 0.04). Although the survival of patients with DTR\n                P. aeruginosa\n                infections appears similar regardless of whether ceftolozane-tazobactam or ceftazidime-avibactam is prescribed, the emergence of resistance may be more concerning with the former. Plausible mechanistic explanations support these findings. Modifiable risk factors were identified that may mitigate this risk.","container-title":"Antimicrobial Agents and Chemotherapy","DOI":"10.1128/aac.00907-24","ISSN":"0066-4804, 1098-6596","issue":"10","journalAbbreviation":"Antimicrob Agents Chemother","language":"en","page":"e00907-24","source":"DOI.org (Crossref)","title":"Clinical outcomes and emergence of resistance of &lt;i&gt;Pseudomonas aeruginosa&lt;/i&gt; infections treated with ceftolozane-tazobactam versus ceftazidime-avibactam","volume":"68","author":[{"family":"Hareza","given":"Dariusz A."},{"family":"Cosgrove","given":"Sara E."},{"family":"Bonomo","given":"Robert A."},{"family":"Dzintars","given":"Kathryn"},{"family":"Karaba","given":"Sara M."},{"family":"Hawes","given":"Armani M."},{"family":"Tekle","given":"Tsigereda"},{"family":"Simner","given":"Patricia J."},{"family":"Tamma","given":"Pranita D."}],"editor":[{"family":"Uhlemann","given":"Anne-Catrin"}],"issued":{"date-parts":[["2024",10,8]]}}},{"id":1791,"uris":["http://zotero.org/users/local/wdeRwDbG/items/WRM5W8KQ"],"itemData":{"id":1791,"type":"article-journal","abstract":"The optimal doses of ceftazidime–avibactam (CZA) and ceftolozane–tazobactam (C/T) for treating multidrug-resistant (MDR) Pseudomonas aeruginosa (PSA) in patients utilizing renal replacement therapy (RRT) are not well established. Hence, the objective of this study is to evaluate the clinical outcomes associated with the suggested doses of CZA and C/T in patients with PSA infection utilizing RRT. Methods: This is a retrospective study conducted at our hospital between September 2018 and March 2022. Clinical cure was the primary endpoint, while microbiologic cure, 30-day recurrence, and 30-day mortality were the secondary endpoints. Results: In total, 45 subjects met the inclusion criteria, with 25 receiving CZA and 20 receiving C/T. The median age was 69 (52–81) and 69 (61.5–83) years, respectively, while the median weight was 70 (55.5–81.5) and 66 (57–79) kg, respectively. Clinical cure was achieved in 12 (48%) subjects in the CZA group and 12 (60%) in the C/T group (p = 0.432). Of the 36 subjects who had repeated cultures, a microbiologic cure was achieved in 14/23 (60%) subjects and 10/13 (76.9%) subjects (p = 0.273). Thirty-day recurrence was reported in 3 (12%) cases in the CZA group and 6 (30%) in the C/T group (p = 0.082). The 30-day mortality was 13 (52%) subjects in the CZA group and 10 (50%) in the C/T group (p = 0.894). The median maintenance dose of CZA was 1.88 (0.94–3.75) g and 2.25 (1.5–2.25) g for C/T. Multivariate logistic regression analysis indicated that both drugs did not differ significantly in clinical cure. Bloodstream infection (BSI) (OR = 25, 95% CI: 1.63–411.7, p = 0.021) was the only independent factor associated with clinical cure in this population. Conclusions: Our findings indicated that C/T and CZA did not significantly differ in achieving clinical cure in patients with MDR PSA infections undergoing RRT. Larger clinical trials are needed to confirm our findings.","container-title":"Antibiotics","DOI":"10.3390/antibiotics13080699","ISSN":"2079-6382","issue":"8","journalAbbreviation":"Antibiotics","language":"en","page":"699","source":"DOI.org (Crossref)","title":"Clinical Outcomes of Ceftazidime–Avibactam versus Ceftolozane–Tazobactam in Managing Pseudomonal Infections in Patients Undergoing Renal Replacement Therapy","volume":"13","author":[{"family":"El Nekidy","given":"Wasim S."},{"family":"Al Ali","given":"Mooza"},{"family":"Abidi","given":"Emna"},{"family":"El Lababidi","given":"Rania"},{"family":"Alrahmany","given":"Diaa"},{"family":"Ghazi","given":"Islam M."},{"family":"Mooty","given":"Mohamad"},{"family":"Hijazi","given":"Fadi"},{"family":"Ghosn","given":"Muriel"},{"family":"Mallat","given":"Jihad"}],"issued":{"date-parts":[["2024",7,26]]}}},{"id":1789,"uris":["http://zotero.org/users/local/wdeRwDbG/items/U6Y3MI6D"],"itemData":{"id":1789,"type":"article-journal","abstract":"Abstract\n            Among consecutive patients with multidrug-resistant Pseudomonas aeruginosa bacteremia or pneumonia we found those treated with ceftazidime-avibactam were more likely to develop resistance (defined as ≥4-fold increased MIC) than those treated with ceftolozane-tazobactam (40% vs 10%; P = .002). Ceftazidime-avibactam resistance was associated with new mutations in ampC and efflux regulatory pathways.","container-title":"Clinical Infectious Diseases","DOI":"10.1093/cid/ciae332","ISSN":"1058-4838, 1537-6591","issue":"1","language":"en","license":"https://academic.oup.com/pages/standard-publication-reuse-rights","page":"24-28","source":"DOI.org (Crossref)","title":"Rates of Resistance to Ceftazidime-Avibactam and Ceftolozane-Tazobactam Among Patients Treated for Multidrug-Resistant &lt;i&gt;Pseudomonas aeruginosa&lt;/i&gt; Bacteremia or Pneumonia","volume":"80","author":[{"family":"Shah","given":"Sunish"},{"family":"Kline","given":"Ellen G"},{"family":"Haidar","given":"Ghady"},{"family":"Squires","given":"Kevin M"},{"family":"Pogue","given":"Jason M"},{"family":"McCreary","given":"Erin K"},{"family":"Ludwig","given":"Justin"},{"family":"Clarke","given":"Lloyd G"},{"family":"Stellfox","given":"Madison"},{"family":"Van Tyne","given":"Daria"},{"family":"Shields","given":"Ryan K"}],"issued":{"date-parts":[["2025",2,5]]}}},{"id":1782,"uris":["http://zotero.org/users/local/wdeRwDbG/items/T9ZPTYVQ"],"itemData":{"id":1782,"type":"article-journal","container-title":"The Lancet Infectious Diseases","DOI":"10.1016/S1473-3099(24)00648-0","ISSN":"14733099","issue":"5","journalAbbreviation":"The Lancet Infectious Diseases","language":"en","page":"574-584","source":"DOI.org (Crossref)","title":"Effectiveness of ceftazidime–avibactam versus ceftolozane–tazobactam for multidrug-resistant Pseudomonas aeruginosa infections in the USA (CACTUS): a multicentre, retrospective, observational study","title-short":"Effectiveness of ceftazidime–avibactam versus ceftolozane–tazobactam for multidrug-resistant Pseudomonas aeruginosa infections in the USA (CACTUS)","volume":"25","author":[{"family":"Shields","given":"Ryan K"},{"family":"Abbo","given":"Lilian M"},{"family":"Ackley","given":"Renee"},{"family":"Aitken","given":"Samuel L"},{"family":"Albrecht","given":"Benjamin"},{"family":"Babiker","given":"Ahmed"},{"family":"Burgoon","given":"Rachel"},{"family":"Cifuentes","given":"Renzo"},{"family":"Claeys","given":"Kimberly C"},{"family":"Curry","given":"Brooke N"},{"family":"DeSear","given":"Kathryn E"},{"family":"Gallagher","given":"Jason C"},{"family":"Golnabi","given":"Esther Y"},{"family":"Gross","given":"Alan E"},{"family":"Hand","given":"Jonathan"},{"family":"Heil","given":"Emily L"},{"family":"Hornback","given":"Krutika M"},{"family":"Kaye","given":"Keith S"},{"family":"Khuu","given":"Trieu-Vi"},{"family":"Klatt","given":"Megan E"},{"family":"Kline","given":"Ellen G"},{"family":"Kubat","given":"Ryan C"},{"family":"Kufel","given":"Wesley D"},{"family":"Lee","given":"Jae Hyoung"},{"family":"Lepak","given":"Alexander J"},{"family":"Lim","given":"Ahmi"},{"family":"Ludwig","given":"Justin M"},{"family":"Macdougall","given":"Conan"},{"family":"Majumdar","given":"Anjali"},{"family":"Mathers","given":"Amy J"},{"family":"McCreary","given":"Erin K"},{"family":"Miller","given":"William R"},{"family":"Monogue","given":"Marguerite L"},{"family":"Moore","given":"W Justin"},{"family":"Olson","given":"Shannon"},{"family":"Oxer","given":"Jessica"},{"family":"Pearson","given":"Jeffrey C"},{"family":"Pham","given":"Christine"},{"family":"Pinargote","given":"Paulette"},{"family":"Polk","given":"Christopher"},{"family":"Satlin","given":"Michael J"},{"family":"Satola","given":"Sarah W"},{"family":"Shah","given":"Sunish"},{"family":"Tamma","given":"Pranita D"},{"family":"Tran","given":"Truc T"},{"family":"Van Duin","given":"David"},{"family":"VanNatta","given":"Mollie"},{"family":"Vega","given":"Ana"},{"family":"Venugopalan","given":"Veena"},{"family":"Veve","given":"Michael P"},{"family":"Wangchinda","given":"Walaiporn"},{"family":"Witt","given":"Lucy S"},{"family":"Wu","given":"Janet Y"},{"family":"Pogue","given":"Jason M"},{"family":"Shields","given":"Ryan K"},{"family":"Abbo","given":"Lilian M"},{"family":"Ackley","given":"Renee"},{"family":"Aitken","given":"Samuel L"},{"family":"Albrecht","given":"Benjamin"},{"family":"Babiker","given":"Ahmed"},{"family":"Burgoon","given":"Rachel"},{"family":"Cifuentes","given":"Renzo"},{"family":"Claeys","given":"Kimberly C"},{"family":"Curry","given":"Brooke N"},{"family":"DeSear","given":"Kathryn E"},{"family":"Gallagher","given":"Jason C"},{"family":"Golnabi","given":"Esther Y"},{"family":"Gross","given":"Alan E"},{"family":"Hand","given":"Jonathan"},{"family":"Heil","given":"Emily L"},{"family":"Hornback","given":"Krutika M"},{"family":"Kaye","given":"Keith S"},{"family":"Khuu","given":"Trieu-Vi"},{"family":"Klatt","given":"Megan E"},{"family":"Kline","given":"Ellen G"},{"family":"Kubat","given":"Ryan C"},{"family":"Kufel","given":"Wesley D"},{"family":"Lee","given":"Jae Hyoung"},{"family":"Lepak","given":"Alexander J"},{"family":"Lim","given":"Ahmi"},{"family":"Ludwig","given":"Justin M"},{"family":"Macdougall","given":"Conan"},{"family":"Majumdar","given":"Anjali"},{"family":"Mathers","given":"Amy J"},{"family":"McCreary","given":"Erin K"},{"family":"Miller","given":"William R"},{"family":"Monogue","given":"Marguerite L"},{"family":"Moore","given":"W Justin"},{"family":"Olson","given":"Shannon"},{"family":"Oxer","given":"Jessica"},{"family":"Pearson","given":"Jeffrey C"},{"family":"Pham","given":"Christine"},{"family":"Pinargote","given":"Paulette"},{"family":"Polk","given":"Christopher"},{"family":"Satlin","given":"Michael J"},{"family":"Satola","given":"Sarah W"},{"family":"Shah","given":"Sunish"},{"family":"Tamma","given":"Pranita D"},{"family":"Tran","given":"Truc T"},{"family":"Van Duin","given":"David"},{"family":"VanNatta","given":"Mollie"},{"family":"Vega","given":"Ana"},{"family":"Venugopalan","given":"Veena"},{"family":"Veve","given":"Michael P"},{"family":"Wangchinda","given":"Walaiporn"},{"family":"Witt","given":"Lucy S"},{"family":"Wu","given":"Janet Y"},{"family":"Pogue","given":"Jason M"}],"issued":{"date-parts":[["2025",5]]}}},{"id":324,"uris":["http://zotero.org/users/local/wdeRwDbG/items/646JTEQM"],"itemData":{"id":324,"type":"article-journal","abstract":"Abstract\n            \n              Background\n              Ceftolozane/tazobactam and ceftazidime/avibactam are commonly used in patients with MDR-Pseudomonas aeruginosa (PSA) pneumonia (PNA). This study compared outcomes between non-COVID-19 hospitalized patients with MDR-PSA PNA who received ceftolozane/tazobactam or ceftazidime/avibactam.\n            \n            \n              Methods\n              The study included non-COVID-19 adult hospitalized patients with MDR-PSA PNA in the PINC AI Healthcare Database (2016–22) who received ceftolozane/tazobactam or ceftazidime/avibactam within 3 days of index culture for ≥2 days. Outcomes were mortality, recurrent MDR-PSA PNA, discharge destination, post-index culture day length of stay (LOS) and costs (in US dollars, USD), and hospital readmission.\n            \n            \n              Results\n              The final sample included 197 patients (117 ceftolozane/tazobactam, 80 ceftazidime/avibactam). No significant differences were observed in mortality and post-index culture LOS and costs between groups. In the multivariable analyses, patients who received ceftolozane/tazobactam versus ceftazidime/avibactam had lower recurrent MDR-PSA PNA (7.9% versus 18.0%, P = 0.03) and 60 day PNA-related readmissions (11.1% versus 28.5%, P = 0.03) and were more likely to be discharged home (25.8% versus 9.8%, P = 0.03). Compared with ceftazidime/avibactam patients, ceftolozane/tazobactam patients had lower adjusted median total antibiotic costs (5052 USD versus 8099 USD, P = 0.003) and lower adjusted median comparator (ceftolozane/tazobactam or ceftazidime/avibactam) antibiotic costs (3938 USD versus 6441 USD, P = 0.005). In the desirability of outcome ranking (DOOR) analysis, a ceftolozane/tazobactam-treated patient was more likely to have a more favourable outcome than a ceftazidime/avibactam-treated patient [DOOR probability: 59.6% (95% CI: 52.5%–66.8%)].\n            \n            \n              Conclusions\n              Early treatment with ceftolozane/tazobactam may offer some clinical and cost benefits over ceftazidime/avibactam in patients with MDR-PSA PNA. Further large-scale studies are necessary to comprehensively understand the outcomes associated with these treatments for MDR-PSA PNA.","container-title":"Journal of Antimicrobial Chemotherapy","DOI":"10.1093/jac/dkae313","ISSN":"0305-7453, 1460-2091","language":"en","license":"https://creativecommons.org/licenses/by/4.0/","page":"dkae313","source":"DOI.org (Crossref)","title":"Comparative evaluation of early treatment with ceftolozane/tazobactam versus ceftazidime/avibactam for non-COVID-19 patients with pneumonia due to multidrug-resistant &lt;i&gt;Pseudomonas aeruginosa&lt;/i&gt;","author":[{"family":"Lodise","given":"Thomas P"},{"family":"Obi","given":"Engels N"},{"family":"Watanabe","given":"Alexandre H"},{"family":"Yucel","given":"Emre"},{"family":"Min","given":"Jae"},{"family":"Nathanson","given":"Brian H"}],"issued":{"date-parts":[["2024",9,11]]}}}],"schema":"https://github.com/citation-style-language/schema/raw/master/csl-citation.json"} </w:instrText>
      </w:r>
      <w:r w:rsidR="003F6D4E" w:rsidRPr="003F6D4E">
        <w:rPr>
          <w:rFonts w:ascii="Times New Roman" w:hAnsi="Times New Roman" w:cs="Times New Roman"/>
          <w:sz w:val="22"/>
          <w:szCs w:val="22"/>
        </w:rPr>
        <w:fldChar w:fldCharType="separate"/>
      </w:r>
      <w:r w:rsidR="003F6D4E" w:rsidRPr="003F6D4E">
        <w:rPr>
          <w:rFonts w:ascii="Times New Roman" w:hAnsi="Times New Roman" w:cs="Times New Roman"/>
          <w:sz w:val="22"/>
          <w:szCs w:val="22"/>
        </w:rPr>
        <w:t>[20,22–25]</w:t>
      </w:r>
      <w:r w:rsidR="003F6D4E" w:rsidRPr="003F6D4E">
        <w:rPr>
          <w:rFonts w:ascii="Times New Roman" w:hAnsi="Times New Roman" w:cs="Times New Roman"/>
          <w:sz w:val="22"/>
          <w:szCs w:val="22"/>
        </w:rPr>
        <w:fldChar w:fldCharType="end"/>
      </w:r>
      <w:r w:rsidR="003F6D4E" w:rsidRPr="003F6D4E">
        <w:rPr>
          <w:rFonts w:ascii="Times New Roman" w:hAnsi="Times New Roman" w:cs="Times New Roman"/>
          <w:sz w:val="22"/>
          <w:szCs w:val="22"/>
        </w:rPr>
        <w:t xml:space="preserve"> except that of Almangour </w:t>
      </w:r>
      <w:r w:rsidR="003F6D4E" w:rsidRPr="003F6D4E">
        <w:rPr>
          <w:rFonts w:ascii="Times New Roman" w:hAnsi="Times New Roman" w:cs="Times New Roman"/>
          <w:i/>
          <w:sz w:val="22"/>
          <w:szCs w:val="22"/>
        </w:rPr>
        <w:t>et al</w:t>
      </w:r>
      <w:r w:rsidR="003F6D4E" w:rsidRPr="003F6D4E">
        <w:rPr>
          <w:rFonts w:ascii="Times New Roman" w:hAnsi="Times New Roman" w:cs="Times New Roman"/>
          <w:sz w:val="22"/>
          <w:szCs w:val="22"/>
        </w:rPr>
        <w:t xml:space="preserve">. </w:t>
      </w:r>
      <w:r w:rsidR="003F6D4E" w:rsidRPr="003F6D4E">
        <w:rPr>
          <w:rFonts w:ascii="Times New Roman" w:hAnsi="Times New Roman" w:cs="Times New Roman"/>
          <w:sz w:val="22"/>
          <w:szCs w:val="22"/>
        </w:rPr>
        <w:fldChar w:fldCharType="begin"/>
      </w:r>
      <w:r w:rsidR="003F6D4E" w:rsidRPr="003F6D4E">
        <w:rPr>
          <w:rFonts w:ascii="Times New Roman" w:hAnsi="Times New Roman" w:cs="Times New Roman"/>
          <w:sz w:val="22"/>
          <w:szCs w:val="22"/>
        </w:rPr>
        <w:instrText xml:space="preserve"> ADDIN ZOTERO_ITEM CSL_CITATION {"citationID":"wHKuOd2O","properties":{"formattedCitation":"[21]","plainCitation":"[21]","noteIndex":0},"citationItems":[{"id":1788,"uris":["http://zotero.org/users/local/wdeRwDbG/items/MYX558BY"],"itemData":{"id":1788,"type":"article-journal","abstract":"Ceftolozane-tazobactam (C-T) and ceftazidime-avibactam (CAZ-AVI) are two novel antimicrobials that retain activity against resistant\n              Pseudomonas aeruginosa\n              . The comparative effectiveness and safety of C-T versus CAZ-AVI remain unknown.\n            \n          , \n            ABSTRACT\n            \n              Ceftolozane-tazobactam (C-T) and ceftazidime-avibactam (CAZ-AVI) are two novel antimicrobials that retain activity against resistant\n              Pseudomonas aeruginosa\n              . The comparative effectiveness and safety of C-T versus CAZ-AVI remain unknown. A retrospective, multicenter cohort study was performed in six tertiary centers in Saudi Arabia and included patients who received either C-T or CAZ-AVI for infections due to multidrug-resistant (MDR)\n              P. aeruginosa\n              . Overall in-hospital mortality, 30-day mortality, and clinical cure were the main study outcomes. Safety outcomes were also evaluated. A multivariate analysis using logistic regression was used to determine the independent impact of treatment on the main outcomes of interest. We enrolled 200 patients in the study (100 in each treatment arm). A total of 56% were in the intensive care unit, 48% were mechanically ventilated, and 37% were in septic shock. Approximately 19% of patients had bacteremia. Combination therapy was administered to 41% of the patients. The differences between the C-T and CAZ-AVI groups did not reach statistical significance in the overall in-hospital mortality (44% versus 37%;\n              P\n               = 0.314; OR, 1.34; 95% CI, 0.76 to 2.36), 30-day mortality (27% versus 23%;\n              P\n               = 0.514; OR, 1.24; 95% CI, 0.65 to 2.35), clinical cure (61% versus 66%;\n              P\n               = 0.463; OR, 0.81; 95% CI, 0.43 to 1.49), or acute kidney injury (23% versus 17%;\n              P\n               = 0.289; OR, 1.46; 95% CI, 0.69 to 3.14), even after adjusting for differences between the two groups. C-T and CAZ-AVI did not significantly differ in terms of safety and effectiveness, and they serve as potential options for the treatment of infections caused by MDR\n              P. aeruginosa\n              .","container-title":"Antimicrobial Agents and Chemotherapy","DOI":"10.1128/aac.00405-23","ISSN":"0066-4804, 1098-6596","issue":"8","journalAbbreviation":"Antimicrob Agents Chemother","language":"en","page":"e00405-23","source":"DOI.org (Crossref)","title":"Ceftolozane-Tazobactam Versus Ceftazidime-Avibactam for the Treatment of Infections Caused by Multidrug-Resistant Pseudomonas aeruginosa: a Multicenter Cohort Study","title-short":"Ceftolozane-Tazobactam Versus Ceftazidime-Avibactam for the Treatment of Infections Caused by Multidrug-Resistant Pseudomonas aeruginosa","volume":"67","author":[{"family":"Almangour","given":"Thamer A."},{"family":"Ghonem","given":"Leen"},{"family":"Alassiri","given":"Dareen"},{"family":"Aljurbua","given":"Alanoud"},{"family":"Al Musawa","given":"Mohammed"},{"family":"Alharbi","given":"Aminah"},{"family":"Almohaizeie","given":"Abdullah"},{"family":"Almuhisen","given":"Sara"},{"family":"Alghaith","given":"Jeelan"},{"family":"Damfu","given":"Nader"},{"family":"Aljefri","given":"Doaa"},{"family":"Alfahad","given":"Wafa"},{"family":"Khormi","given":"Yaqoub"},{"family":"Alanazi","given":"Menyfah Q."},{"family":"Alsowaida","given":"Yazed Saleh"}],"issued":{"date-parts":[["2023",8,17]]}}}],"schema":"https://github.com/citation-style-language/schema/raw/master/csl-citation.json"} </w:instrText>
      </w:r>
      <w:r w:rsidR="003F6D4E" w:rsidRPr="003F6D4E">
        <w:rPr>
          <w:rFonts w:ascii="Times New Roman" w:hAnsi="Times New Roman" w:cs="Times New Roman"/>
          <w:sz w:val="22"/>
          <w:szCs w:val="22"/>
        </w:rPr>
        <w:fldChar w:fldCharType="separate"/>
      </w:r>
      <w:r w:rsidR="003F6D4E" w:rsidRPr="003F6D4E">
        <w:rPr>
          <w:rFonts w:ascii="Times New Roman" w:hAnsi="Times New Roman" w:cs="Times New Roman"/>
          <w:noProof/>
          <w:sz w:val="22"/>
          <w:szCs w:val="22"/>
        </w:rPr>
        <w:t>[21]</w:t>
      </w:r>
      <w:r w:rsidR="003F6D4E" w:rsidRPr="003F6D4E">
        <w:rPr>
          <w:rFonts w:ascii="Times New Roman" w:hAnsi="Times New Roman" w:cs="Times New Roman"/>
          <w:sz w:val="22"/>
          <w:szCs w:val="22"/>
        </w:rPr>
        <w:fldChar w:fldCharType="end"/>
      </w:r>
      <w:r w:rsidR="003F6D4E">
        <w:rPr>
          <w:rFonts w:ascii="Times New Roman" w:hAnsi="Times New Roman" w:cs="Times New Roman"/>
          <w:sz w:val="22"/>
          <w:szCs w:val="22"/>
        </w:rPr>
        <w:t>.</w:t>
      </w:r>
      <w:r w:rsidR="00650CD5">
        <w:rPr>
          <w:rFonts w:ascii="Times New Roman" w:hAnsi="Times New Roman" w:cs="Times New Roman"/>
          <w:sz w:val="22"/>
          <w:szCs w:val="22"/>
        </w:rPr>
        <w:t xml:space="preserve"> </w:t>
      </w:r>
      <w:r w:rsidR="00650CD5" w:rsidRPr="00650CD5">
        <w:rPr>
          <w:rFonts w:ascii="Times New Roman" w:hAnsi="Times New Roman" w:cs="Times New Roman"/>
          <w:sz w:val="22"/>
          <w:szCs w:val="22"/>
        </w:rPr>
        <w:t>Data concerning the BL/BLIc administration mode were provided in all but one study [20–24]. Ceftolozane-tazobactam was administered by intermittent infusion (II) over 1 hour in all of the patients included in two studies [21,22] and in a proportion ranging from 38% to 80% of those included in the other three studies [20,23,24]. Extended infusion (EI) over at least 3 hours was adopted in the remaining proportions of patients of these three other studies, namely ranging from 20% to 62% [20,23,24]. Ceftazidime-avibactam was administered by II over 2 hours in all of the included patients of three studies, and in a proportion ranging from 55% to 79% of those included in the other two studies [23,24]. EI over at least 3 hours was adopted in the remaining proportion of patients of the two other studies, namely ranging from 21% to 45% [23,24]. Continuous infusion (CI) administration was never adopted in any study, neither for ceftolozane-tazobactam nor for ceftazidime-avibactam.</w:t>
      </w:r>
      <w:r w:rsidR="00650CD5">
        <w:rPr>
          <w:rFonts w:ascii="Times New Roman" w:hAnsi="Times New Roman" w:cs="Times New Roman"/>
          <w:sz w:val="22"/>
          <w:szCs w:val="22"/>
        </w:rPr>
        <w:t xml:space="preserve"> </w:t>
      </w:r>
      <w:r w:rsidR="00DF3937" w:rsidRPr="00DF3937">
        <w:rPr>
          <w:rFonts w:ascii="Times New Roman" w:hAnsi="Times New Roman" w:cs="Times New Roman"/>
          <w:sz w:val="22"/>
          <w:szCs w:val="22"/>
        </w:rPr>
        <w:t>Median treatment duration was similar in the two groups, ranging from 7 to 13 days for ceftolozane-tazobactam and from 6 to 11.5 days for ceftazidime-avibactam. The rate of combination therapy ranged from 12.8% to 70.0% in the ceftolozane-tazobactam cohort and from 14.3% to 60.0% in that of ceftazidime-avibactam.</w:t>
      </w:r>
      <w:bookmarkEnd w:id="0"/>
      <w:r w:rsidR="00010597">
        <w:rPr>
          <w:rFonts w:ascii="Times New Roman" w:hAnsi="Times New Roman" w:cs="Times New Roman"/>
          <w:b/>
          <w:bCs/>
          <w:sz w:val="22"/>
          <w:szCs w:val="22"/>
        </w:rPr>
        <w:br w:type="page"/>
      </w:r>
    </w:p>
    <w:p w14:paraId="0F0F067D" w14:textId="740BFDB5" w:rsidR="0054161B" w:rsidRPr="00954200" w:rsidRDefault="0054161B" w:rsidP="0054161B">
      <w:pPr>
        <w:spacing w:line="360" w:lineRule="auto"/>
        <w:jc w:val="both"/>
        <w:rPr>
          <w:rFonts w:ascii="Times New Roman" w:hAnsi="Times New Roman" w:cs="Times New Roman"/>
          <w:sz w:val="22"/>
          <w:szCs w:val="22"/>
        </w:rPr>
      </w:pPr>
      <w:r>
        <w:rPr>
          <w:rFonts w:ascii="Times New Roman" w:hAnsi="Times New Roman" w:cs="Times New Roman"/>
          <w:b/>
          <w:bCs/>
          <w:sz w:val="22"/>
          <w:szCs w:val="22"/>
        </w:rPr>
        <w:lastRenderedPageBreak/>
        <w:t xml:space="preserve">Supplementary </w:t>
      </w:r>
      <w:r w:rsidRPr="00954200">
        <w:rPr>
          <w:rFonts w:ascii="Times New Roman" w:hAnsi="Times New Roman" w:cs="Times New Roman"/>
          <w:b/>
          <w:bCs/>
          <w:sz w:val="22"/>
          <w:szCs w:val="22"/>
        </w:rPr>
        <w:t xml:space="preserve">Table </w:t>
      </w:r>
      <w:r>
        <w:rPr>
          <w:rFonts w:ascii="Times New Roman" w:hAnsi="Times New Roman" w:cs="Times New Roman"/>
          <w:b/>
          <w:bCs/>
          <w:sz w:val="22"/>
          <w:szCs w:val="22"/>
        </w:rPr>
        <w:t>1</w:t>
      </w:r>
      <w:r w:rsidRPr="00954200">
        <w:rPr>
          <w:rFonts w:ascii="Times New Roman" w:hAnsi="Times New Roman" w:cs="Times New Roman"/>
          <w:b/>
          <w:bCs/>
          <w:sz w:val="22"/>
          <w:szCs w:val="22"/>
        </w:rPr>
        <w:t xml:space="preserve"> – </w:t>
      </w:r>
      <w:r w:rsidRPr="00954200">
        <w:rPr>
          <w:rFonts w:ascii="Times New Roman" w:hAnsi="Times New Roman" w:cs="Times New Roman"/>
          <w:sz w:val="22"/>
          <w:szCs w:val="22"/>
        </w:rPr>
        <w:t>Risk of bias assessment for observational studies according to ROBINS-I tool</w:t>
      </w:r>
    </w:p>
    <w:p w14:paraId="04CB7713" w14:textId="0D8867B5" w:rsidR="0054161B" w:rsidRDefault="0054161B" w:rsidP="0054161B">
      <w:pPr>
        <w:spacing w:line="480" w:lineRule="auto"/>
        <w:jc w:val="both"/>
        <w:rPr>
          <w:rFonts w:ascii="Times New Roman" w:hAnsi="Times New Roman" w:cs="Times New Roman"/>
          <w:b/>
          <w:bCs/>
          <w:sz w:val="22"/>
          <w:szCs w:val="22"/>
        </w:rPr>
      </w:pPr>
      <w:r>
        <w:rPr>
          <w:rFonts w:ascii="Times New Roman" w:hAnsi="Times New Roman" w:cs="Times New Roman"/>
          <w:b/>
          <w:bCs/>
          <w:sz w:val="22"/>
          <w:szCs w:val="22"/>
        </w:rPr>
        <w:br w:type="page"/>
      </w:r>
    </w:p>
    <w:p w14:paraId="01A6371A" w14:textId="77777777" w:rsidR="0054161B" w:rsidRDefault="0054161B" w:rsidP="00954200">
      <w:pPr>
        <w:spacing w:line="360" w:lineRule="auto"/>
        <w:jc w:val="both"/>
        <w:rPr>
          <w:rFonts w:ascii="Times New Roman" w:hAnsi="Times New Roman" w:cs="Times New Roman"/>
          <w:b/>
          <w:bCs/>
          <w:sz w:val="22"/>
          <w:szCs w:val="22"/>
        </w:rPr>
        <w:sectPr w:rsidR="0054161B" w:rsidSect="0054161B">
          <w:pgSz w:w="11901" w:h="16817"/>
          <w:pgMar w:top="1418" w:right="1134" w:bottom="1134" w:left="1134" w:header="709" w:footer="709" w:gutter="0"/>
          <w:cols w:space="708"/>
          <w:docGrid w:linePitch="360"/>
        </w:sectPr>
      </w:pPr>
    </w:p>
    <w:p w14:paraId="7ECB9005" w14:textId="0CA3C416" w:rsidR="00954200" w:rsidRPr="00954200" w:rsidRDefault="0054161B" w:rsidP="00954200">
      <w:pPr>
        <w:spacing w:line="360" w:lineRule="auto"/>
        <w:jc w:val="both"/>
        <w:rPr>
          <w:rFonts w:ascii="Times New Roman" w:hAnsi="Times New Roman" w:cs="Times New Roman"/>
          <w:sz w:val="22"/>
          <w:szCs w:val="22"/>
        </w:rPr>
      </w:pPr>
      <w:r>
        <w:rPr>
          <w:rFonts w:ascii="Times New Roman" w:hAnsi="Times New Roman" w:cs="Times New Roman"/>
          <w:b/>
          <w:bCs/>
          <w:sz w:val="22"/>
          <w:szCs w:val="22"/>
        </w:rPr>
        <w:lastRenderedPageBreak/>
        <w:t xml:space="preserve">Supplementary </w:t>
      </w:r>
      <w:r w:rsidR="00954200" w:rsidRPr="00954200">
        <w:rPr>
          <w:rFonts w:ascii="Times New Roman" w:hAnsi="Times New Roman" w:cs="Times New Roman"/>
          <w:b/>
          <w:bCs/>
          <w:sz w:val="22"/>
          <w:szCs w:val="22"/>
        </w:rPr>
        <w:t xml:space="preserve">Table </w:t>
      </w:r>
      <w:r>
        <w:rPr>
          <w:rFonts w:ascii="Times New Roman" w:hAnsi="Times New Roman" w:cs="Times New Roman"/>
          <w:b/>
          <w:bCs/>
          <w:sz w:val="22"/>
          <w:szCs w:val="22"/>
        </w:rPr>
        <w:t>1</w:t>
      </w:r>
      <w:r w:rsidR="00954200" w:rsidRPr="00954200">
        <w:rPr>
          <w:rFonts w:ascii="Times New Roman" w:hAnsi="Times New Roman" w:cs="Times New Roman"/>
          <w:b/>
          <w:bCs/>
          <w:sz w:val="22"/>
          <w:szCs w:val="22"/>
        </w:rPr>
        <w:t xml:space="preserve"> – </w:t>
      </w:r>
      <w:r w:rsidR="00954200" w:rsidRPr="00954200">
        <w:rPr>
          <w:rFonts w:ascii="Times New Roman" w:hAnsi="Times New Roman" w:cs="Times New Roman"/>
          <w:sz w:val="22"/>
          <w:szCs w:val="22"/>
        </w:rPr>
        <w:t>Risk of bias assessment for observational studies according to ROBINS-I tool</w:t>
      </w:r>
    </w:p>
    <w:tbl>
      <w:tblPr>
        <w:tblStyle w:val="Grigliatabella"/>
        <w:tblW w:w="16444" w:type="dxa"/>
        <w:jc w:val="center"/>
        <w:tblLook w:val="04A0" w:firstRow="1" w:lastRow="0" w:firstColumn="1" w:lastColumn="0" w:noHBand="0" w:noVBand="1"/>
      </w:tblPr>
      <w:tblGrid>
        <w:gridCol w:w="1985"/>
        <w:gridCol w:w="1238"/>
        <w:gridCol w:w="1710"/>
        <w:gridCol w:w="1980"/>
        <w:gridCol w:w="2340"/>
        <w:gridCol w:w="1620"/>
        <w:gridCol w:w="1980"/>
        <w:gridCol w:w="1890"/>
        <w:gridCol w:w="1701"/>
      </w:tblGrid>
      <w:tr w:rsidR="00255633" w:rsidRPr="00904E2D" w14:paraId="4D681B28" w14:textId="77777777" w:rsidTr="004F016D">
        <w:trPr>
          <w:jc w:val="center"/>
        </w:trPr>
        <w:tc>
          <w:tcPr>
            <w:tcW w:w="1985" w:type="dxa"/>
          </w:tcPr>
          <w:p w14:paraId="62610F1E"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Study</w:t>
            </w:r>
          </w:p>
        </w:tc>
        <w:tc>
          <w:tcPr>
            <w:tcW w:w="12758" w:type="dxa"/>
            <w:gridSpan w:val="7"/>
          </w:tcPr>
          <w:p w14:paraId="408DE31E"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domains</w:t>
            </w:r>
          </w:p>
        </w:tc>
        <w:tc>
          <w:tcPr>
            <w:tcW w:w="1701" w:type="dxa"/>
          </w:tcPr>
          <w:p w14:paraId="1E4EBAFC"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Overall judgment</w:t>
            </w:r>
          </w:p>
        </w:tc>
      </w:tr>
      <w:tr w:rsidR="00255633" w:rsidRPr="00904E2D" w14:paraId="639C100F" w14:textId="77777777" w:rsidTr="004F016D">
        <w:trPr>
          <w:jc w:val="center"/>
        </w:trPr>
        <w:tc>
          <w:tcPr>
            <w:tcW w:w="1985" w:type="dxa"/>
          </w:tcPr>
          <w:p w14:paraId="2DE69D8E" w14:textId="77777777" w:rsidR="00255633" w:rsidRPr="00904E2D" w:rsidRDefault="00255633" w:rsidP="00CA5DAD">
            <w:pPr>
              <w:spacing w:line="360" w:lineRule="auto"/>
              <w:jc w:val="both"/>
              <w:rPr>
                <w:rFonts w:ascii="Times New Roman" w:hAnsi="Times New Roman" w:cs="Times New Roman"/>
                <w:b/>
                <w:bCs/>
                <w:sz w:val="18"/>
                <w:szCs w:val="18"/>
              </w:rPr>
            </w:pPr>
          </w:p>
        </w:tc>
        <w:tc>
          <w:tcPr>
            <w:tcW w:w="1238" w:type="dxa"/>
          </w:tcPr>
          <w:p w14:paraId="03372A21"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due to confounding</w:t>
            </w:r>
          </w:p>
        </w:tc>
        <w:tc>
          <w:tcPr>
            <w:tcW w:w="1710" w:type="dxa"/>
          </w:tcPr>
          <w:p w14:paraId="7657E9C9"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in selection of participants</w:t>
            </w:r>
          </w:p>
        </w:tc>
        <w:tc>
          <w:tcPr>
            <w:tcW w:w="1980" w:type="dxa"/>
          </w:tcPr>
          <w:p w14:paraId="25B0ADE6"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in classification of exposure</w:t>
            </w:r>
          </w:p>
        </w:tc>
        <w:tc>
          <w:tcPr>
            <w:tcW w:w="2340" w:type="dxa"/>
          </w:tcPr>
          <w:p w14:paraId="060C0DED"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due to deviations from intended exposure</w:t>
            </w:r>
          </w:p>
        </w:tc>
        <w:tc>
          <w:tcPr>
            <w:tcW w:w="1620" w:type="dxa"/>
          </w:tcPr>
          <w:p w14:paraId="177EE783"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due to missing data</w:t>
            </w:r>
          </w:p>
        </w:tc>
        <w:tc>
          <w:tcPr>
            <w:tcW w:w="1980" w:type="dxa"/>
          </w:tcPr>
          <w:p w14:paraId="7A8438B8"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in measurement of outcome</w:t>
            </w:r>
          </w:p>
        </w:tc>
        <w:tc>
          <w:tcPr>
            <w:tcW w:w="1890" w:type="dxa"/>
          </w:tcPr>
          <w:p w14:paraId="3D80EA86" w14:textId="77777777" w:rsidR="00255633" w:rsidRPr="00904E2D" w:rsidRDefault="00255633" w:rsidP="00CA5DAD">
            <w:pPr>
              <w:spacing w:line="360" w:lineRule="auto"/>
              <w:jc w:val="center"/>
              <w:rPr>
                <w:rFonts w:ascii="Times New Roman" w:hAnsi="Times New Roman" w:cs="Times New Roman"/>
                <w:b/>
                <w:bCs/>
                <w:sz w:val="18"/>
                <w:szCs w:val="18"/>
              </w:rPr>
            </w:pPr>
            <w:r w:rsidRPr="00904E2D">
              <w:rPr>
                <w:rFonts w:ascii="Times New Roman" w:hAnsi="Times New Roman" w:cs="Times New Roman"/>
                <w:b/>
                <w:bCs/>
                <w:sz w:val="18"/>
                <w:szCs w:val="18"/>
              </w:rPr>
              <w:t>Bias in selection of reported result</w:t>
            </w:r>
          </w:p>
        </w:tc>
        <w:tc>
          <w:tcPr>
            <w:tcW w:w="1701" w:type="dxa"/>
          </w:tcPr>
          <w:p w14:paraId="15B1DDF0" w14:textId="77777777" w:rsidR="00255633" w:rsidRPr="00904E2D" w:rsidRDefault="00255633" w:rsidP="00CA5DAD">
            <w:pPr>
              <w:spacing w:line="360" w:lineRule="auto"/>
              <w:jc w:val="both"/>
              <w:rPr>
                <w:rFonts w:ascii="Times New Roman" w:hAnsi="Times New Roman" w:cs="Times New Roman"/>
                <w:b/>
                <w:bCs/>
                <w:sz w:val="18"/>
                <w:szCs w:val="18"/>
              </w:rPr>
            </w:pPr>
          </w:p>
        </w:tc>
      </w:tr>
      <w:tr w:rsidR="004F016D" w:rsidRPr="00904E2D" w14:paraId="1B8102EA" w14:textId="77777777" w:rsidTr="004F016D">
        <w:trPr>
          <w:jc w:val="center"/>
        </w:trPr>
        <w:tc>
          <w:tcPr>
            <w:tcW w:w="1985" w:type="dxa"/>
          </w:tcPr>
          <w:p w14:paraId="42B7EDC6" w14:textId="7FAAE64D" w:rsidR="004F016D" w:rsidRDefault="004F016D" w:rsidP="00CA5DAD">
            <w:pPr>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Almangour </w:t>
            </w:r>
            <w:r w:rsidRPr="004F016D">
              <w:rPr>
                <w:rFonts w:ascii="Times New Roman" w:hAnsi="Times New Roman" w:cs="Times New Roman"/>
                <w:i/>
                <w:sz w:val="18"/>
                <w:szCs w:val="18"/>
              </w:rPr>
              <w:t>et al.</w:t>
            </w:r>
            <w:r>
              <w:rPr>
                <w:rFonts w:ascii="Times New Roman" w:hAnsi="Times New Roman" w:cs="Times New Roman"/>
                <w:sz w:val="18"/>
                <w:szCs w:val="18"/>
              </w:rPr>
              <w:t>, 2024</w:t>
            </w:r>
          </w:p>
        </w:tc>
        <w:tc>
          <w:tcPr>
            <w:tcW w:w="1238" w:type="dxa"/>
          </w:tcPr>
          <w:p w14:paraId="2529A5F7" w14:textId="0800E5AF" w:rsidR="004F016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c>
          <w:tcPr>
            <w:tcW w:w="1710" w:type="dxa"/>
          </w:tcPr>
          <w:p w14:paraId="49D0B0D3" w14:textId="1713BE40" w:rsidR="004F016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c>
          <w:tcPr>
            <w:tcW w:w="1980" w:type="dxa"/>
          </w:tcPr>
          <w:p w14:paraId="661C5C0D" w14:textId="11577490" w:rsidR="004F016D" w:rsidRDefault="008776D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690450E9" w14:textId="46C6A903" w:rsidR="004F016D" w:rsidRDefault="008D0F0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65A0F3F4" w14:textId="5950E93B" w:rsidR="004F016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6ABBB466" w14:textId="5F26FBFD" w:rsidR="004F016D" w:rsidRDefault="003743E9" w:rsidP="003C2E84">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890" w:type="dxa"/>
          </w:tcPr>
          <w:p w14:paraId="3E04A850" w14:textId="2129C3C5" w:rsidR="004F016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701" w:type="dxa"/>
          </w:tcPr>
          <w:p w14:paraId="53B9D72F" w14:textId="3A1202CB" w:rsidR="004F016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r>
      <w:tr w:rsidR="00255633" w:rsidRPr="00904E2D" w14:paraId="7BD95EE3" w14:textId="77777777" w:rsidTr="004F016D">
        <w:trPr>
          <w:jc w:val="center"/>
        </w:trPr>
        <w:tc>
          <w:tcPr>
            <w:tcW w:w="1985" w:type="dxa"/>
          </w:tcPr>
          <w:p w14:paraId="7521016A" w14:textId="0E878025" w:rsidR="00255633" w:rsidRPr="00904E2D" w:rsidRDefault="00CA1361" w:rsidP="00CA5DAD">
            <w:pPr>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El Nekidy </w:t>
            </w:r>
            <w:r w:rsidRPr="004F016D">
              <w:rPr>
                <w:rFonts w:ascii="Times New Roman" w:hAnsi="Times New Roman" w:cs="Times New Roman"/>
                <w:i/>
                <w:sz w:val="18"/>
                <w:szCs w:val="18"/>
              </w:rPr>
              <w:t>et al.</w:t>
            </w:r>
            <w:r>
              <w:rPr>
                <w:rFonts w:ascii="Times New Roman" w:hAnsi="Times New Roman" w:cs="Times New Roman"/>
                <w:sz w:val="18"/>
                <w:szCs w:val="18"/>
              </w:rPr>
              <w:t>, 2024</w:t>
            </w:r>
          </w:p>
        </w:tc>
        <w:tc>
          <w:tcPr>
            <w:tcW w:w="1238" w:type="dxa"/>
          </w:tcPr>
          <w:p w14:paraId="0E4023EA" w14:textId="554B8BEA" w:rsidR="00255633" w:rsidRPr="00904E2D" w:rsidRDefault="00CA1361"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c>
          <w:tcPr>
            <w:tcW w:w="1710" w:type="dxa"/>
          </w:tcPr>
          <w:p w14:paraId="4DAE8AC5" w14:textId="28368D44" w:rsidR="00255633" w:rsidRPr="00904E2D" w:rsidRDefault="00514507"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3C0E7B56" w14:textId="277A5B9A" w:rsidR="00255633" w:rsidRPr="00904E2D" w:rsidRDefault="00514507"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129E6EEE" w14:textId="244D5612" w:rsidR="00255633" w:rsidRPr="00904E2D" w:rsidRDefault="00257D96"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63126E62" w14:textId="563EE2A4" w:rsidR="00255633" w:rsidRPr="00904E2D" w:rsidRDefault="00514507"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5521A235" w14:textId="7460F289" w:rsidR="00255633" w:rsidRPr="00904E2D" w:rsidRDefault="003C2E84" w:rsidP="003C2E84">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890" w:type="dxa"/>
          </w:tcPr>
          <w:p w14:paraId="0658A7B8" w14:textId="45BD6C88" w:rsidR="00255633" w:rsidRPr="00904E2D" w:rsidRDefault="003C2E8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01" w:type="dxa"/>
          </w:tcPr>
          <w:p w14:paraId="1226F6DE" w14:textId="17C7DF66" w:rsidR="00255633" w:rsidRPr="00904E2D" w:rsidRDefault="003C2E8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r>
      <w:tr w:rsidR="00255633" w:rsidRPr="00904E2D" w14:paraId="7B5C917A" w14:textId="77777777" w:rsidTr="004F016D">
        <w:trPr>
          <w:jc w:val="center"/>
        </w:trPr>
        <w:tc>
          <w:tcPr>
            <w:tcW w:w="1985" w:type="dxa"/>
          </w:tcPr>
          <w:p w14:paraId="5D1A2C2A" w14:textId="45061AD4" w:rsidR="00255633" w:rsidRPr="00904E2D" w:rsidRDefault="00CA1361" w:rsidP="00CA5DAD">
            <w:pPr>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Hareza </w:t>
            </w:r>
            <w:r w:rsidRPr="004F016D">
              <w:rPr>
                <w:rFonts w:ascii="Times New Roman" w:hAnsi="Times New Roman" w:cs="Times New Roman"/>
                <w:i/>
                <w:sz w:val="18"/>
                <w:szCs w:val="18"/>
              </w:rPr>
              <w:t>et al</w:t>
            </w:r>
            <w:r>
              <w:rPr>
                <w:rFonts w:ascii="Times New Roman" w:hAnsi="Times New Roman" w:cs="Times New Roman"/>
                <w:sz w:val="18"/>
                <w:szCs w:val="18"/>
              </w:rPr>
              <w:t>., 2024</w:t>
            </w:r>
          </w:p>
        </w:tc>
        <w:tc>
          <w:tcPr>
            <w:tcW w:w="1238" w:type="dxa"/>
          </w:tcPr>
          <w:p w14:paraId="501D3148" w14:textId="74E54035" w:rsidR="00255633" w:rsidRPr="00904E2D" w:rsidRDefault="008C6B7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10" w:type="dxa"/>
          </w:tcPr>
          <w:p w14:paraId="0AF871D3" w14:textId="0D4B392A" w:rsidR="00255633" w:rsidRPr="00904E2D" w:rsidRDefault="008C6B7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783356E2" w14:textId="6F5C9B81" w:rsidR="00255633" w:rsidRPr="00904E2D" w:rsidRDefault="008C6B7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649914E2" w14:textId="54CA24CC" w:rsidR="00255633" w:rsidRPr="00904E2D" w:rsidRDefault="008C6B7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5FC31ACF" w14:textId="005A54C0" w:rsidR="00255633" w:rsidRPr="00904E2D" w:rsidRDefault="00C800B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5AE868F0" w14:textId="220475E6" w:rsidR="00255633" w:rsidRPr="00904E2D" w:rsidRDefault="00257D96"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890" w:type="dxa"/>
          </w:tcPr>
          <w:p w14:paraId="210EB50D" w14:textId="06EEF414" w:rsidR="00255633" w:rsidRPr="00904E2D" w:rsidRDefault="00C800B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01" w:type="dxa"/>
          </w:tcPr>
          <w:p w14:paraId="4C4482D9" w14:textId="242F0915" w:rsidR="00255633" w:rsidRPr="00904E2D" w:rsidRDefault="00C800B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r>
      <w:tr w:rsidR="00255633" w:rsidRPr="00904E2D" w14:paraId="684B18D9" w14:textId="77777777" w:rsidTr="004F016D">
        <w:trPr>
          <w:jc w:val="center"/>
        </w:trPr>
        <w:tc>
          <w:tcPr>
            <w:tcW w:w="1985" w:type="dxa"/>
          </w:tcPr>
          <w:p w14:paraId="2945DC93" w14:textId="44BF6672" w:rsidR="00255633" w:rsidRPr="00904E2D" w:rsidRDefault="00CA1361" w:rsidP="00CA5DAD">
            <w:pPr>
              <w:spacing w:line="360" w:lineRule="auto"/>
              <w:jc w:val="both"/>
              <w:rPr>
                <w:rFonts w:ascii="Times New Roman" w:hAnsi="Times New Roman" w:cs="Times New Roman"/>
                <w:sz w:val="18"/>
                <w:szCs w:val="18"/>
              </w:rPr>
            </w:pPr>
            <w:proofErr w:type="spellStart"/>
            <w:r>
              <w:rPr>
                <w:rFonts w:ascii="Times New Roman" w:hAnsi="Times New Roman" w:cs="Times New Roman"/>
                <w:sz w:val="18"/>
                <w:szCs w:val="18"/>
              </w:rPr>
              <w:t>Lodise</w:t>
            </w:r>
            <w:proofErr w:type="spellEnd"/>
            <w:r>
              <w:rPr>
                <w:rFonts w:ascii="Times New Roman" w:hAnsi="Times New Roman" w:cs="Times New Roman"/>
                <w:sz w:val="18"/>
                <w:szCs w:val="18"/>
              </w:rPr>
              <w:t xml:space="preserve"> </w:t>
            </w:r>
            <w:r w:rsidRPr="004F016D">
              <w:rPr>
                <w:rFonts w:ascii="Times New Roman" w:hAnsi="Times New Roman" w:cs="Times New Roman"/>
                <w:i/>
                <w:sz w:val="18"/>
                <w:szCs w:val="18"/>
              </w:rPr>
              <w:t>et al</w:t>
            </w:r>
            <w:r>
              <w:rPr>
                <w:rFonts w:ascii="Times New Roman" w:hAnsi="Times New Roman" w:cs="Times New Roman"/>
                <w:sz w:val="18"/>
                <w:szCs w:val="18"/>
              </w:rPr>
              <w:t>., 2024</w:t>
            </w:r>
          </w:p>
        </w:tc>
        <w:tc>
          <w:tcPr>
            <w:tcW w:w="1238" w:type="dxa"/>
          </w:tcPr>
          <w:p w14:paraId="782BB290" w14:textId="2F4E8FC2" w:rsidR="00255633" w:rsidRPr="00904E2D" w:rsidRDefault="00A04D73" w:rsidP="00A04D73">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c>
          <w:tcPr>
            <w:tcW w:w="1710" w:type="dxa"/>
          </w:tcPr>
          <w:p w14:paraId="3F6E433C" w14:textId="70A5ADCE" w:rsidR="00255633" w:rsidRPr="00904E2D" w:rsidRDefault="000547C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041637A2" w14:textId="30ED82BC" w:rsidR="00255633" w:rsidRPr="00904E2D" w:rsidRDefault="007F3627"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6360E55E" w14:textId="31E491A5" w:rsidR="00255633" w:rsidRPr="00904E2D" w:rsidRDefault="007F3627"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174C24BD" w14:textId="2FD5E780" w:rsidR="00255633" w:rsidRPr="00904E2D" w:rsidRDefault="00B536BB" w:rsidP="00CA5DAD">
            <w:pPr>
              <w:spacing w:line="360" w:lineRule="auto"/>
              <w:jc w:val="center"/>
              <w:rPr>
                <w:rFonts w:ascii="Times New Roman" w:hAnsi="Times New Roman" w:cs="Times New Roman"/>
                <w:sz w:val="18"/>
                <w:szCs w:val="18"/>
              </w:rPr>
            </w:pPr>
            <w:r w:rsidRPr="00D07911">
              <w:rPr>
                <w:rFonts w:ascii="Times New Roman" w:hAnsi="Times New Roman" w:cs="Times New Roman"/>
                <w:sz w:val="18"/>
                <w:szCs w:val="18"/>
              </w:rPr>
              <w:t>Moderate</w:t>
            </w:r>
          </w:p>
        </w:tc>
        <w:tc>
          <w:tcPr>
            <w:tcW w:w="1980" w:type="dxa"/>
          </w:tcPr>
          <w:p w14:paraId="5F2A151D" w14:textId="6D85D4E9" w:rsidR="00E12CC4" w:rsidRPr="00904E2D" w:rsidRDefault="00E12CC4" w:rsidP="00E12CC4">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c>
          <w:tcPr>
            <w:tcW w:w="1890" w:type="dxa"/>
          </w:tcPr>
          <w:p w14:paraId="6C78EB0D" w14:textId="7B485A74" w:rsidR="00255633" w:rsidRPr="00904E2D" w:rsidRDefault="00903F82"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01" w:type="dxa"/>
          </w:tcPr>
          <w:p w14:paraId="75DE32AD" w14:textId="45EBAD3B" w:rsidR="00255633" w:rsidRPr="00904E2D" w:rsidRDefault="00A04D73"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Serious</w:t>
            </w:r>
          </w:p>
        </w:tc>
      </w:tr>
      <w:tr w:rsidR="00255633" w:rsidRPr="00904E2D" w14:paraId="0D56CEBB" w14:textId="77777777" w:rsidTr="004F016D">
        <w:trPr>
          <w:jc w:val="center"/>
        </w:trPr>
        <w:tc>
          <w:tcPr>
            <w:tcW w:w="1985" w:type="dxa"/>
          </w:tcPr>
          <w:p w14:paraId="24051C5E" w14:textId="136AEBA5" w:rsidR="00255633" w:rsidRDefault="002327DE" w:rsidP="00CA5DAD">
            <w:pPr>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Shah </w:t>
            </w:r>
            <w:r w:rsidRPr="004F016D">
              <w:rPr>
                <w:rFonts w:ascii="Times New Roman" w:hAnsi="Times New Roman" w:cs="Times New Roman"/>
                <w:i/>
                <w:sz w:val="18"/>
                <w:szCs w:val="18"/>
              </w:rPr>
              <w:t>et al.</w:t>
            </w:r>
            <w:r>
              <w:rPr>
                <w:rFonts w:ascii="Times New Roman" w:hAnsi="Times New Roman" w:cs="Times New Roman"/>
                <w:sz w:val="18"/>
                <w:szCs w:val="18"/>
              </w:rPr>
              <w:t>, 2024</w:t>
            </w:r>
          </w:p>
        </w:tc>
        <w:tc>
          <w:tcPr>
            <w:tcW w:w="1238" w:type="dxa"/>
          </w:tcPr>
          <w:p w14:paraId="731E0C53" w14:textId="5F566FE8" w:rsidR="00255633" w:rsidRPr="00904E2D" w:rsidRDefault="008776D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10" w:type="dxa"/>
          </w:tcPr>
          <w:p w14:paraId="62CBC59C" w14:textId="5103944D" w:rsidR="00255633"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980" w:type="dxa"/>
          </w:tcPr>
          <w:p w14:paraId="3E68DC72" w14:textId="436BE1E7" w:rsidR="00255633" w:rsidRPr="00904E2D" w:rsidRDefault="008776D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57DDD508" w14:textId="7F09D12A" w:rsidR="00255633" w:rsidRDefault="008D0F0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74428904" w14:textId="4345D6E3" w:rsidR="00255633"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980" w:type="dxa"/>
          </w:tcPr>
          <w:p w14:paraId="378F5AFC" w14:textId="794681C0" w:rsidR="00255633" w:rsidRPr="00904E2D" w:rsidRDefault="00FB4EAC"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890" w:type="dxa"/>
          </w:tcPr>
          <w:p w14:paraId="11A24B31" w14:textId="6608539F" w:rsidR="00255633"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701" w:type="dxa"/>
          </w:tcPr>
          <w:p w14:paraId="1A2B61E2" w14:textId="5441AD2A" w:rsidR="00255633" w:rsidRDefault="00D07911"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r>
      <w:tr w:rsidR="00255633" w:rsidRPr="00904E2D" w14:paraId="7D9B338C" w14:textId="77777777" w:rsidTr="004F016D">
        <w:trPr>
          <w:jc w:val="center"/>
        </w:trPr>
        <w:tc>
          <w:tcPr>
            <w:tcW w:w="1985" w:type="dxa"/>
          </w:tcPr>
          <w:p w14:paraId="5645952E" w14:textId="54B53595" w:rsidR="00255633" w:rsidRDefault="002327DE" w:rsidP="00CA5DAD">
            <w:pPr>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Shields </w:t>
            </w:r>
            <w:r w:rsidRPr="004F016D">
              <w:rPr>
                <w:rFonts w:ascii="Times New Roman" w:hAnsi="Times New Roman" w:cs="Times New Roman"/>
                <w:i/>
                <w:sz w:val="18"/>
                <w:szCs w:val="18"/>
              </w:rPr>
              <w:t>et al.</w:t>
            </w:r>
            <w:r>
              <w:rPr>
                <w:rFonts w:ascii="Times New Roman" w:hAnsi="Times New Roman" w:cs="Times New Roman"/>
                <w:sz w:val="18"/>
                <w:szCs w:val="18"/>
              </w:rPr>
              <w:t>, 2025</w:t>
            </w:r>
          </w:p>
        </w:tc>
        <w:tc>
          <w:tcPr>
            <w:tcW w:w="1238" w:type="dxa"/>
          </w:tcPr>
          <w:p w14:paraId="4678D6DC" w14:textId="43791C28" w:rsidR="00255633" w:rsidRPr="00904E2D" w:rsidRDefault="008776D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710" w:type="dxa"/>
          </w:tcPr>
          <w:p w14:paraId="24D784E6" w14:textId="061E6185" w:rsidR="00255633" w:rsidRDefault="008D0F0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980" w:type="dxa"/>
          </w:tcPr>
          <w:p w14:paraId="7B123043" w14:textId="47D72541" w:rsidR="00255633" w:rsidRPr="00904E2D" w:rsidRDefault="008776D0"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2340" w:type="dxa"/>
          </w:tcPr>
          <w:p w14:paraId="03D269D6" w14:textId="3B86B1FF" w:rsidR="00255633" w:rsidRDefault="008D0F04"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620" w:type="dxa"/>
          </w:tcPr>
          <w:p w14:paraId="3A32F502" w14:textId="31333587" w:rsidR="00255633" w:rsidRDefault="00B536BB"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980" w:type="dxa"/>
          </w:tcPr>
          <w:p w14:paraId="4FEE2564" w14:textId="4CCB64C2" w:rsidR="00255633" w:rsidRPr="00904E2D"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c>
          <w:tcPr>
            <w:tcW w:w="1890" w:type="dxa"/>
          </w:tcPr>
          <w:p w14:paraId="7E1D5B18" w14:textId="2FF5D76D" w:rsidR="00255633" w:rsidRDefault="003743E9"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Low</w:t>
            </w:r>
          </w:p>
        </w:tc>
        <w:tc>
          <w:tcPr>
            <w:tcW w:w="1701" w:type="dxa"/>
          </w:tcPr>
          <w:p w14:paraId="473CABE4" w14:textId="769CFF25" w:rsidR="00255633" w:rsidRDefault="00D07911" w:rsidP="00CA5DAD">
            <w:pPr>
              <w:spacing w:line="360" w:lineRule="auto"/>
              <w:jc w:val="center"/>
              <w:rPr>
                <w:rFonts w:ascii="Times New Roman" w:hAnsi="Times New Roman" w:cs="Times New Roman"/>
                <w:sz w:val="18"/>
                <w:szCs w:val="18"/>
              </w:rPr>
            </w:pPr>
            <w:r>
              <w:rPr>
                <w:rFonts w:ascii="Times New Roman" w:hAnsi="Times New Roman" w:cs="Times New Roman"/>
                <w:sz w:val="18"/>
                <w:szCs w:val="18"/>
              </w:rPr>
              <w:t>Moderate</w:t>
            </w:r>
          </w:p>
        </w:tc>
      </w:tr>
    </w:tbl>
    <w:p w14:paraId="04B2562C" w14:textId="77777777" w:rsidR="00EC0F9A" w:rsidRDefault="00EC0F9A"/>
    <w:sectPr w:rsidR="00EC0F9A" w:rsidSect="0054161B">
      <w:pgSz w:w="16817" w:h="11901" w:orient="landscape"/>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00"/>
    <w:rsid w:val="00010597"/>
    <w:rsid w:val="00041823"/>
    <w:rsid w:val="000547C0"/>
    <w:rsid w:val="001C63A1"/>
    <w:rsid w:val="00203A4B"/>
    <w:rsid w:val="002327DE"/>
    <w:rsid w:val="00255633"/>
    <w:rsid w:val="00257D96"/>
    <w:rsid w:val="003743E9"/>
    <w:rsid w:val="003C2E84"/>
    <w:rsid w:val="003F6D4E"/>
    <w:rsid w:val="00435B4E"/>
    <w:rsid w:val="004F016D"/>
    <w:rsid w:val="00514507"/>
    <w:rsid w:val="0054161B"/>
    <w:rsid w:val="00650CD5"/>
    <w:rsid w:val="00760EFE"/>
    <w:rsid w:val="007854D5"/>
    <w:rsid w:val="007F3627"/>
    <w:rsid w:val="008776D0"/>
    <w:rsid w:val="008C6B7C"/>
    <w:rsid w:val="008D0F04"/>
    <w:rsid w:val="008F2A86"/>
    <w:rsid w:val="00903F82"/>
    <w:rsid w:val="00954200"/>
    <w:rsid w:val="00A04D73"/>
    <w:rsid w:val="00A66275"/>
    <w:rsid w:val="00A90FB3"/>
    <w:rsid w:val="00B536BB"/>
    <w:rsid w:val="00C170EA"/>
    <w:rsid w:val="00C800BC"/>
    <w:rsid w:val="00CA1361"/>
    <w:rsid w:val="00D01880"/>
    <w:rsid w:val="00D07911"/>
    <w:rsid w:val="00DA353A"/>
    <w:rsid w:val="00DF3937"/>
    <w:rsid w:val="00E12CC4"/>
    <w:rsid w:val="00EC0F9A"/>
    <w:rsid w:val="00FB4E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4914"/>
  <w14:defaultImageDpi w14:val="32767"/>
  <w15:chartTrackingRefBased/>
  <w15:docId w15:val="{3C0B54F8-B808-AF47-B04B-CF8D10B6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556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5849</Words>
  <Characters>33341</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De Paola</dc:creator>
  <cp:keywords/>
  <dc:description/>
  <cp:lastModifiedBy>Giulia Bellon</cp:lastModifiedBy>
  <cp:revision>9</cp:revision>
  <dcterms:created xsi:type="dcterms:W3CDTF">2026-02-26T17:13:00Z</dcterms:created>
  <dcterms:modified xsi:type="dcterms:W3CDTF">2026-02-26T17:18:00Z</dcterms:modified>
</cp:coreProperties>
</file>