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2.xml" ContentType="application/vnd.openxmlformats-officedocument.wordprocessingml.header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tbl>
      <w:tblPr>
        <w:tblStyle w:val="Grigliatabellachiara"/>
        <w:tblpPr w:leftFromText="141" w:rightFromText="141" w:vertAnchor="text" w:tblpY="-28"/>
        <w:tblW w:w="15843" w:type="dxa"/>
        <w:tblLook w:val="04A0" w:firstRow="1" w:lastRow="0" w:firstColumn="1" w:lastColumn="0" w:noHBand="0" w:noVBand="1"/>
      </w:tblPr>
      <w:tblGrid>
        <w:gridCol w:w="3369"/>
        <w:gridCol w:w="3452"/>
        <w:gridCol w:w="9022"/>
      </w:tblGrid>
      <w:tr w:rsidR="34F339F7" w:rsidTr="63F4E849" w14:paraId="5FDB2D5E">
        <w:trPr>
          <w:trHeight w:val="300"/>
        </w:trPr>
        <w:tc>
          <w:tcPr>
            <w:tcW w:w="15843" w:type="dxa"/>
            <w:gridSpan w:val="3"/>
            <w:tcBorders>
              <w:top w:val="none" w:color="BFBFBF" w:themeColor="background1" w:themeShade="BF" w:sz="4"/>
              <w:left w:val="none" w:color="BFBFBF" w:themeColor="background1" w:themeShade="BF" w:sz="4"/>
              <w:bottom w:val="none" w:color="000000" w:themeColor="text1" w:sz="12"/>
              <w:right w:val="none" w:color="BFBFBF" w:themeColor="background1" w:themeShade="BF" w:sz="4"/>
            </w:tcBorders>
            <w:tcMar/>
            <w:hideMark/>
          </w:tcPr>
          <w:p w:rsidR="47BB4623" w:rsidP="63F4E849" w:rsidRDefault="47BB4623" w14:paraId="249CA9A5" w14:textId="4AAAFAEA">
            <w:pPr>
              <w:pStyle w:val="Intestazione"/>
              <w:bidi w:val="0"/>
              <w:ind w:left="-115"/>
              <w:jc w:val="left"/>
              <w:rPr>
                <w:rFonts w:ascii="Times New Roman" w:hAnsi="Times New Roman" w:eastAsia="Times New Roman" w:cs="Times New Roman"/>
                <w:b w:val="1"/>
                <w:bCs w:val="1"/>
                <w:sz w:val="32"/>
                <w:szCs w:val="32"/>
                <w:lang w:val="en-US"/>
              </w:rPr>
            </w:pPr>
            <w:r w:rsidRPr="63F4E849" w:rsidR="47BB4623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 xml:space="preserve">Supplementary </w:t>
            </w:r>
            <w:r w:rsidRPr="63F4E849" w:rsidR="47BB4623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 xml:space="preserve">Material </w:t>
            </w:r>
            <w:r w:rsidRPr="63F4E849" w:rsidR="4F5140F6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>6</w:t>
            </w:r>
            <w:r w:rsidRPr="63F4E849" w:rsidR="47BB4623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 xml:space="preserve"> –</w:t>
            </w:r>
            <w:r w:rsidRPr="63F4E849" w:rsidR="47BB4623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 xml:space="preserve"> Actions to implement </w:t>
            </w:r>
            <w:r w:rsidRPr="63F4E849" w:rsidR="47BB4623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>a holistic approach</w:t>
            </w:r>
            <w:r w:rsidRPr="63F4E849" w:rsidR="47BB4623">
              <w:rPr>
                <w:rFonts w:ascii="Times New Roman" w:hAnsi="Times New Roman" w:eastAsia="Times New Roman" w:cs="Times New Roman"/>
                <w:b w:val="1"/>
                <w:bCs w:val="1"/>
                <w:sz w:val="28"/>
                <w:szCs w:val="28"/>
                <w:lang w:val="en-US"/>
              </w:rPr>
              <w:t xml:space="preserve"> to migration</w:t>
            </w:r>
          </w:p>
          <w:p w:rsidR="34F339F7" w:rsidP="63F4E849" w:rsidRDefault="34F339F7" w14:paraId="68447ED5" w14:textId="776BC72C">
            <w:pPr>
              <w:pStyle w:val="Intestazione"/>
              <w:bidi w:val="0"/>
              <w:ind w:left="-115"/>
              <w:jc w:val="left"/>
              <w:rPr>
                <w:rFonts w:ascii="Times New Roman" w:hAnsi="Times New Roman" w:eastAsia="Times New Roman" w:cs="Times New Roman"/>
                <w:lang w:val="en-US"/>
              </w:rPr>
            </w:pPr>
          </w:p>
          <w:p w:rsidR="47BB4623" w:rsidP="63F4E849" w:rsidRDefault="47BB4623" w14:paraId="59DE1235" w14:textId="5FF47C2E">
            <w:pPr>
              <w:pStyle w:val="Intestazione"/>
              <w:bidi w:val="0"/>
              <w:ind w:left="-115"/>
              <w:jc w:val="left"/>
              <w:rPr>
                <w:rFonts w:ascii="Times New Roman" w:hAnsi="Times New Roman" w:eastAsia="Times New Roman" w:cs="Times New Roman"/>
                <w:noProof w:val="0"/>
                <w:lang w:val="en-US"/>
              </w:rPr>
            </w:pPr>
            <w:r w:rsidRPr="63F4E849" w:rsidR="47BB4623">
              <w:rPr>
                <w:rFonts w:ascii="Times New Roman" w:hAnsi="Times New Roman" w:eastAsia="Times New Roman" w:cs="Times New Roman"/>
                <w:noProof w:val="0"/>
                <w:lang w:val="en-US"/>
              </w:rPr>
              <w:t>Table S</w:t>
            </w:r>
            <w:r w:rsidRPr="63F4E849" w:rsidR="24DD5429">
              <w:rPr>
                <w:rFonts w:ascii="Times New Roman" w:hAnsi="Times New Roman" w:eastAsia="Times New Roman" w:cs="Times New Roman"/>
                <w:noProof w:val="0"/>
                <w:lang w:val="en-US"/>
              </w:rPr>
              <w:t>6</w:t>
            </w:r>
            <w:r w:rsidRPr="63F4E849" w:rsidR="092185C4">
              <w:rPr>
                <w:rFonts w:ascii="Times New Roman" w:hAnsi="Times New Roman" w:eastAsia="Times New Roman" w:cs="Times New Roman"/>
                <w:noProof w:val="0"/>
                <w:lang w:val="en-US"/>
              </w:rPr>
              <w:t>A</w:t>
            </w:r>
            <w:r w:rsidRPr="63F4E849" w:rsidR="47BB4623">
              <w:rPr>
                <w:rFonts w:ascii="Times New Roman" w:hAnsi="Times New Roman" w:eastAsia="Times New Roman" w:cs="Times New Roman"/>
                <w:noProof w:val="0"/>
                <w:lang w:val="en-US"/>
              </w:rPr>
              <w:t xml:space="preserve"> </w:t>
            </w:r>
            <w:r w:rsidRPr="63F4E849" w:rsidR="47BB4623">
              <w:rPr>
                <w:rFonts w:ascii="Times New Roman" w:hAnsi="Times New Roman" w:eastAsia="Times New Roman" w:cs="Times New Roman"/>
                <w:noProof w:val="0"/>
                <w:lang w:val="en-US"/>
              </w:rPr>
              <w:t>summarises</w:t>
            </w:r>
            <w:r w:rsidRPr="63F4E849" w:rsidR="47BB4623">
              <w:rPr>
                <w:rFonts w:ascii="Times New Roman" w:hAnsi="Times New Roman" w:eastAsia="Times New Roman" w:cs="Times New Roman"/>
                <w:noProof w:val="0"/>
                <w:lang w:val="en-US"/>
              </w:rPr>
              <w:t xml:space="preserve"> a three-step One Health roadmap: the foundational prerequisites, the actors to be engaged, and the </w:t>
            </w:r>
            <w:r w:rsidRPr="63F4E849" w:rsidR="47BB4623">
              <w:rPr>
                <w:rFonts w:ascii="Times New Roman" w:hAnsi="Times New Roman" w:eastAsia="Times New Roman" w:cs="Times New Roman"/>
                <w:noProof w:val="0"/>
                <w:lang w:val="en-US"/>
              </w:rPr>
              <w:t>feasible</w:t>
            </w:r>
            <w:r w:rsidRPr="63F4E849" w:rsidR="47BB4623">
              <w:rPr>
                <w:rFonts w:ascii="Times New Roman" w:hAnsi="Times New Roman" w:eastAsia="Times New Roman" w:cs="Times New Roman"/>
                <w:noProof w:val="0"/>
                <w:lang w:val="en-US"/>
              </w:rPr>
              <w:t xml:space="preserve"> actions to be implemented through a permanent One Health Coordination. This structure shows how One Health principles can be practically applied in both formal and informal migrant settings.</w:t>
            </w:r>
          </w:p>
          <w:p w:rsidR="34F339F7" w:rsidP="63F4E849" w:rsidRDefault="34F339F7" w14:paraId="6627A76B" w14:textId="14C3B8EB">
            <w:pPr>
              <w:pStyle w:val="Normale"/>
              <w:spacing w:line="259" w:lineRule="auto"/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</w:p>
          <w:p w:rsidR="34F339F7" w:rsidP="63F4E849" w:rsidRDefault="34F339F7" w14:paraId="1BCB4F21" w14:textId="0776FAD8">
            <w:pPr>
              <w:pStyle w:val="Normale"/>
              <w:spacing w:line="259" w:lineRule="auto"/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</w:p>
        </w:tc>
      </w:tr>
      <w:tr w:rsidRPr="00F30D09" w:rsidR="00F30D09" w:rsidTr="63F4E849" w14:paraId="1FEB753B" w14:textId="77777777">
        <w:tc>
          <w:tcPr>
            <w:tcW w:w="6821" w:type="dxa"/>
            <w:gridSpan w:val="2"/>
            <w:tcBorders>
              <w:top w:val="none" w:color="000000" w:themeColor="text1" w:sz="12"/>
            </w:tcBorders>
            <w:tcMar/>
            <w:hideMark/>
          </w:tcPr>
          <w:p w:rsidRPr="00CB4A3A" w:rsidR="00F30D09" w:rsidP="63F4E849" w:rsidRDefault="00F30D09" w14:paraId="08F15C9A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Rationale (One Health Lens</w:t>
            </w: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 xml:space="preserve"> steps</w:t>
            </w: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)</w:t>
            </w:r>
          </w:p>
        </w:tc>
        <w:tc>
          <w:tcPr>
            <w:tcW w:w="9022" w:type="dxa"/>
            <w:tcBorders>
              <w:top w:val="none" w:color="000000" w:themeColor="text1" w:sz="12"/>
            </w:tcBorders>
            <w:tcMar/>
            <w:hideMark/>
          </w:tcPr>
          <w:p w:rsidRPr="00CB4A3A" w:rsidR="00F30D09" w:rsidP="63F4E849" w:rsidRDefault="00F30D09" w14:paraId="2E7A2BB4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Recommended Actions</w:t>
            </w:r>
          </w:p>
        </w:tc>
      </w:tr>
      <w:tr w:rsidRPr="00F30D09" w:rsidR="00F30D09" w:rsidTr="63F4E849" w14:paraId="2E862630" w14:textId="77777777">
        <w:tc>
          <w:tcPr>
            <w:tcW w:w="6821" w:type="dxa"/>
            <w:gridSpan w:val="2"/>
            <w:tcMar/>
            <w:hideMark/>
          </w:tcPr>
          <w:p w:rsidRPr="00F30D09" w:rsidR="00F30D09" w:rsidP="63F4E849" w:rsidRDefault="00F30D09" w14:paraId="26FD0DEF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1. System-level prerequisites</w:t>
            </w:r>
          </w:p>
          <w:p w:rsidRPr="00CB4A3A" w:rsidR="00F30D09" w:rsidP="63F4E849" w:rsidRDefault="00F30D09" w14:paraId="550C57D3" w14:textId="2DB2DF08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Migrant health risks arise from the interaction of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social determinants,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environmental hazards, animal presence, and vector ecology. These interdependencies require an intentional One Health orientation rather than fragmented, sector-specific responses.</w:t>
            </w:r>
          </w:p>
        </w:tc>
        <w:tc>
          <w:tcPr>
            <w:tcW w:w="9022" w:type="dxa"/>
            <w:tcMar/>
            <w:hideMark/>
          </w:tcPr>
          <w:p w:rsidRPr="00F30D09" w:rsidR="00F30D09" w:rsidP="63F4E849" w:rsidRDefault="00F30D09" w14:paraId="559216DD" w14:textId="52516FE6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Integrate One Health competencies across</w:t>
            </w:r>
            <w:r w:rsidRPr="63F4E849" w:rsidR="0095667E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stakeholders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  <w:r w:rsidRPr="63F4E849" w:rsidR="0095667E">
              <w:rPr>
                <w:rFonts w:ascii="Times New Roman" w:hAnsi="Times New Roman" w:eastAsia="Times New Roman" w:cs="Times New Roman"/>
                <w:sz w:val="20"/>
                <w:szCs w:val="20"/>
              </w:rPr>
              <w:t>(</w:t>
            </w:r>
            <w:r w:rsidRPr="63F4E849" w:rsidR="00940DC9">
              <w:rPr>
                <w:rFonts w:ascii="Times New Roman" w:hAnsi="Times New Roman" w:eastAsia="Times New Roman" w:cs="Times New Roman"/>
                <w:sz w:val="20"/>
                <w:szCs w:val="20"/>
              </w:rPr>
              <w:t>Governments</w:t>
            </w:r>
            <w:r w:rsidRPr="63F4E849" w:rsidR="0095667E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,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NGOs, public health services</w:t>
            </w:r>
            <w:r w:rsidRPr="63F4E849" w:rsidR="0095667E">
              <w:rPr>
                <w:rFonts w:ascii="Times New Roman" w:hAnsi="Times New Roman" w:eastAsia="Times New Roman" w:cs="Times New Roman"/>
                <w:sz w:val="20"/>
                <w:szCs w:val="20"/>
              </w:rPr>
              <w:t>, migrants)</w:t>
            </w:r>
          </w:p>
          <w:p w:rsidRPr="00F30D09" w:rsidR="00F30D09" w:rsidP="63F4E849" w:rsidRDefault="00F30D09" w14:paraId="6083F4A0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Promote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equitable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access to health for people in both formal and informal sites.</w:t>
            </w:r>
          </w:p>
          <w:p w:rsidRPr="00CB4A3A" w:rsidR="00F30D09" w:rsidP="63F4E849" w:rsidRDefault="00F30D09" w14:paraId="414C7DE2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Recognise and de-criminalise animal ownership and ritual slaughter, supporting safe practices rather than policing them.</w:t>
            </w:r>
          </w:p>
        </w:tc>
      </w:tr>
      <w:tr w:rsidRPr="00F30D09" w:rsidR="00F30D09" w:rsidTr="63F4E849" w14:paraId="05DDEACD" w14:textId="77777777">
        <w:tc>
          <w:tcPr>
            <w:tcW w:w="6821" w:type="dxa"/>
            <w:gridSpan w:val="2"/>
            <w:tcMar/>
            <w:hideMark/>
          </w:tcPr>
          <w:p w:rsidRPr="00F30D09" w:rsidR="00F30D09" w:rsidP="63F4E849" w:rsidRDefault="00F30D09" w14:paraId="6B73C62B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2. Cross-sectoral engagement</w:t>
            </w:r>
          </w:p>
          <w:p w:rsidRPr="00CB4A3A" w:rsidR="00F30D09" w:rsidP="63F4E849" w:rsidRDefault="00F30D09" w14:paraId="53864B71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Informal sites are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mainly managed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by NGOs and grassroots actors; without environmental-health and animal-health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expertise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, risks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remain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unmanaged. Migrant leaders and religious associations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facilitate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culturally trusted communication.</w:t>
            </w:r>
          </w:p>
        </w:tc>
        <w:tc>
          <w:tcPr>
            <w:tcW w:w="9022" w:type="dxa"/>
            <w:tcMar/>
            <w:hideMark/>
          </w:tcPr>
          <w:p w:rsidRPr="00F30D09" w:rsidR="00F30D09" w:rsidP="63F4E849" w:rsidRDefault="00F30D09" w14:paraId="62091693" w14:textId="269CB18C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Expand </w:t>
            </w:r>
            <w:r w:rsidRPr="63F4E849" w:rsidR="00940DC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healthcare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teams to include animal-health and environmental-health professionals</w:t>
            </w:r>
          </w:p>
          <w:p w:rsidRPr="00F30D09" w:rsidR="00F30D09" w:rsidP="63F4E849" w:rsidRDefault="00F30D09" w14:paraId="11B3EE28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.•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Engage migrants and community leaders as peer educators and co-producers of health.</w:t>
            </w:r>
          </w:p>
          <w:p w:rsidRPr="00CB4A3A" w:rsidR="00F30D09" w:rsidP="63F4E849" w:rsidRDefault="00F30D09" w14:paraId="3EC42576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Collaborate with faith-based organisations to support trust and communication.</w:t>
            </w:r>
          </w:p>
        </w:tc>
      </w:tr>
      <w:tr w:rsidRPr="00F30D09" w:rsidR="00F30D09" w:rsidTr="63F4E849" w14:paraId="56D168C2" w14:textId="77777777">
        <w:tc>
          <w:tcPr>
            <w:tcW w:w="6821" w:type="dxa"/>
            <w:gridSpan w:val="2"/>
            <w:tcMar/>
            <w:hideMark/>
          </w:tcPr>
          <w:p w:rsidRPr="00F30D09" w:rsidR="00F30D09" w:rsidP="63F4E849" w:rsidRDefault="00F30D09" w14:paraId="2D85602A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3. One Health Cell (coordination mechanism)</w:t>
            </w:r>
          </w:p>
          <w:p w:rsidRPr="00CB4A3A" w:rsidR="00F30D09" w:rsidP="63F4E849" w:rsidRDefault="00F30D09" w14:paraId="70C6ECBE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Fragmentation between formal and informal settings leads to inconsistent management of environmental, human, and animal health risks. A stable coordination mechanism can ensure continuity, cross-notification, and proportional support.</w:t>
            </w:r>
          </w:p>
        </w:tc>
        <w:tc>
          <w:tcPr>
            <w:tcW w:w="9022" w:type="dxa"/>
            <w:tcMar/>
            <w:hideMark/>
          </w:tcPr>
          <w:p w:rsidRPr="00F30D09" w:rsidR="00F30D09" w:rsidP="63F4E849" w:rsidRDefault="00F30D09" w14:paraId="1A752BCA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Establish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a </w:t>
            </w:r>
            <w:r w:rsidRPr="63F4E849" w:rsidR="00F30D09">
              <w:rPr>
                <w:rFonts w:ascii="Times New Roman" w:hAnsi="Times New Roman" w:eastAsia="Times New Roman" w:cs="Times New Roman"/>
                <w:i w:val="1"/>
                <w:iCs w:val="1"/>
                <w:sz w:val="20"/>
                <w:szCs w:val="20"/>
              </w:rPr>
              <w:t>One Health Cell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active across formal and informal sites.</w:t>
            </w:r>
          </w:p>
          <w:p w:rsidRPr="00F30D09" w:rsidR="00F30D09" w:rsidP="63F4E849" w:rsidRDefault="00F30D09" w14:paraId="1C1D941D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In formal sites: include public veterinary services, public health staff, and environmental health officers.</w:t>
            </w:r>
          </w:p>
          <w:p w:rsidRPr="00F30D09" w:rsidR="00F30D09" w:rsidP="63F4E849" w:rsidRDefault="00F30D09" w14:paraId="35C7EB10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In informal sites: rely on NGO staff integrating an animal-health consultant and environmental-health technician.</w:t>
            </w:r>
          </w:p>
          <w:p w:rsidRPr="00CB4A3A" w:rsidR="00F30D09" w:rsidP="63F4E849" w:rsidRDefault="00F30D09" w14:paraId="51918613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Maintain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continuous coordination between both cells to ensure communication, shared risk assessment, and aligned responses.</w:t>
            </w:r>
          </w:p>
        </w:tc>
      </w:tr>
      <w:tr w:rsidRPr="00F30D09" w:rsidR="00F30D09" w:rsidTr="63F4E849" w14:paraId="422003E4" w14:textId="77777777">
        <w:tc>
          <w:tcPr>
            <w:tcW w:w="15843" w:type="dxa"/>
            <w:gridSpan w:val="3"/>
            <w:tcMar/>
          </w:tcPr>
          <w:p w:rsidRPr="00F30D09" w:rsidR="00F30D09" w:rsidP="63F4E849" w:rsidRDefault="00F30D09" w14:paraId="06B78ED4" w14:textId="77777777">
            <w:pPr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</w:p>
          <w:p w:rsidRPr="00F30D09" w:rsidR="00F30D09" w:rsidP="63F4E849" w:rsidRDefault="00F30D09" w14:paraId="4B2AC04C" w14:textId="200CBE8E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 xml:space="preserve">ONE HEALTH CELL </w:t>
            </w:r>
          </w:p>
        </w:tc>
      </w:tr>
      <w:tr w:rsidRPr="00F30D09" w:rsidR="00997906" w:rsidTr="63F4E849" w14:paraId="6553D851" w14:textId="77777777">
        <w:tc>
          <w:tcPr>
            <w:tcW w:w="3369" w:type="dxa"/>
            <w:tcMar/>
          </w:tcPr>
          <w:p w:rsidRPr="00F30D09" w:rsidR="00F30D09" w:rsidP="63F4E849" w:rsidRDefault="00F30D09" w14:paraId="61422B53" w14:textId="77777777">
            <w:pPr>
              <w:tabs>
                <w:tab w:val="left" w:pos="1047"/>
              </w:tabs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Topic of intervention</w:t>
            </w:r>
          </w:p>
        </w:tc>
        <w:tc>
          <w:tcPr>
            <w:tcW w:w="3452" w:type="dxa"/>
            <w:tcMar/>
          </w:tcPr>
          <w:p w:rsidRPr="00F30D09" w:rsidR="00F30D09" w:rsidP="63F4E849" w:rsidRDefault="00F30D09" w14:paraId="428505C4" w14:textId="77777777">
            <w:pPr>
              <w:tabs>
                <w:tab w:val="left" w:pos="1047"/>
              </w:tabs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Rationale</w:t>
            </w:r>
          </w:p>
        </w:tc>
        <w:tc>
          <w:tcPr>
            <w:tcW w:w="9022" w:type="dxa"/>
            <w:tcMar/>
          </w:tcPr>
          <w:p w:rsidRPr="00F30D09" w:rsidR="00F30D09" w:rsidP="63F4E849" w:rsidRDefault="00F30D09" w14:paraId="043AF84A" w14:textId="77777777">
            <w:pPr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Recommended Actions</w:t>
            </w:r>
          </w:p>
        </w:tc>
      </w:tr>
      <w:tr w:rsidRPr="00F30D09" w:rsidR="00F30D09" w:rsidTr="63F4E849" w14:paraId="35DE59FF" w14:textId="77777777">
        <w:tc>
          <w:tcPr>
            <w:tcW w:w="3369" w:type="dxa"/>
            <w:tcMar/>
            <w:hideMark/>
          </w:tcPr>
          <w:p w:rsidRPr="00CB4A3A" w:rsidR="00F30D09" w:rsidP="63F4E849" w:rsidRDefault="00F30D09" w14:paraId="5C9E866C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4. Environmental &amp; animal-health management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452" w:type="dxa"/>
            <w:tcMar/>
            <w:hideMark/>
          </w:tcPr>
          <w:p w:rsidRPr="00CB4A3A" w:rsidR="00F30D09" w:rsidP="63F4E849" w:rsidRDefault="00997906" w14:paraId="4897C5C2" w14:textId="73CE2E04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997906">
              <w:rPr>
                <w:rFonts w:ascii="Times New Roman" w:hAnsi="Times New Roman" w:eastAsia="Times New Roman" w:cs="Times New Roman"/>
              </w:rPr>
              <w:t>Environmental exposures (wastewater, refuse, cooking areas), synanthropic species, and interactions with animals influence foodborne, waterborne, and vector-borne disease dynamics.</w:t>
            </w:r>
          </w:p>
        </w:tc>
        <w:tc>
          <w:tcPr>
            <w:tcW w:w="9022" w:type="dxa"/>
            <w:tcMar/>
            <w:hideMark/>
          </w:tcPr>
          <w:p w:rsidRPr="00F30D09" w:rsidR="00F30D09" w:rsidP="63F4E849" w:rsidRDefault="00F30D09" w14:paraId="018A8C3B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Implement basic environmental health measures (waste points, wastewater drainage, safer cooking setups).</w:t>
            </w:r>
          </w:p>
          <w:p w:rsidRPr="00F30D09" w:rsidR="00F30D09" w:rsidP="63F4E849" w:rsidRDefault="0F46D435" w14:paraId="3B32645D" w14:textId="02FB4532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F46D435">
              <w:rPr>
                <w:rFonts w:ascii="Times New Roman" w:hAnsi="Times New Roman" w:eastAsia="Times New Roman" w:cs="Times New Roman"/>
                <w:sz w:val="20"/>
                <w:szCs w:val="20"/>
              </w:rPr>
              <w:t>• Promote risk-based synanthrop</w:t>
            </w:r>
            <w:r w:rsidRPr="63F4E849" w:rsidR="0D8713F5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ic animals </w:t>
            </w:r>
            <w:r w:rsidRPr="63F4E849" w:rsidR="0F46D435">
              <w:rPr>
                <w:rFonts w:ascii="Times New Roman" w:hAnsi="Times New Roman" w:eastAsia="Times New Roman" w:cs="Times New Roman"/>
                <w:sz w:val="20"/>
                <w:szCs w:val="20"/>
              </w:rPr>
              <w:t>management (rats, mosquitoes, ticks).</w:t>
            </w:r>
          </w:p>
          <w:p w:rsidRPr="00CB4A3A" w:rsidR="00F30D09" w:rsidP="63F4E849" w:rsidRDefault="00F30D09" w14:paraId="17410EB8" w14:textId="47C83F9F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• Adopt non-criminalising strategies for animals (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health check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, vaccination/sterilisation when 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feasible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).</w:t>
            </w:r>
          </w:p>
        </w:tc>
      </w:tr>
      <w:tr w:rsidRPr="00F30D09" w:rsidR="00F30D09" w:rsidTr="63F4E849" w14:paraId="6EE9D15A" w14:textId="77777777">
        <w:tc>
          <w:tcPr>
            <w:tcW w:w="3369" w:type="dxa"/>
            <w:tcMar/>
            <w:hideMark/>
          </w:tcPr>
          <w:p w:rsidRPr="00CB4A3A" w:rsidR="00F30D09" w:rsidP="63F4E849" w:rsidRDefault="00F30D09" w14:paraId="2E2F6B79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5. Safe food systems &amp; ritual slaughter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452" w:type="dxa"/>
            <w:tcMar/>
            <w:hideMark/>
          </w:tcPr>
          <w:p w:rsidRPr="00CB4A3A" w:rsidR="00F30D09" w:rsidP="63F4E849" w:rsidRDefault="00F30D09" w14:paraId="6C3AC0A5" w14:textId="77777777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Informal food preparation and ritual slaughter are common cultural practices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>;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if unsupported, they increase risks rather than reducing them.</w:t>
            </w:r>
          </w:p>
        </w:tc>
        <w:tc>
          <w:tcPr>
            <w:tcW w:w="9022" w:type="dxa"/>
            <w:tcMar/>
            <w:hideMark/>
          </w:tcPr>
          <w:p w:rsidRPr="00F30D09" w:rsidR="00F30D09" w:rsidP="63F4E849" w:rsidRDefault="0F46D435" w14:paraId="24FD62EB" w14:textId="5DDD8878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F46D435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Provide guidance and hygiene </w:t>
            </w:r>
            <w:r w:rsidRPr="63F4E849" w:rsidR="52CD0E22">
              <w:rPr>
                <w:rFonts w:ascii="Times New Roman" w:hAnsi="Times New Roman" w:eastAsia="Times New Roman" w:cs="Times New Roman"/>
                <w:sz w:val="20"/>
                <w:szCs w:val="20"/>
              </w:rPr>
              <w:t>tool</w:t>
            </w:r>
            <w:r w:rsidRPr="63F4E849" w:rsidR="0F46D435">
              <w:rPr>
                <w:rFonts w:ascii="Times New Roman" w:hAnsi="Times New Roman" w:eastAsia="Times New Roman" w:cs="Times New Roman"/>
                <w:sz w:val="20"/>
                <w:szCs w:val="20"/>
              </w:rPr>
              <w:t>kits for safer slaughter, without formalising or restricting practices.</w:t>
            </w:r>
          </w:p>
          <w:p w:rsidRPr="00F30D09" w:rsidR="00F30D09" w:rsidP="63F4E849" w:rsidRDefault="0F46D435" w14:paraId="27C89748" w14:textId="6F80FB9F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F46D435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Organise “safe slaughter windows” during </w:t>
            </w:r>
            <w:r w:rsidRPr="63F4E849" w:rsidR="1F523EB5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religious and </w:t>
            </w:r>
            <w:r w:rsidRPr="63F4E849" w:rsidR="0F46D435">
              <w:rPr>
                <w:rFonts w:ascii="Times New Roman" w:hAnsi="Times New Roman" w:eastAsia="Times New Roman" w:cs="Times New Roman"/>
                <w:sz w:val="20"/>
                <w:szCs w:val="20"/>
              </w:rPr>
              <w:t>culturally significant periods.</w:t>
            </w:r>
          </w:p>
          <w:p w:rsidRPr="00CB4A3A" w:rsidR="00F30D09" w:rsidP="63F4E849" w:rsidRDefault="00F30D09" w14:paraId="55606AB0" w14:textId="46CD51E1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Promote basic food and water </w:t>
            </w:r>
            <w:r w:rsidRPr="63F4E849" w:rsidR="4FD9E3FC">
              <w:rPr>
                <w:rFonts w:ascii="Times New Roman" w:hAnsi="Times New Roman" w:eastAsia="Times New Roman" w:cs="Times New Roman"/>
                <w:sz w:val="20"/>
                <w:szCs w:val="20"/>
              </w:rPr>
              <w:t>hygiene</w:t>
            </w:r>
            <w:r w:rsidRPr="63F4E849" w:rsidR="00F30D09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education through peer educators.</w:t>
            </w:r>
          </w:p>
        </w:tc>
      </w:tr>
      <w:tr w:rsidRPr="00F30D09" w:rsidR="00F30D09" w:rsidTr="63F4E849" w14:paraId="416521D3" w14:textId="77777777">
        <w:tc>
          <w:tcPr>
            <w:tcW w:w="3369" w:type="dxa"/>
            <w:tcMar/>
            <w:hideMark/>
          </w:tcPr>
          <w:p w:rsidRPr="00CB4A3A" w:rsidR="00F30D09" w:rsidP="63F4E849" w:rsidRDefault="00BE2AE8" w14:paraId="1B116DB9" w14:textId="3C130A06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BE2AE8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 xml:space="preserve">6. </w:t>
            </w:r>
            <w:r w:rsidRPr="63F4E849" w:rsidR="00BE2AE8">
              <w:rPr>
                <w:rFonts w:ascii="Times New Roman" w:hAnsi="Times New Roman" w:eastAsia="Times New Roman" w:cs="Times New Roman"/>
                <w:b w:val="1"/>
                <w:bCs w:val="1"/>
                <w:sz w:val="20"/>
                <w:szCs w:val="20"/>
              </w:rPr>
              <w:t>Human health support in informal sites</w:t>
            </w:r>
          </w:p>
        </w:tc>
        <w:tc>
          <w:tcPr>
            <w:tcW w:w="3452" w:type="dxa"/>
            <w:tcMar/>
            <w:hideMark/>
          </w:tcPr>
          <w:p w:rsidRPr="00CB4A3A" w:rsidR="00F30D09" w:rsidP="63F4E849" w:rsidRDefault="00BE2AE8" w14:paraId="06AB07C9" w14:textId="306702CF">
            <w:pPr>
              <w:spacing w:after="160"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Informal sites lack institutional healthcare, creating gaps in early detection of illness, triage, and referral. Addressing this absence is essential to 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maintain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continuity across human, animal, and environmental health domains</w:t>
            </w:r>
            <w:r w:rsidRPr="63F4E849" w:rsidR="00ED3C6F">
              <w:rPr>
                <w:rFonts w:ascii="Times New Roman" w:hAnsi="Times New Roman" w:eastAsia="Times New Roman" w:cs="Times New Roman"/>
                <w:sz w:val="20"/>
                <w:szCs w:val="20"/>
              </w:rPr>
              <w:t>.</w:t>
            </w:r>
          </w:p>
        </w:tc>
        <w:tc>
          <w:tcPr>
            <w:tcW w:w="9022" w:type="dxa"/>
            <w:tcMar/>
            <w:hideMark/>
          </w:tcPr>
          <w:p w:rsidRPr="00CB4A3A" w:rsidR="00F30D09" w:rsidP="63F4E849" w:rsidRDefault="00BE2AE8" w14:paraId="40EF8F9C" w14:textId="3334FB0C">
            <w:pPr>
              <w:spacing w:after="160" w:line="360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Provide basic human health triage and </w:t>
            </w:r>
            <w:r w:rsidRPr="63F4E849" w:rsidR="4FC680F3">
              <w:rPr>
                <w:rFonts w:ascii="Times New Roman" w:hAnsi="Times New Roman" w:eastAsia="Times New Roman" w:cs="Times New Roman"/>
                <w:sz w:val="20"/>
                <w:szCs w:val="20"/>
              </w:rPr>
              <w:t>care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.</w:t>
            </w:r>
            <w:r>
              <w:br/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• Offer first aid and symptom</w:t>
            </w:r>
            <w:r w:rsidRPr="63F4E849" w:rsidR="7A9D4017">
              <w:rPr>
                <w:rFonts w:ascii="Times New Roman" w:hAnsi="Times New Roman" w:eastAsia="Times New Roman" w:cs="Times New Roman"/>
                <w:sz w:val="20"/>
                <w:szCs w:val="20"/>
              </w:rPr>
              <w:t>s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screening</w:t>
            </w:r>
            <w:r w:rsidRPr="63F4E849" w:rsidR="00A7250D">
              <w:rPr>
                <w:rFonts w:ascii="Times New Roman" w:hAnsi="Times New Roman" w:eastAsia="Times New Roman" w:cs="Times New Roman"/>
                <w:sz w:val="20"/>
                <w:szCs w:val="20"/>
              </w:rPr>
              <w:t>.</w:t>
            </w:r>
            <w:r>
              <w:br/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Establish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 referral pathways to formal services for urgent or complex cases.</w:t>
            </w:r>
            <w:r>
              <w:br/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• </w:t>
            </w:r>
            <w:r w:rsidRPr="63F4E849" w:rsidR="422D8484">
              <w:rPr>
                <w:rFonts w:ascii="Times New Roman" w:hAnsi="Times New Roman" w:eastAsia="Times New Roman" w:cs="Times New Roman"/>
                <w:sz w:val="20"/>
                <w:szCs w:val="20"/>
              </w:rPr>
              <w:t>Perform syndromic surveillance</w:t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.</w:t>
            </w:r>
            <w:r>
              <w:br/>
            </w:r>
            <w:r w:rsidRPr="63F4E849" w:rsidR="00BE2AE8">
              <w:rPr>
                <w:rFonts w:ascii="Times New Roman" w:hAnsi="Times New Roman" w:eastAsia="Times New Roman" w:cs="Times New Roman"/>
                <w:sz w:val="20"/>
                <w:szCs w:val="20"/>
              </w:rPr>
              <w:t>• Ensure two-way communication between informal-site teams and formal health services.</w:t>
            </w:r>
          </w:p>
        </w:tc>
      </w:tr>
    </w:tbl>
    <w:p w:rsidRPr="00F30D09" w:rsidR="001F35F2" w:rsidP="63F4E849" w:rsidRDefault="001F35F2" w14:paraId="12B1F862" w14:textId="77777777">
      <w:pPr>
        <w:rPr>
          <w:rFonts w:ascii="Times New Roman" w:hAnsi="Times New Roman" w:eastAsia="Times New Roman" w:cs="Times New Roman"/>
          <w:sz w:val="20"/>
          <w:szCs w:val="20"/>
        </w:rPr>
      </w:pPr>
    </w:p>
    <w:p w:rsidR="652A810F" w:rsidP="63F4E849" w:rsidRDefault="652A810F" w14:paraId="555A87C9" w14:textId="030ECAFC">
      <w:pPr>
        <w:pStyle w:val="Normale"/>
        <w:rPr>
          <w:rFonts w:ascii="Times New Roman" w:hAnsi="Times New Roman" w:eastAsia="Times New Roman" w:cs="Times New Roman"/>
        </w:rPr>
      </w:pPr>
      <w:r w:rsidRPr="63F4E849" w:rsidR="31F65843">
        <w:rPr>
          <w:rFonts w:ascii="Times New Roman" w:hAnsi="Times New Roman" w:eastAsia="Times New Roman" w:cs="Times New Roman"/>
        </w:rPr>
        <w:t>Figure S6</w:t>
      </w:r>
      <w:r w:rsidRPr="63F4E849" w:rsidR="7DFFD238">
        <w:rPr>
          <w:rFonts w:ascii="Times New Roman" w:hAnsi="Times New Roman" w:eastAsia="Times New Roman" w:cs="Times New Roman"/>
        </w:rPr>
        <w:t>B</w:t>
      </w:r>
      <w:r w:rsidRPr="63F4E849" w:rsidR="31F65843">
        <w:rPr>
          <w:rFonts w:ascii="Times New Roman" w:hAnsi="Times New Roman" w:eastAsia="Times New Roman" w:cs="Times New Roman"/>
        </w:rPr>
        <w:t xml:space="preserve"> summarises action</w:t>
      </w:r>
      <w:r w:rsidRPr="63F4E849" w:rsidR="31F65843">
        <w:rPr>
          <w:rFonts w:ascii="Times New Roman" w:hAnsi="Times New Roman" w:eastAsia="Times New Roman" w:cs="Times New Roman"/>
        </w:rPr>
        <w:t xml:space="preserve"> and actors involved in</w:t>
      </w:r>
      <w:r w:rsidRPr="63F4E849" w:rsidR="6F4A5A0A">
        <w:rPr>
          <w:rFonts w:ascii="Times New Roman" w:hAnsi="Times New Roman" w:eastAsia="Times New Roman" w:cs="Times New Roman"/>
        </w:rPr>
        <w:t xml:space="preserve"> the presented</w:t>
      </w:r>
      <w:r w:rsidRPr="63F4E849" w:rsidR="31F65843">
        <w:rPr>
          <w:rFonts w:ascii="Times New Roman" w:hAnsi="Times New Roman" w:eastAsia="Times New Roman" w:cs="Times New Roman"/>
        </w:rPr>
        <w:t xml:space="preserve"> </w:t>
      </w:r>
      <w:r w:rsidRPr="63F4E849" w:rsidR="31F65843">
        <w:rPr>
          <w:rFonts w:ascii="Times New Roman" w:hAnsi="Times New Roman" w:eastAsia="Times New Roman" w:cs="Times New Roman"/>
        </w:rPr>
        <w:t>holistic approach</w:t>
      </w:r>
      <w:r w:rsidRPr="63F4E849" w:rsidR="31F65843">
        <w:rPr>
          <w:rFonts w:ascii="Times New Roman" w:hAnsi="Times New Roman" w:eastAsia="Times New Roman" w:cs="Times New Roman"/>
        </w:rPr>
        <w:t xml:space="preserve"> to migration</w:t>
      </w:r>
      <w:r w:rsidRPr="63F4E849" w:rsidR="098FE766">
        <w:rPr>
          <w:rFonts w:ascii="Times New Roman" w:hAnsi="Times New Roman" w:eastAsia="Times New Roman" w:cs="Times New Roman"/>
        </w:rPr>
        <w:t>, as explained in Table 6S.</w:t>
      </w:r>
      <w:r w:rsidR="6A89BB3B">
        <w:drawing>
          <wp:anchor distT="0" distB="0" distL="114300" distR="114300" simplePos="0" relativeHeight="251658240" behindDoc="0" locked="0" layoutInCell="1" allowOverlap="1" wp14:editId="46FF99F0" wp14:anchorId="6A5BB3B2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6905625" cy="7886822"/>
            <wp:effectExtent l="0" t="0" r="0" b="0"/>
            <wp:wrapSquare wrapText="bothSides"/>
            <wp:docPr id="108433482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084334829" name="Picture 1084334829"/>
                    <pic:cNvPicPr/>
                  </pic:nvPicPr>
                  <pic:blipFill>
                    <a:blip xmlns:r="http://schemas.openxmlformats.org/officeDocument/2006/relationships" r:embed="rId203454360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l="0" t="8966" r="0" b="1033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905625" cy="78868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652A810F" w:rsidSect="00F30D09">
      <w:headerReference w:type="default" r:id="rId11"/>
      <w:footerReference w:type="default" r:id="rId12"/>
      <w:pgSz w:w="16838" w:h="11906" w:orient="landscape"/>
      <w:pgMar w:top="720" w:right="720" w:bottom="720" w:left="720" w:header="708" w:footer="708" w:gutter="0"/>
      <w:cols w:space="708"/>
      <w:docGrid w:linePitch="360"/>
      <w:titlePg w:val="1"/>
      <w:headerReference w:type="first" r:id="Rea36e90cfe7b4239"/>
      <w:footerReference w:type="first" r:id="R7e7796bc138043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A4FF7" w:rsidRDefault="00CA4FF7" w14:paraId="531E42ED" w14:textId="77777777">
      <w:pPr>
        <w:spacing w:after="0" w:line="240" w:lineRule="auto"/>
      </w:pPr>
      <w:r>
        <w:separator/>
      </w:r>
    </w:p>
  </w:endnote>
  <w:endnote w:type="continuationSeparator" w:id="0">
    <w:p w:rsidR="00CA4FF7" w:rsidRDefault="00CA4FF7" w14:paraId="00518C4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10E9CB6C" w:rsidTr="10E9CB6C" w14:paraId="60F9733B" w14:textId="77777777">
      <w:trPr>
        <w:trHeight w:val="300"/>
      </w:trPr>
      <w:tc>
        <w:tcPr>
          <w:tcW w:w="5130" w:type="dxa"/>
        </w:tcPr>
        <w:p w:rsidR="10E9CB6C" w:rsidP="10E9CB6C" w:rsidRDefault="10E9CB6C" w14:paraId="04ADD03E" w14:textId="17CE5CE8">
          <w:pPr>
            <w:pStyle w:val="Intestazione"/>
            <w:ind w:left="-115"/>
          </w:pPr>
        </w:p>
      </w:tc>
      <w:tc>
        <w:tcPr>
          <w:tcW w:w="5130" w:type="dxa"/>
        </w:tcPr>
        <w:p w:rsidR="10E9CB6C" w:rsidP="10E9CB6C" w:rsidRDefault="10E9CB6C" w14:paraId="75DEDAAA" w14:textId="3074BEE7">
          <w:pPr>
            <w:pStyle w:val="Intestazione"/>
            <w:jc w:val="center"/>
          </w:pPr>
        </w:p>
      </w:tc>
      <w:tc>
        <w:tcPr>
          <w:tcW w:w="5130" w:type="dxa"/>
        </w:tcPr>
        <w:p w:rsidR="10E9CB6C" w:rsidP="10E9CB6C" w:rsidRDefault="10E9CB6C" w14:paraId="3AFD735F" w14:textId="71F3CEDC">
          <w:pPr>
            <w:pStyle w:val="Intestazione"/>
            <w:ind w:right="-115"/>
            <w:jc w:val="right"/>
          </w:pPr>
        </w:p>
      </w:tc>
    </w:tr>
  </w:tbl>
  <w:p w:rsidR="10E9CB6C" w:rsidP="10E9CB6C" w:rsidRDefault="10E9CB6C" w14:paraId="04BE9BCA" w14:textId="67FDDEE5">
    <w:pPr>
      <w:pStyle w:val="Pidipagina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ellanormale"/>
      <w:bidiVisual w:val="0"/>
      <w:tblW w:w="0" w:type="auto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34F339F7" w:rsidTr="34F339F7" w14:paraId="49EE6DAB">
      <w:trPr>
        <w:trHeight w:val="300"/>
      </w:trPr>
      <w:tc>
        <w:tcPr>
          <w:tcW w:w="5130" w:type="dxa"/>
          <w:tcMar/>
        </w:tcPr>
        <w:p w:rsidR="34F339F7" w:rsidP="34F339F7" w:rsidRDefault="34F339F7" w14:paraId="59C61765" w14:textId="783CAFD0">
          <w:pPr>
            <w:pStyle w:val="Intestazione"/>
            <w:bidi w:val="0"/>
            <w:ind w:left="-115"/>
            <w:jc w:val="left"/>
          </w:pPr>
        </w:p>
      </w:tc>
      <w:tc>
        <w:tcPr>
          <w:tcW w:w="5130" w:type="dxa"/>
          <w:tcMar/>
        </w:tcPr>
        <w:p w:rsidR="34F339F7" w:rsidP="34F339F7" w:rsidRDefault="34F339F7" w14:paraId="242EC4E5" w14:textId="1FD21D2C">
          <w:pPr>
            <w:pStyle w:val="Intestazione"/>
            <w:bidi w:val="0"/>
            <w:jc w:val="center"/>
          </w:pPr>
        </w:p>
      </w:tc>
      <w:tc>
        <w:tcPr>
          <w:tcW w:w="5130" w:type="dxa"/>
          <w:tcMar/>
        </w:tcPr>
        <w:p w:rsidR="34F339F7" w:rsidP="34F339F7" w:rsidRDefault="34F339F7" w14:paraId="518DCD1A" w14:textId="5765D28B">
          <w:pPr>
            <w:pStyle w:val="Intestazione"/>
            <w:bidi w:val="0"/>
            <w:ind w:right="-115"/>
            <w:jc w:val="right"/>
          </w:pPr>
        </w:p>
      </w:tc>
    </w:tr>
  </w:tbl>
  <w:p w:rsidR="34F339F7" w:rsidP="34F339F7" w:rsidRDefault="34F339F7" w14:paraId="784EE257" w14:textId="310FDD9C">
    <w:pPr>
      <w:pStyle w:val="Pidipagina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A4FF7" w:rsidRDefault="00CA4FF7" w14:paraId="6EAEEF32" w14:textId="77777777">
      <w:pPr>
        <w:spacing w:after="0" w:line="240" w:lineRule="auto"/>
      </w:pPr>
      <w:r>
        <w:separator/>
      </w:r>
    </w:p>
  </w:footnote>
  <w:footnote w:type="continuationSeparator" w:id="0">
    <w:p w:rsidR="00CA4FF7" w:rsidRDefault="00CA4FF7" w14:paraId="56FCC3B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390" w:type="dxa"/>
      <w:tblLook w:val="06A0" w:firstRow="1" w:lastRow="0" w:firstColumn="1" w:lastColumn="0" w:noHBand="1" w:noVBand="1"/>
    </w:tblPr>
    <w:tblGrid>
      <w:gridCol w:w="7740"/>
      <w:gridCol w:w="2520"/>
      <w:gridCol w:w="5130"/>
    </w:tblGrid>
    <w:tr w:rsidR="10E9CB6C" w:rsidTr="5B14BDCA" w14:paraId="0A58159B" w14:textId="77777777">
      <w:trPr>
        <w:trHeight w:val="300"/>
      </w:trPr>
      <w:tc>
        <w:tcPr>
          <w:tcW w:w="7740" w:type="dxa"/>
          <w:tcMar/>
        </w:tcPr>
        <w:p w:rsidR="10E9CB6C" w:rsidP="5B14BDCA" w:rsidRDefault="10E9CB6C" w14:paraId="2E087CA9" w14:textId="7E9219F6">
          <w:pPr>
            <w:pStyle w:val="Intestazione"/>
            <w:ind w:left="-115"/>
            <w:rPr>
              <w:lang w:val="en-US"/>
            </w:rPr>
          </w:pPr>
        </w:p>
        <w:p w:rsidR="10E9CB6C" w:rsidP="5B14BDCA" w:rsidRDefault="10E9CB6C" w14:paraId="23A69554" w14:textId="2BA68337">
          <w:pPr>
            <w:pStyle w:val="Intestazione"/>
            <w:ind w:left="-115"/>
            <w:rPr>
              <w:lang w:val="en-US"/>
            </w:rPr>
          </w:pPr>
        </w:p>
      </w:tc>
      <w:tc>
        <w:tcPr>
          <w:tcW w:w="2520" w:type="dxa"/>
          <w:tcMar/>
        </w:tcPr>
        <w:p w:rsidR="10E9CB6C" w:rsidP="10E9CB6C" w:rsidRDefault="10E9CB6C" w14:paraId="549F9EC9" w14:textId="5ED8C896">
          <w:pPr>
            <w:pStyle w:val="Intestazione"/>
            <w:jc w:val="center"/>
          </w:pPr>
        </w:p>
      </w:tc>
      <w:tc>
        <w:tcPr>
          <w:tcW w:w="5130" w:type="dxa"/>
          <w:tcMar/>
        </w:tcPr>
        <w:p w:rsidR="10E9CB6C" w:rsidP="10E9CB6C" w:rsidRDefault="10E9CB6C" w14:paraId="50F0F3A9" w14:textId="1E2F9D29">
          <w:pPr>
            <w:pStyle w:val="Intestazione"/>
            <w:ind w:right="-115"/>
            <w:jc w:val="right"/>
          </w:pPr>
        </w:p>
      </w:tc>
    </w:tr>
  </w:tbl>
  <w:p w:rsidR="10E9CB6C" w:rsidP="10E9CB6C" w:rsidRDefault="10E9CB6C" w14:paraId="00247738" w14:textId="07DFBF05">
    <w:pPr>
      <w:pStyle w:val="Intestazione"/>
    </w:pP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ellanormale"/>
      <w:bidiVisual w:val="0"/>
      <w:tblW w:w="0" w:type="auto"/>
      <w:tblLook w:val="06A0" w:firstRow="1" w:lastRow="0" w:firstColumn="1" w:lastColumn="0" w:noHBand="1" w:noVBand="1"/>
    </w:tblPr>
    <w:tblGrid>
      <w:gridCol w:w="345"/>
      <w:gridCol w:w="345"/>
    </w:tblGrid>
    <w:tr w:rsidR="34F339F7" w:rsidTr="34F339F7" w14:paraId="6FEF467E">
      <w:trPr>
        <w:trHeight w:val="300"/>
      </w:trPr>
      <w:tc>
        <w:tcPr>
          <w:tcW w:w="345" w:type="dxa"/>
          <w:tcMar/>
        </w:tcPr>
        <w:p w:rsidR="34F339F7" w:rsidP="34F339F7" w:rsidRDefault="34F339F7" w14:paraId="6437E370" w14:textId="0C192D6F">
          <w:pPr>
            <w:pStyle w:val="Intestazione"/>
            <w:bidi w:val="0"/>
            <w:jc w:val="center"/>
          </w:pPr>
        </w:p>
      </w:tc>
      <w:tc>
        <w:tcPr>
          <w:tcW w:w="345" w:type="dxa"/>
          <w:tcMar/>
        </w:tcPr>
        <w:p w:rsidR="34F339F7" w:rsidP="34F339F7" w:rsidRDefault="34F339F7" w14:paraId="3A37B7D0" w14:textId="23539A92">
          <w:pPr>
            <w:pStyle w:val="Intestazione"/>
            <w:bidi w:val="0"/>
            <w:ind w:right="-115"/>
            <w:jc w:val="right"/>
          </w:pPr>
        </w:p>
      </w:tc>
    </w:tr>
  </w:tbl>
  <w:p w:rsidR="34F339F7" w:rsidP="34F339F7" w:rsidRDefault="34F339F7" w14:paraId="76A2EBC9" w14:textId="3EB8200A">
    <w:pPr>
      <w:pStyle w:val="Intestazione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7F53C0"/>
    <w:multiLevelType w:val="hybridMultilevel"/>
    <w:tmpl w:val="FFFFFFFF"/>
    <w:lvl w:ilvl="0" w:tplc="F740F2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580E2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B8622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EBCEC0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44844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3E6F2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A764A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C401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58C93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363137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dirty"/>
  <w:trackRevisions w:val="fals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F48"/>
    <w:rsid w:val="001F35F2"/>
    <w:rsid w:val="003421DC"/>
    <w:rsid w:val="004C193E"/>
    <w:rsid w:val="00527883"/>
    <w:rsid w:val="00544C45"/>
    <w:rsid w:val="007913A2"/>
    <w:rsid w:val="00817B4C"/>
    <w:rsid w:val="00911F48"/>
    <w:rsid w:val="00940DC9"/>
    <w:rsid w:val="0095667E"/>
    <w:rsid w:val="00994099"/>
    <w:rsid w:val="00997906"/>
    <w:rsid w:val="00A0641D"/>
    <w:rsid w:val="00A33E89"/>
    <w:rsid w:val="00A4085B"/>
    <w:rsid w:val="00A7250D"/>
    <w:rsid w:val="00B80171"/>
    <w:rsid w:val="00BE2AE8"/>
    <w:rsid w:val="00CA4FF7"/>
    <w:rsid w:val="00CC1339"/>
    <w:rsid w:val="00DA22E9"/>
    <w:rsid w:val="00ED3C6F"/>
    <w:rsid w:val="00F30D09"/>
    <w:rsid w:val="00FE6790"/>
    <w:rsid w:val="0127C0E6"/>
    <w:rsid w:val="018F88CA"/>
    <w:rsid w:val="0374963D"/>
    <w:rsid w:val="05AF1725"/>
    <w:rsid w:val="092185C4"/>
    <w:rsid w:val="098FE766"/>
    <w:rsid w:val="09D56E40"/>
    <w:rsid w:val="0D8713F5"/>
    <w:rsid w:val="0F46D435"/>
    <w:rsid w:val="10BA00C9"/>
    <w:rsid w:val="10E9CB6C"/>
    <w:rsid w:val="1F523EB5"/>
    <w:rsid w:val="24DD5429"/>
    <w:rsid w:val="2DFFAB30"/>
    <w:rsid w:val="31F65843"/>
    <w:rsid w:val="34F339F7"/>
    <w:rsid w:val="36DC238D"/>
    <w:rsid w:val="39815169"/>
    <w:rsid w:val="422D8484"/>
    <w:rsid w:val="47BB4623"/>
    <w:rsid w:val="490A3F46"/>
    <w:rsid w:val="4A5ACCFD"/>
    <w:rsid w:val="4A8B17E2"/>
    <w:rsid w:val="4F5140F6"/>
    <w:rsid w:val="4FC680F3"/>
    <w:rsid w:val="4FD9E3FC"/>
    <w:rsid w:val="52CD0E22"/>
    <w:rsid w:val="5644878F"/>
    <w:rsid w:val="581E651E"/>
    <w:rsid w:val="58982F9F"/>
    <w:rsid w:val="5B14BDCA"/>
    <w:rsid w:val="634CEF08"/>
    <w:rsid w:val="635028C8"/>
    <w:rsid w:val="63D5FA6C"/>
    <w:rsid w:val="63F4E849"/>
    <w:rsid w:val="652A810F"/>
    <w:rsid w:val="6A89BB3B"/>
    <w:rsid w:val="6B6E0CE0"/>
    <w:rsid w:val="6E6ABCBC"/>
    <w:rsid w:val="6F4A5A0A"/>
    <w:rsid w:val="75B317D5"/>
    <w:rsid w:val="79A3FAE4"/>
    <w:rsid w:val="7A9D4017"/>
    <w:rsid w:val="7ACE012F"/>
    <w:rsid w:val="7DFFD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2C85E1"/>
  <w15:chartTrackingRefBased/>
  <w15:docId w15:val="{A61F211A-8754-412C-B395-CA73950B1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F30D09"/>
    <w:rPr>
      <w:lang w:val="en-GB"/>
    </w:rPr>
  </w:style>
  <w:style w:type="paragraph" w:styleId="Titolo1">
    <w:name w:val="heading 1"/>
    <w:link w:val="Titolo1Carattere"/>
    <w:uiPriority w:val="9"/>
    <w:qFormat/>
    <w:rsid w:val="10E9CB6C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itolo2">
    <w:name w:val="heading 2"/>
    <w:link w:val="Titolo2Carattere"/>
    <w:uiPriority w:val="9"/>
    <w:semiHidden/>
    <w:unhideWhenUsed/>
    <w:qFormat/>
    <w:rsid w:val="10E9CB6C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itolo3">
    <w:name w:val="heading 3"/>
    <w:link w:val="Titolo3Carattere"/>
    <w:uiPriority w:val="9"/>
    <w:semiHidden/>
    <w:unhideWhenUsed/>
    <w:qFormat/>
    <w:rsid w:val="10E9CB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link w:val="Titolo4Carattere"/>
    <w:uiPriority w:val="9"/>
    <w:semiHidden/>
    <w:unhideWhenUsed/>
    <w:qFormat/>
    <w:rsid w:val="10E9CB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link w:val="Titolo5Carattere"/>
    <w:uiPriority w:val="9"/>
    <w:semiHidden/>
    <w:unhideWhenUsed/>
    <w:qFormat/>
    <w:rsid w:val="10E9CB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link w:val="Titolo6Carattere"/>
    <w:uiPriority w:val="9"/>
    <w:semiHidden/>
    <w:unhideWhenUsed/>
    <w:qFormat/>
    <w:rsid w:val="10E9CB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link w:val="Titolo7Carattere"/>
    <w:uiPriority w:val="9"/>
    <w:semiHidden/>
    <w:unhideWhenUsed/>
    <w:qFormat/>
    <w:rsid w:val="10E9CB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link w:val="Titolo8Carattere"/>
    <w:uiPriority w:val="9"/>
    <w:semiHidden/>
    <w:unhideWhenUsed/>
    <w:qFormat/>
    <w:rsid w:val="10E9CB6C"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link w:val="Titolo9Carattere"/>
    <w:uiPriority w:val="9"/>
    <w:semiHidden/>
    <w:unhideWhenUsed/>
    <w:qFormat/>
    <w:rsid w:val="10E9CB6C"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Titolo1Carattere" w:customStyle="1">
    <w:name w:val="Titolo 1 Carattere"/>
    <w:basedOn w:val="Carpredefinitoparagrafo"/>
    <w:link w:val="Titolo1"/>
    <w:uiPriority w:val="9"/>
    <w:rsid w:val="00911F48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/>
    <w:rsid w:val="00911F48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/>
    <w:rsid w:val="00911F48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/>
    <w:rsid w:val="00911F48"/>
    <w:rPr>
      <w:rFonts w:eastAsiaTheme="majorEastAsia" w:cstheme="majorBidi"/>
      <w:i/>
      <w:iCs/>
      <w:color w:val="0F4761" w:themeColor="accent1" w:themeShade="BF"/>
    </w:rPr>
  </w:style>
  <w:style w:type="character" w:styleId="Titolo5Carattere" w:customStyle="1">
    <w:name w:val="Titolo 5 Carattere"/>
    <w:basedOn w:val="Carpredefinitoparagrafo"/>
    <w:link w:val="Titolo5"/>
    <w:uiPriority w:val="9"/>
    <w:semiHidden/>
    <w:rsid w:val="00911F48"/>
    <w:rPr>
      <w:rFonts w:eastAsiaTheme="majorEastAsia" w:cstheme="majorBidi"/>
      <w:color w:val="0F4761" w:themeColor="accent1" w:themeShade="BF"/>
    </w:rPr>
  </w:style>
  <w:style w:type="character" w:styleId="Titolo6Carattere" w:customStyle="1">
    <w:name w:val="Titolo 6 Carattere"/>
    <w:basedOn w:val="Carpredefinitoparagrafo"/>
    <w:link w:val="Titolo6"/>
    <w:uiPriority w:val="9"/>
    <w:semiHidden/>
    <w:rsid w:val="00911F48"/>
    <w:rPr>
      <w:rFonts w:eastAsiaTheme="majorEastAsia" w:cstheme="majorBidi"/>
      <w:i/>
      <w:iCs/>
      <w:color w:val="595959" w:themeColor="text1" w:themeTint="A6"/>
    </w:rPr>
  </w:style>
  <w:style w:type="character" w:styleId="Titolo7Carattere" w:customStyle="1">
    <w:name w:val="Titolo 7 Carattere"/>
    <w:basedOn w:val="Carpredefinitoparagrafo"/>
    <w:link w:val="Titolo7"/>
    <w:uiPriority w:val="9"/>
    <w:semiHidden/>
    <w:rsid w:val="00911F48"/>
    <w:rPr>
      <w:rFonts w:eastAsiaTheme="majorEastAsia" w:cstheme="majorBidi"/>
      <w:color w:val="595959" w:themeColor="text1" w:themeTint="A6"/>
    </w:rPr>
  </w:style>
  <w:style w:type="character" w:styleId="Titolo8Carattere" w:customStyle="1">
    <w:name w:val="Titolo 8 Carattere"/>
    <w:basedOn w:val="Carpredefinitoparagrafo"/>
    <w:link w:val="Titolo8"/>
    <w:uiPriority w:val="9"/>
    <w:semiHidden/>
    <w:rsid w:val="00911F48"/>
    <w:rPr>
      <w:rFonts w:eastAsiaTheme="majorEastAsia" w:cstheme="majorBidi"/>
      <w:i/>
      <w:iCs/>
      <w:color w:val="272727" w:themeColor="text1" w:themeTint="D8"/>
    </w:rPr>
  </w:style>
  <w:style w:type="character" w:styleId="Titolo9Carattere" w:customStyle="1">
    <w:name w:val="Titolo 9 Carattere"/>
    <w:basedOn w:val="Carpredefinitoparagrafo"/>
    <w:link w:val="Titolo9"/>
    <w:uiPriority w:val="9"/>
    <w:semiHidden/>
    <w:rsid w:val="00911F48"/>
    <w:rPr>
      <w:rFonts w:eastAsiaTheme="majorEastAsia" w:cstheme="majorBidi"/>
      <w:color w:val="272727" w:themeColor="text1" w:themeTint="D8"/>
    </w:rPr>
  </w:style>
  <w:style w:type="paragraph" w:styleId="Titolo">
    <w:name w:val="Title"/>
    <w:link w:val="TitoloCarattere"/>
    <w:uiPriority w:val="10"/>
    <w:qFormat/>
    <w:rsid w:val="10E9CB6C"/>
    <w:pPr>
      <w:spacing w:after="80" w:line="240" w:lineRule="auto"/>
      <w:contextualSpacing/>
    </w:pPr>
    <w:rPr>
      <w:rFonts w:asciiTheme="majorHAnsi" w:hAnsiTheme="majorHAnsi" w:eastAsiaTheme="majorEastAsia" w:cstheme="majorBidi"/>
      <w:sz w:val="56"/>
      <w:szCs w:val="56"/>
    </w:rPr>
  </w:style>
  <w:style w:type="character" w:styleId="TitoloCarattere" w:customStyle="1">
    <w:name w:val="Titolo Carattere"/>
    <w:basedOn w:val="Carpredefinitoparagrafo"/>
    <w:link w:val="Titolo"/>
    <w:uiPriority w:val="10"/>
    <w:rsid w:val="00911F48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ottotitolo">
    <w:name w:val="Subtitle"/>
    <w:link w:val="SottotitoloCarattere"/>
    <w:uiPriority w:val="11"/>
    <w:qFormat/>
    <w:rsid w:val="10E9CB6C"/>
    <w:rPr>
      <w:rFonts w:eastAsiaTheme="majorEastAsia" w:cstheme="majorBidi"/>
      <w:color w:val="595959" w:themeColor="text1" w:themeTint="A6"/>
      <w:sz w:val="28"/>
      <w:szCs w:val="28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911F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link w:val="CitazioneCarattere"/>
    <w:uiPriority w:val="29"/>
    <w:qFormat/>
    <w:rsid w:val="10E9CB6C"/>
    <w:pPr>
      <w:spacing w:before="160"/>
      <w:jc w:val="center"/>
    </w:pPr>
    <w:rPr>
      <w:i/>
      <w:iCs/>
      <w:color w:val="404040" w:themeColor="text1" w:themeTint="BF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911F48"/>
    <w:rPr>
      <w:i/>
      <w:iCs/>
      <w:color w:val="404040" w:themeColor="text1" w:themeTint="BF"/>
    </w:rPr>
  </w:style>
  <w:style w:type="paragraph" w:styleId="Paragrafoelenco">
    <w:name w:val="List Paragraph"/>
    <w:uiPriority w:val="34"/>
    <w:qFormat/>
    <w:rsid w:val="10E9CB6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11F48"/>
    <w:rPr>
      <w:i/>
      <w:iCs/>
      <w:color w:val="0F4761" w:themeColor="accent1" w:themeShade="BF"/>
    </w:rPr>
  </w:style>
  <w:style w:type="paragraph" w:styleId="Citazioneintensa">
    <w:name w:val="Intense Quote"/>
    <w:link w:val="CitazioneintensaCarattere"/>
    <w:uiPriority w:val="30"/>
    <w:qFormat/>
    <w:rsid w:val="10E9CB6C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911F4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11F48"/>
    <w:rPr>
      <w:b/>
      <w:bCs/>
      <w:smallCaps/>
      <w:color w:val="0F4761" w:themeColor="accent1" w:themeShade="BF"/>
      <w:spacing w:val="5"/>
    </w:rPr>
  </w:style>
  <w:style w:type="table" w:styleId="Grigliatabellachiara">
    <w:name w:val="Grid Table Light"/>
    <w:basedOn w:val="Tabellanormale"/>
    <w:uiPriority w:val="40"/>
    <w:rsid w:val="00F30D09"/>
    <w:pPr>
      <w:spacing w:after="0" w:line="240" w:lineRule="auto"/>
    </w:pPr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paragraph" w:styleId="Intestazione">
    <w:name w:val="header"/>
    <w:uiPriority w:val="99"/>
    <w:unhideWhenUsed/>
    <w:rsid w:val="10E9CB6C"/>
    <w:pPr>
      <w:tabs>
        <w:tab w:val="center" w:pos="4680"/>
        <w:tab w:val="right" w:pos="9360"/>
      </w:tabs>
      <w:spacing w:after="0" w:line="240" w:lineRule="auto"/>
    </w:pPr>
  </w:style>
  <w:style w:type="paragraph" w:styleId="Pidipagina">
    <w:name w:val="footer"/>
    <w:uiPriority w:val="99"/>
    <w:unhideWhenUsed/>
    <w:rsid w:val="10E9CB6C"/>
    <w:pPr>
      <w:tabs>
        <w:tab w:val="center" w:pos="4680"/>
        <w:tab w:val="right" w:pos="9360"/>
      </w:tabs>
      <w:spacing w:after="0" w:line="240" w:lineRule="auto"/>
    </w:p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header" Target="header2.xml" Id="Rea36e90cfe7b4239" /><Relationship Type="http://schemas.openxmlformats.org/officeDocument/2006/relationships/footer" Target="footer2.xml" Id="R7e7796bc13804311" /><Relationship Type="http://schemas.openxmlformats.org/officeDocument/2006/relationships/image" Target="/media/image2.png" Id="rId2034543603" /></Relationships>
</file>

<file path=word/theme/theme1.xml><?xml version="1.0" encoding="utf-8"?>
<a:theme xmlns:a="http://schemas.openxmlformats.org/drawingml/2006/main" xmlns:thm15="http://schemas.microsoft.com/office/thememl/2012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0b4381a-6683-4614-8e7d-9a9a60ba3442" xsi:nil="true"/>
    <lcf76f155ced4ddcb4097134ff3c332f xmlns="9b167a91-89f3-440a-a69c-a5a51f458f9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43FB6E4EBF114E947939FDE0931853" ma:contentTypeVersion="10" ma:contentTypeDescription="Create a new document." ma:contentTypeScope="" ma:versionID="3e06e8abd26679cbfc5281c1667a2343">
  <xsd:schema xmlns:xsd="http://www.w3.org/2001/XMLSchema" xmlns:xs="http://www.w3.org/2001/XMLSchema" xmlns:p="http://schemas.microsoft.com/office/2006/metadata/properties" xmlns:ns2="9b167a91-89f3-440a-a69c-a5a51f458f9c" xmlns:ns3="c0b4381a-6683-4614-8e7d-9a9a60ba3442" targetNamespace="http://schemas.microsoft.com/office/2006/metadata/properties" ma:root="true" ma:fieldsID="6193ac05d77e58b1e3d16c2e45e4aa90" ns2:_="" ns3:_="">
    <xsd:import namespace="9b167a91-89f3-440a-a69c-a5a51f458f9c"/>
    <xsd:import namespace="c0b4381a-6683-4614-8e7d-9a9a60ba34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167a91-89f3-440a-a69c-a5a51f45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b4381a-6683-4614-8e7d-9a9a60ba34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1d8127b-fdf4-46d1-973b-f1113bd039d3}" ma:internalName="TaxCatchAll" ma:showField="CatchAllData" ma:web="c0b4381a-6683-4614-8e7d-9a9a60ba34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409B6D-7431-4CB3-98D1-372184138EB8}">
  <ds:schemaRefs>
    <ds:schemaRef ds:uri="http://schemas.microsoft.com/office/2006/metadata/properties"/>
    <ds:schemaRef ds:uri="http://schemas.microsoft.com/office/infopath/2007/PartnerControls"/>
    <ds:schemaRef ds:uri="c0b4381a-6683-4614-8e7d-9a9a60ba3442"/>
    <ds:schemaRef ds:uri="9b167a91-89f3-440a-a69c-a5a51f458f9c"/>
  </ds:schemaRefs>
</ds:datastoreItem>
</file>

<file path=customXml/itemProps2.xml><?xml version="1.0" encoding="utf-8"?>
<ds:datastoreItem xmlns:ds="http://schemas.openxmlformats.org/officeDocument/2006/customXml" ds:itemID="{834DAF60-0FA0-4806-B521-9A9F1C02CA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2DF950-68F6-4F3C-9ABC-3CA347D502E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Eleonora Uber - eleonora.uber@studio.unibo.it</dc:creator>
  <keywords/>
  <dc:description/>
  <lastModifiedBy>Ludovica Ingletto</lastModifiedBy>
  <revision>24</revision>
  <dcterms:created xsi:type="dcterms:W3CDTF">2025-12-12T15:25:00.0000000Z</dcterms:created>
  <dcterms:modified xsi:type="dcterms:W3CDTF">2026-01-22T14:10:47.1605420Z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0x0101001743FB6E4EBF114E947939FDE0931853</vt:lpwstr>
  </property>
  <property fmtid="{D5CDD505-2E9C-101B-9397-08002B2CF9AE}" pid="3" name="MediaServiceImageTags">
    <vt:lpwstr/>
  </property>
</Properties>
</file>