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theme="minorHAnsi"/>
          <w:b w:val="0"/>
          <w:bCs w:val="0"/>
          <w:color w:val="auto"/>
          <w:kern w:val="2"/>
          <w:sz w:val="22"/>
          <w:szCs w:val="22"/>
          <w:lang w:val="en-GB"/>
          <w14:ligatures w14:val="standardContextual"/>
        </w:rPr>
        <w:id w:val="46964456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2998A44" w14:textId="1CA200A5" w:rsidR="008C0C97" w:rsidRPr="002329D4" w:rsidRDefault="008C0C97">
          <w:pPr>
            <w:pStyle w:val="TOCHeading"/>
            <w:rPr>
              <w:rFonts w:asciiTheme="minorHAnsi" w:hAnsiTheme="minorHAnsi" w:cstheme="minorHAnsi"/>
              <w:sz w:val="22"/>
              <w:szCs w:val="22"/>
              <w:lang w:val="en-GB"/>
            </w:rPr>
          </w:pPr>
          <w:r w:rsidRPr="002329D4">
            <w:rPr>
              <w:rFonts w:asciiTheme="minorHAnsi" w:hAnsiTheme="minorHAnsi" w:cstheme="minorHAnsi"/>
              <w:sz w:val="22"/>
              <w:szCs w:val="22"/>
              <w:lang w:val="en-GB"/>
            </w:rPr>
            <w:t>Table of Contents</w:t>
          </w:r>
        </w:p>
        <w:p w14:paraId="4220F63A" w14:textId="786DF56D" w:rsidR="008A7999" w:rsidRDefault="008C0C97">
          <w:pPr>
            <w:pStyle w:val="TOC1"/>
            <w:tabs>
              <w:tab w:val="right" w:leader="dot" w:pos="901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en-GB"/>
            </w:rPr>
          </w:pPr>
          <w:r w:rsidRPr="002329D4">
            <w:rPr>
              <w:b w:val="0"/>
              <w:bCs w:val="0"/>
              <w:sz w:val="22"/>
              <w:szCs w:val="22"/>
              <w:lang w:val="en-GB"/>
            </w:rPr>
            <w:fldChar w:fldCharType="begin"/>
          </w:r>
          <w:r w:rsidRPr="002329D4">
            <w:rPr>
              <w:sz w:val="22"/>
              <w:szCs w:val="22"/>
              <w:lang w:val="en-GB"/>
            </w:rPr>
            <w:instrText xml:space="preserve"> TOC \o "1-3" \h \z \u </w:instrText>
          </w:r>
          <w:r w:rsidRPr="002329D4">
            <w:rPr>
              <w:b w:val="0"/>
              <w:bCs w:val="0"/>
              <w:sz w:val="22"/>
              <w:szCs w:val="22"/>
              <w:lang w:val="en-GB"/>
            </w:rPr>
            <w:fldChar w:fldCharType="separate"/>
          </w:r>
          <w:hyperlink w:anchor="_Toc160668551" w:history="1">
            <w:r w:rsidR="008A7999" w:rsidRPr="00DD2089">
              <w:rPr>
                <w:rStyle w:val="Hyperlink"/>
                <w:noProof/>
                <w:lang w:val="en-GB"/>
              </w:rPr>
              <w:t>Supplementary Figure 1.</w:t>
            </w:r>
            <w:r w:rsidR="008A7999">
              <w:rPr>
                <w:noProof/>
                <w:webHidden/>
              </w:rPr>
              <w:tab/>
            </w:r>
            <w:r w:rsidR="008A7999">
              <w:rPr>
                <w:noProof/>
                <w:webHidden/>
              </w:rPr>
              <w:fldChar w:fldCharType="begin"/>
            </w:r>
            <w:r w:rsidR="008A7999">
              <w:rPr>
                <w:noProof/>
                <w:webHidden/>
              </w:rPr>
              <w:instrText xml:space="preserve"> PAGEREF _Toc160668551 \h </w:instrText>
            </w:r>
            <w:r w:rsidR="008A7999">
              <w:rPr>
                <w:noProof/>
                <w:webHidden/>
              </w:rPr>
            </w:r>
            <w:r w:rsidR="008A7999">
              <w:rPr>
                <w:noProof/>
                <w:webHidden/>
              </w:rPr>
              <w:fldChar w:fldCharType="separate"/>
            </w:r>
            <w:r w:rsidR="008A7999">
              <w:rPr>
                <w:noProof/>
                <w:webHidden/>
              </w:rPr>
              <w:t>2</w:t>
            </w:r>
            <w:r w:rsidR="008A7999">
              <w:rPr>
                <w:noProof/>
                <w:webHidden/>
              </w:rPr>
              <w:fldChar w:fldCharType="end"/>
            </w:r>
          </w:hyperlink>
        </w:p>
        <w:p w14:paraId="0592F7AD" w14:textId="4B0E9FF9" w:rsidR="008A7999" w:rsidRDefault="008A7999">
          <w:pPr>
            <w:pStyle w:val="TOC1"/>
            <w:tabs>
              <w:tab w:val="right" w:leader="dot" w:pos="901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0668552" w:history="1">
            <w:r w:rsidRPr="00DD2089">
              <w:rPr>
                <w:rStyle w:val="Hyperlink"/>
                <w:noProof/>
                <w:lang w:val="en-GB"/>
              </w:rPr>
              <w:t>Supplementary Figure 2.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_Toc160668552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344AD6" w14:textId="680BF4EA" w:rsidR="008A7999" w:rsidRDefault="008A7999">
          <w:pPr>
            <w:pStyle w:val="TOC1"/>
            <w:tabs>
              <w:tab w:val="right" w:leader="dot" w:pos="901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0668553" w:history="1">
            <w:r w:rsidRPr="00DD2089">
              <w:rPr>
                <w:rStyle w:val="Hyperlink"/>
                <w:noProof/>
                <w:lang w:val="en-GB"/>
              </w:rPr>
              <w:t>Supplementary Figure 3.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_Toc160668553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7ED46" w14:textId="54974618" w:rsidR="008A7999" w:rsidRDefault="008A7999">
          <w:pPr>
            <w:pStyle w:val="TOC1"/>
            <w:tabs>
              <w:tab w:val="right" w:leader="dot" w:pos="901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0668554" w:history="1">
            <w:r w:rsidRPr="00DD2089">
              <w:rPr>
                <w:rStyle w:val="Hyperlink"/>
                <w:noProof/>
                <w:lang w:val="en-GB"/>
              </w:rPr>
              <w:t>Supplementary Figure 4.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_Toc160668554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2D6CC" w14:textId="746D769B" w:rsidR="008C0C97" w:rsidRPr="00AC339B" w:rsidRDefault="008C0C97" w:rsidP="00AC339B">
          <w:pPr>
            <w:rPr>
              <w:rStyle w:val="Heading1Char"/>
              <w:rFonts w:asciiTheme="minorHAnsi" w:eastAsiaTheme="minorHAnsi" w:hAnsiTheme="minorHAnsi" w:cstheme="minorHAnsi"/>
              <w:color w:val="auto"/>
              <w:sz w:val="22"/>
              <w:szCs w:val="22"/>
              <w:lang w:val="en-GB"/>
            </w:rPr>
            <w:sectPr w:rsidR="008C0C97" w:rsidRPr="00AC339B" w:rsidSect="00D91266">
              <w:headerReference w:type="even" r:id="rId6"/>
              <w:headerReference w:type="default" r:id="rId7"/>
              <w:footerReference w:type="even" r:id="rId8"/>
              <w:footerReference w:type="default" r:id="rId9"/>
              <w:headerReference w:type="first" r:id="rId10"/>
              <w:footerReference w:type="first" r:id="rId11"/>
              <w:pgSz w:w="11900" w:h="16840"/>
              <w:pgMar w:top="1440" w:right="1440" w:bottom="1440" w:left="1440" w:header="708" w:footer="708" w:gutter="0"/>
              <w:cols w:space="708"/>
              <w:docGrid w:linePitch="360"/>
            </w:sectPr>
          </w:pPr>
          <w:r w:rsidRPr="002329D4">
            <w:rPr>
              <w:rFonts w:cstheme="minorHAnsi"/>
              <w:b/>
              <w:bCs/>
              <w:noProof/>
              <w:sz w:val="22"/>
              <w:szCs w:val="22"/>
              <w:lang w:val="en-GB"/>
            </w:rPr>
            <w:fldChar w:fldCharType="end"/>
          </w:r>
        </w:p>
      </w:sdtContent>
    </w:sdt>
    <w:p w14:paraId="7C17E691" w14:textId="3365AECD" w:rsidR="00137E3C" w:rsidRPr="002329D4" w:rsidRDefault="00137E3C" w:rsidP="008C0C97">
      <w:pPr>
        <w:jc w:val="both"/>
        <w:rPr>
          <w:rFonts w:cstheme="minorHAnsi"/>
          <w:sz w:val="22"/>
          <w:szCs w:val="22"/>
          <w:lang w:val="en-GB"/>
        </w:rPr>
      </w:pPr>
    </w:p>
    <w:p w14:paraId="439DF8B9" w14:textId="4D51D49F" w:rsidR="00EF479A" w:rsidRPr="002329D4" w:rsidRDefault="00EF479A" w:rsidP="00EF479A">
      <w:pPr>
        <w:jc w:val="both"/>
        <w:rPr>
          <w:rFonts w:cstheme="minorHAnsi"/>
          <w:sz w:val="22"/>
          <w:szCs w:val="22"/>
          <w:lang w:val="en-GB"/>
        </w:rPr>
      </w:pPr>
      <w:bookmarkStart w:id="0" w:name="_Toc160668551"/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 xml:space="preserve">Supplementary Figure </w:t>
      </w:r>
      <w:r w:rsidR="00EA1D42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1</w:t>
      </w:r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.</w:t>
      </w:r>
      <w:bookmarkEnd w:id="0"/>
      <w:r w:rsidRPr="002329D4">
        <w:rPr>
          <w:rFonts w:cstheme="minorHAnsi"/>
          <w:sz w:val="22"/>
          <w:szCs w:val="22"/>
          <w:lang w:val="en-GB"/>
        </w:rPr>
        <w:t xml:space="preserve"> Network plot depicting local genetic correlations between schizophrenia (SCZ) and type 2 diabetes mellitus (T2DM), obesity, and metabolic syndrome (MetS) for the genomic region chr16:29043178-31384210, partly mapping to the Major Histocompatibility Complex (MHC) region. Each node corresponds to one of the phenotypes, and the connecting lines </w:t>
      </w:r>
      <w:proofErr w:type="gramStart"/>
      <w:r w:rsidRPr="002329D4">
        <w:rPr>
          <w:rFonts w:cstheme="minorHAnsi"/>
          <w:sz w:val="22"/>
          <w:szCs w:val="22"/>
          <w:lang w:val="en-GB"/>
        </w:rPr>
        <w:t>represent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the strength and direction of the genetic correlation, with the width of the lines proportional to the absolute value of the local genetic correlation estimate (|rho|). The gradient from red to blue </w:t>
      </w:r>
      <w:proofErr w:type="gramStart"/>
      <w:r w:rsidRPr="002329D4">
        <w:rPr>
          <w:rFonts w:cstheme="minorHAnsi"/>
          <w:sz w:val="22"/>
          <w:szCs w:val="22"/>
          <w:lang w:val="en-GB"/>
        </w:rPr>
        <w:t>indicates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the direction of the local genetic correlation estimates, with red signifying a positive correlation and blue a negative correlation. This visuali</w:t>
      </w:r>
      <w:r w:rsidR="002329D4">
        <w:rPr>
          <w:rFonts w:cstheme="minorHAnsi"/>
          <w:sz w:val="22"/>
          <w:szCs w:val="22"/>
          <w:lang w:val="en-GB"/>
        </w:rPr>
        <w:t>s</w:t>
      </w:r>
      <w:r w:rsidRPr="002329D4">
        <w:rPr>
          <w:rFonts w:cstheme="minorHAnsi"/>
          <w:sz w:val="22"/>
          <w:szCs w:val="22"/>
          <w:lang w:val="en-GB"/>
        </w:rPr>
        <w:t xml:space="preserve">ation underscores the complex genetic interrelations in the MHC region that may underlie the comorbidity </w:t>
      </w:r>
      <w:r w:rsidR="002329D4">
        <w:rPr>
          <w:rFonts w:cstheme="minorHAnsi"/>
          <w:sz w:val="22"/>
          <w:szCs w:val="22"/>
          <w:lang w:val="en-GB"/>
        </w:rPr>
        <w:t>between</w:t>
      </w:r>
      <w:r w:rsidRPr="002329D4">
        <w:rPr>
          <w:rFonts w:cstheme="minorHAnsi"/>
          <w:sz w:val="22"/>
          <w:szCs w:val="22"/>
          <w:lang w:val="en-GB"/>
        </w:rPr>
        <w:t xml:space="preserve"> SCZ</w:t>
      </w:r>
      <w:r w:rsidR="002329D4">
        <w:rPr>
          <w:rFonts w:cstheme="minorHAnsi"/>
          <w:sz w:val="22"/>
          <w:szCs w:val="22"/>
          <w:lang w:val="en-GB"/>
        </w:rPr>
        <w:t xml:space="preserve"> and</w:t>
      </w:r>
      <w:r w:rsidRPr="002329D4">
        <w:rPr>
          <w:rFonts w:cstheme="minorHAnsi"/>
          <w:sz w:val="22"/>
          <w:szCs w:val="22"/>
          <w:lang w:val="en-GB"/>
        </w:rPr>
        <w:t xml:space="preserve"> T2DM, obesity, and MetS.</w:t>
      </w:r>
    </w:p>
    <w:p w14:paraId="1E5BBCCE" w14:textId="77777777" w:rsidR="00EF479A" w:rsidRPr="002329D4" w:rsidRDefault="00EF479A" w:rsidP="00EF479A">
      <w:pPr>
        <w:jc w:val="both"/>
        <w:rPr>
          <w:rFonts w:cstheme="minorHAnsi"/>
          <w:sz w:val="22"/>
          <w:szCs w:val="22"/>
          <w:lang w:val="en-GB"/>
        </w:rPr>
      </w:pPr>
    </w:p>
    <w:p w14:paraId="4066FE62" w14:textId="77777777" w:rsidR="00EF479A" w:rsidRPr="002329D4" w:rsidRDefault="00EF479A" w:rsidP="00EF479A">
      <w:pPr>
        <w:jc w:val="both"/>
        <w:rPr>
          <w:rFonts w:cstheme="minorHAnsi"/>
          <w:sz w:val="22"/>
          <w:szCs w:val="22"/>
          <w:lang w:val="en-GB"/>
        </w:rPr>
      </w:pPr>
      <w:r w:rsidRPr="002329D4">
        <w:rPr>
          <w:rFonts w:cstheme="minorHAnsi"/>
          <w:noProof/>
          <w:sz w:val="22"/>
          <w:szCs w:val="22"/>
          <w:lang w:val="en-GB"/>
        </w:rPr>
        <w:drawing>
          <wp:inline distT="0" distB="0" distL="0" distR="0" wp14:anchorId="242332E4" wp14:editId="756429F2">
            <wp:extent cx="5727700" cy="5123815"/>
            <wp:effectExtent l="0" t="0" r="0" b="0"/>
            <wp:docPr id="1942451851" name="Picture 1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451851" name="Picture 1" descr="A diagram of a diagram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512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9BD62" w14:textId="77777777" w:rsidR="00EF479A" w:rsidRPr="002329D4" w:rsidRDefault="00EF479A" w:rsidP="00EF479A">
      <w:pPr>
        <w:jc w:val="both"/>
        <w:rPr>
          <w:rFonts w:cstheme="minorHAnsi"/>
          <w:sz w:val="22"/>
          <w:szCs w:val="22"/>
          <w:lang w:val="en-GB"/>
        </w:rPr>
      </w:pPr>
    </w:p>
    <w:p w14:paraId="6396DB79" w14:textId="77777777" w:rsidR="00E03A81" w:rsidRPr="002329D4" w:rsidRDefault="00E03A81" w:rsidP="008C0C97">
      <w:pPr>
        <w:jc w:val="both"/>
        <w:rPr>
          <w:rFonts w:cstheme="minorHAnsi"/>
          <w:sz w:val="22"/>
          <w:szCs w:val="22"/>
          <w:lang w:val="en-GB"/>
        </w:rPr>
        <w:sectPr w:rsidR="00E03A81" w:rsidRPr="002329D4" w:rsidSect="00D91266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2D6EA805" w14:textId="33023CF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  <w:bookmarkStart w:id="1" w:name="_Toc160668552"/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lastRenderedPageBreak/>
        <w:t xml:space="preserve">Supplementary Figure </w:t>
      </w:r>
      <w:r w:rsidR="00EA1D42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2</w:t>
      </w:r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.</w:t>
      </w:r>
      <w:bookmarkEnd w:id="1"/>
      <w:r w:rsidRPr="002329D4">
        <w:rPr>
          <w:rFonts w:cstheme="minorHAnsi"/>
          <w:sz w:val="22"/>
          <w:szCs w:val="22"/>
          <w:lang w:val="en-GB"/>
        </w:rPr>
        <w:t xml:space="preserve"> Bivariate </w:t>
      </w:r>
      <w:proofErr w:type="spellStart"/>
      <w:r w:rsidRPr="002329D4">
        <w:rPr>
          <w:rFonts w:cstheme="minorHAnsi"/>
          <w:sz w:val="22"/>
          <w:szCs w:val="22"/>
          <w:lang w:val="en-GB"/>
        </w:rPr>
        <w:t>LocusPlot</w:t>
      </w:r>
      <w:proofErr w:type="spellEnd"/>
      <w:r w:rsidRPr="002329D4">
        <w:rPr>
          <w:rFonts w:cstheme="minorHAnsi"/>
          <w:sz w:val="22"/>
          <w:szCs w:val="22"/>
          <w:lang w:val="en-GB"/>
        </w:rPr>
        <w:t xml:space="preserve"> depicting the genome-wide association signals across the chromosomal region 4:102544804-104384534 for schizophrenia (SCZ) and metabolic syndrome (MetS). The plot on the left illustrates the −log10(p)-values from the GWAS on MetS (x-axis) versus SCZ (y-axis), with each point </w:t>
      </w:r>
      <w:proofErr w:type="gramStart"/>
      <w:r w:rsidRPr="002329D4">
        <w:rPr>
          <w:rFonts w:cstheme="minorHAnsi"/>
          <w:sz w:val="22"/>
          <w:szCs w:val="22"/>
          <w:lang w:val="en-GB"/>
        </w:rPr>
        <w:t>representing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a single nucleotide polymorphism (SNP). The </w:t>
      </w:r>
      <w:r w:rsidR="002329D4" w:rsidRPr="002329D4">
        <w:rPr>
          <w:rFonts w:cstheme="minorHAnsi"/>
          <w:sz w:val="22"/>
          <w:szCs w:val="22"/>
          <w:lang w:val="en-GB"/>
        </w:rPr>
        <w:t>colour</w:t>
      </w:r>
      <w:r w:rsidRPr="002329D4">
        <w:rPr>
          <w:rFonts w:cstheme="minorHAnsi"/>
          <w:sz w:val="22"/>
          <w:szCs w:val="22"/>
          <w:lang w:val="en-GB"/>
        </w:rPr>
        <w:t xml:space="preserve"> of each SNP denotes the linkage disequilibrium (LD) with the lead SNP rs13107325, as </w:t>
      </w:r>
      <w:proofErr w:type="gramStart"/>
      <w:r w:rsidRPr="002329D4">
        <w:rPr>
          <w:rFonts w:cstheme="minorHAnsi"/>
          <w:sz w:val="22"/>
          <w:szCs w:val="22"/>
          <w:lang w:val="en-GB"/>
        </w:rPr>
        <w:t>indicated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by the </w:t>
      </w:r>
      <w:r w:rsidR="002329D4" w:rsidRPr="002329D4">
        <w:rPr>
          <w:rFonts w:cstheme="minorHAnsi"/>
          <w:sz w:val="22"/>
          <w:szCs w:val="22"/>
          <w:lang w:val="en-GB"/>
        </w:rPr>
        <w:t>colour</w:t>
      </w:r>
      <w:r w:rsidRPr="002329D4">
        <w:rPr>
          <w:rFonts w:cstheme="minorHAnsi"/>
          <w:sz w:val="22"/>
          <w:szCs w:val="22"/>
          <w:lang w:val="en-GB"/>
        </w:rPr>
        <w:t xml:space="preserve"> scale. The plots on the right focus on the physical position along chromosome 4 (x-axis) against the −log10(p)-values (y-axis) of association in the GWAS on SCZ and MetS. The lead SNP rs13107325, which has a high posterior probability (PP) of being a shared causal variant, </w:t>
      </w:r>
      <w:proofErr w:type="gramStart"/>
      <w:r w:rsidRPr="002329D4">
        <w:rPr>
          <w:rFonts w:cstheme="minorHAnsi"/>
          <w:sz w:val="22"/>
          <w:szCs w:val="22"/>
          <w:lang w:val="en-GB"/>
        </w:rPr>
        <w:t>is prominently highlighted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in both plots on the right. This </w:t>
      </w:r>
      <w:proofErr w:type="gramStart"/>
      <w:r w:rsidRPr="002329D4">
        <w:rPr>
          <w:rFonts w:cstheme="minorHAnsi"/>
          <w:sz w:val="22"/>
          <w:szCs w:val="22"/>
          <w:lang w:val="en-GB"/>
        </w:rPr>
        <w:t>indicates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a genomic region of interest that may </w:t>
      </w:r>
      <w:r w:rsidR="002329D4" w:rsidRPr="002329D4">
        <w:rPr>
          <w:rFonts w:cstheme="minorHAnsi"/>
          <w:sz w:val="22"/>
          <w:szCs w:val="22"/>
          <w:lang w:val="en-GB"/>
        </w:rPr>
        <w:t>harbour</w:t>
      </w:r>
      <w:r w:rsidRPr="002329D4">
        <w:rPr>
          <w:rFonts w:cstheme="minorHAnsi"/>
          <w:sz w:val="22"/>
          <w:szCs w:val="22"/>
          <w:lang w:val="en-GB"/>
        </w:rPr>
        <w:t xml:space="preserve"> pleiotropic causal effects, potentially implicating this locus in the comorbidity of SCZ and MetS.</w:t>
      </w:r>
    </w:p>
    <w:p w14:paraId="09309359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27917468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122B80AB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  <w:r w:rsidRPr="002329D4">
        <w:rPr>
          <w:rFonts w:cstheme="minorHAnsi"/>
          <w:noProof/>
          <w:sz w:val="22"/>
          <w:szCs w:val="22"/>
          <w:lang w:val="en-GB"/>
        </w:rPr>
        <w:drawing>
          <wp:inline distT="0" distB="0" distL="0" distR="0" wp14:anchorId="0E91509C" wp14:editId="77CE389A">
            <wp:extent cx="3048000" cy="3048000"/>
            <wp:effectExtent l="0" t="0" r="0" b="0"/>
            <wp:docPr id="465862772" name="Picture 1" descr="A group of graphs showing different colored do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62772" name="Picture 1" descr="A group of graphs showing different colored dot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3CD28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09123161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  <w:sectPr w:rsidR="00E03A81" w:rsidRPr="002329D4" w:rsidSect="00D91266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19FD1269" w14:textId="57B3F363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  <w:bookmarkStart w:id="2" w:name="_Toc160668553"/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lastRenderedPageBreak/>
        <w:t xml:space="preserve">Supplementary Figure </w:t>
      </w:r>
      <w:r w:rsidR="00EA1D42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3</w:t>
      </w:r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.</w:t>
      </w:r>
      <w:bookmarkEnd w:id="2"/>
      <w:r w:rsidRPr="002329D4">
        <w:rPr>
          <w:rFonts w:cstheme="minorHAnsi"/>
          <w:sz w:val="22"/>
          <w:szCs w:val="22"/>
          <w:lang w:val="en-GB"/>
        </w:rPr>
        <w:t xml:space="preserve"> Bivariate </w:t>
      </w:r>
      <w:proofErr w:type="spellStart"/>
      <w:r w:rsidRPr="002329D4">
        <w:rPr>
          <w:rFonts w:cstheme="minorHAnsi"/>
          <w:sz w:val="22"/>
          <w:szCs w:val="22"/>
          <w:lang w:val="en-GB"/>
        </w:rPr>
        <w:t>LocusPlot</w:t>
      </w:r>
      <w:proofErr w:type="spellEnd"/>
      <w:r w:rsidRPr="002329D4">
        <w:rPr>
          <w:rFonts w:cstheme="minorHAnsi"/>
          <w:sz w:val="22"/>
          <w:szCs w:val="22"/>
          <w:lang w:val="en-GB"/>
        </w:rPr>
        <w:t xml:space="preserve"> depicting the genome-wide association signals across the chromosomal region 6:32586785-32629239 for Alzheimer’s disease (AD) and type 2 diabetes mellitus (T2DM). The plot on the left illustrates the −log10(</w:t>
      </w:r>
      <w:r w:rsidRPr="002329D4">
        <w:rPr>
          <w:rFonts w:cstheme="minorHAnsi"/>
          <w:i/>
          <w:iCs/>
          <w:sz w:val="22"/>
          <w:szCs w:val="22"/>
          <w:lang w:val="en-GB"/>
        </w:rPr>
        <w:t>p</w:t>
      </w:r>
      <w:r w:rsidRPr="002329D4">
        <w:rPr>
          <w:rFonts w:cstheme="minorHAnsi"/>
          <w:sz w:val="22"/>
          <w:szCs w:val="22"/>
          <w:lang w:val="en-GB"/>
        </w:rPr>
        <w:t xml:space="preserve">)-values from the GWAS on T2DM (x-axis) versus AD (y-axis), with each point </w:t>
      </w:r>
      <w:proofErr w:type="gramStart"/>
      <w:r w:rsidRPr="002329D4">
        <w:rPr>
          <w:rFonts w:cstheme="minorHAnsi"/>
          <w:sz w:val="22"/>
          <w:szCs w:val="22"/>
          <w:lang w:val="en-GB"/>
        </w:rPr>
        <w:t>representing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a single nucleotide polymorphism (SNP). The </w:t>
      </w:r>
      <w:r w:rsidR="002329D4" w:rsidRPr="002329D4">
        <w:rPr>
          <w:rFonts w:cstheme="minorHAnsi"/>
          <w:sz w:val="22"/>
          <w:szCs w:val="22"/>
          <w:lang w:val="en-GB"/>
        </w:rPr>
        <w:t>colour</w:t>
      </w:r>
      <w:r w:rsidRPr="002329D4">
        <w:rPr>
          <w:rFonts w:cstheme="minorHAnsi"/>
          <w:sz w:val="22"/>
          <w:szCs w:val="22"/>
          <w:lang w:val="en-GB"/>
        </w:rPr>
        <w:t xml:space="preserve"> of each SNP </w:t>
      </w:r>
      <w:proofErr w:type="gramStart"/>
      <w:r w:rsidRPr="002329D4">
        <w:rPr>
          <w:rFonts w:cstheme="minorHAnsi"/>
          <w:sz w:val="22"/>
          <w:szCs w:val="22"/>
          <w:lang w:val="en-GB"/>
        </w:rPr>
        <w:t>indicates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the linkage disequilibrium (LD) with the lead SNP, as reflected by the </w:t>
      </w:r>
      <w:r w:rsidR="002329D4" w:rsidRPr="002329D4">
        <w:rPr>
          <w:rFonts w:cstheme="minorHAnsi"/>
          <w:sz w:val="22"/>
          <w:szCs w:val="22"/>
          <w:lang w:val="en-GB"/>
        </w:rPr>
        <w:t>colour</w:t>
      </w:r>
      <w:r w:rsidRPr="002329D4">
        <w:rPr>
          <w:rFonts w:cstheme="minorHAnsi"/>
          <w:sz w:val="22"/>
          <w:szCs w:val="22"/>
          <w:lang w:val="en-GB"/>
        </w:rPr>
        <w:t xml:space="preserve"> scale. The plots on the right focus on the physical position along chromosome 6 (x-axis) against the −log10​(</w:t>
      </w:r>
      <w:r w:rsidRPr="002329D4">
        <w:rPr>
          <w:rFonts w:cstheme="minorHAnsi"/>
          <w:i/>
          <w:iCs/>
          <w:sz w:val="22"/>
          <w:szCs w:val="22"/>
          <w:lang w:val="en-GB"/>
        </w:rPr>
        <w:t>p</w:t>
      </w:r>
      <w:r w:rsidRPr="002329D4">
        <w:rPr>
          <w:rFonts w:cstheme="minorHAnsi"/>
          <w:sz w:val="22"/>
          <w:szCs w:val="22"/>
          <w:lang w:val="en-GB"/>
        </w:rPr>
        <w:t xml:space="preserve">)-values (y-axis) of association in the GWAS on AD and T2DM. The lead SNP, which has a high posterior probability (PP) of being a shared causal variant, </w:t>
      </w:r>
      <w:proofErr w:type="gramStart"/>
      <w:r w:rsidRPr="002329D4">
        <w:rPr>
          <w:rFonts w:cstheme="minorHAnsi"/>
          <w:sz w:val="22"/>
          <w:szCs w:val="22"/>
          <w:lang w:val="en-GB"/>
        </w:rPr>
        <w:t>is prominently highlighted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in both plots on the right. </w:t>
      </w:r>
      <w:r w:rsidRPr="002329D4">
        <w:rPr>
          <w:rFonts w:cstheme="minorHAnsi"/>
          <w:kern w:val="0"/>
          <w:sz w:val="22"/>
          <w:szCs w:val="22"/>
          <w:lang w:val="en-GB"/>
          <w14:ligatures w14:val="none"/>
        </w:rPr>
        <w:t xml:space="preserve">This </w:t>
      </w:r>
      <w:proofErr w:type="gramStart"/>
      <w:r w:rsidRPr="002329D4">
        <w:rPr>
          <w:rFonts w:cstheme="minorHAnsi"/>
          <w:kern w:val="0"/>
          <w:sz w:val="22"/>
          <w:szCs w:val="22"/>
          <w:lang w:val="en-GB"/>
          <w14:ligatures w14:val="none"/>
        </w:rPr>
        <w:t>indicates</w:t>
      </w:r>
      <w:proofErr w:type="gramEnd"/>
      <w:r w:rsidRPr="002329D4">
        <w:rPr>
          <w:rFonts w:cstheme="minorHAnsi"/>
          <w:kern w:val="0"/>
          <w:sz w:val="22"/>
          <w:szCs w:val="22"/>
          <w:lang w:val="en-GB"/>
          <w14:ligatures w14:val="none"/>
        </w:rPr>
        <w:t xml:space="preserve"> a genomic region of interest that may </w:t>
      </w:r>
      <w:r w:rsidR="002329D4" w:rsidRPr="002329D4">
        <w:rPr>
          <w:rFonts w:cstheme="minorHAnsi"/>
          <w:kern w:val="0"/>
          <w:sz w:val="22"/>
          <w:szCs w:val="22"/>
          <w:lang w:val="en-GB"/>
          <w14:ligatures w14:val="none"/>
        </w:rPr>
        <w:t>harbour</w:t>
      </w:r>
      <w:r w:rsidRPr="002329D4">
        <w:rPr>
          <w:rFonts w:cstheme="minorHAnsi"/>
          <w:kern w:val="0"/>
          <w:sz w:val="22"/>
          <w:szCs w:val="22"/>
          <w:lang w:val="en-GB"/>
          <w14:ligatures w14:val="none"/>
        </w:rPr>
        <w:t xml:space="preserve"> pleiotropic causal effects, potentially implicating this locus in the comorbidity of AD and T2DM.</w:t>
      </w:r>
    </w:p>
    <w:p w14:paraId="1CB7F427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581E43E0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1C1EBBB3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  <w:r w:rsidRPr="002329D4">
        <w:rPr>
          <w:rFonts w:cstheme="minorHAnsi"/>
          <w:noProof/>
          <w:sz w:val="22"/>
          <w:szCs w:val="22"/>
          <w:lang w:val="en-GB"/>
        </w:rPr>
        <w:drawing>
          <wp:inline distT="0" distB="0" distL="0" distR="0" wp14:anchorId="3D5E542C" wp14:editId="66CFE8EF">
            <wp:extent cx="3048000" cy="3048000"/>
            <wp:effectExtent l="0" t="0" r="0" b="0"/>
            <wp:docPr id="468111369" name="Picture 1" descr="A group of graphs showing different colored circl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111369" name="Picture 1" descr="A group of graphs showing different colored circles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374E7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1F78A892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  <w:sectPr w:rsidR="00E03A81" w:rsidRPr="002329D4" w:rsidSect="00D91266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72E7BD08" w14:textId="13C29010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  <w:bookmarkStart w:id="3" w:name="_Toc160668554"/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lastRenderedPageBreak/>
        <w:t xml:space="preserve">Supplementary Figure </w:t>
      </w:r>
      <w:r w:rsidR="00EA1D42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4</w:t>
      </w:r>
      <w:r w:rsidRPr="002329D4">
        <w:rPr>
          <w:rStyle w:val="Heading1Char"/>
          <w:rFonts w:asciiTheme="minorHAnsi" w:hAnsiTheme="minorHAnsi" w:cstheme="minorHAnsi"/>
          <w:sz w:val="22"/>
          <w:szCs w:val="22"/>
          <w:lang w:val="en-GB"/>
        </w:rPr>
        <w:t>.</w:t>
      </w:r>
      <w:bookmarkEnd w:id="3"/>
      <w:r w:rsidRPr="002329D4">
        <w:rPr>
          <w:rFonts w:cstheme="minorHAnsi"/>
          <w:sz w:val="22"/>
          <w:szCs w:val="22"/>
          <w:lang w:val="en-GB"/>
        </w:rPr>
        <w:t xml:space="preserve"> Bivariate </w:t>
      </w:r>
      <w:proofErr w:type="spellStart"/>
      <w:r w:rsidRPr="002329D4">
        <w:rPr>
          <w:rFonts w:cstheme="minorHAnsi"/>
          <w:sz w:val="22"/>
          <w:szCs w:val="22"/>
          <w:lang w:val="en-GB"/>
        </w:rPr>
        <w:t>LocusPlot</w:t>
      </w:r>
      <w:proofErr w:type="spellEnd"/>
      <w:r w:rsidRPr="002329D4">
        <w:rPr>
          <w:rFonts w:cstheme="minorHAnsi"/>
          <w:sz w:val="22"/>
          <w:szCs w:val="22"/>
          <w:lang w:val="en-GB"/>
        </w:rPr>
        <w:t xml:space="preserve"> illustrating the genome-wide association signals across chromosomal region 6:32682214-32897998 for Alzheimer’s disease (AD) and type 2 diabetes mellitus (T2DM). The left panel displays the −log10(p)-values from GWAS on T2DM (x-axis) contrasted with AD (y-axis), with each point corresponding to a single nucleotide polymorphism (SNP). The </w:t>
      </w:r>
      <w:r w:rsidR="002329D4" w:rsidRPr="002329D4">
        <w:rPr>
          <w:rFonts w:cstheme="minorHAnsi"/>
          <w:sz w:val="22"/>
          <w:szCs w:val="22"/>
          <w:lang w:val="en-GB"/>
        </w:rPr>
        <w:t>colour</w:t>
      </w:r>
      <w:r w:rsidRPr="002329D4">
        <w:rPr>
          <w:rFonts w:cstheme="minorHAnsi"/>
          <w:sz w:val="22"/>
          <w:szCs w:val="22"/>
          <w:lang w:val="en-GB"/>
        </w:rPr>
        <w:t xml:space="preserve"> gradation for each SNP signifies the linkage disequilibrium (LD) with the lead SNP, as denoted by the </w:t>
      </w:r>
      <w:r w:rsidR="002329D4" w:rsidRPr="002329D4">
        <w:rPr>
          <w:rFonts w:cstheme="minorHAnsi"/>
          <w:sz w:val="22"/>
          <w:szCs w:val="22"/>
          <w:lang w:val="en-GB"/>
        </w:rPr>
        <w:t>colour</w:t>
      </w:r>
      <w:r w:rsidRPr="002329D4">
        <w:rPr>
          <w:rFonts w:cstheme="minorHAnsi"/>
          <w:sz w:val="22"/>
          <w:szCs w:val="22"/>
          <w:lang w:val="en-GB"/>
        </w:rPr>
        <w:t xml:space="preserve"> scale. The right-hand plots emphasize the SNPs’ physical positions along chromosome 6 (x-axis) in relation to their −log10(p) (y-axis) for association with AD and T2DM. The lead SNP, identified as having a high posterior probability (PP) of being a shared causal variant, </w:t>
      </w:r>
      <w:proofErr w:type="gramStart"/>
      <w:r w:rsidRPr="002329D4">
        <w:rPr>
          <w:rFonts w:cstheme="minorHAnsi"/>
          <w:sz w:val="22"/>
          <w:szCs w:val="22"/>
          <w:lang w:val="en-GB"/>
        </w:rPr>
        <w:t>is distinctly accentuated</w:t>
      </w:r>
      <w:proofErr w:type="gramEnd"/>
      <w:r w:rsidRPr="002329D4">
        <w:rPr>
          <w:rFonts w:cstheme="minorHAnsi"/>
          <w:sz w:val="22"/>
          <w:szCs w:val="22"/>
          <w:lang w:val="en-GB"/>
        </w:rPr>
        <w:t xml:space="preserve"> in both plots. This highlights a genomic region of interest that may carry pleiotropic causal effects, potentially implicating this locus in the comorbidity of AD and T2DM.</w:t>
      </w:r>
    </w:p>
    <w:p w14:paraId="3F4BCD7F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5A176910" w14:textId="77777777" w:rsidR="00E03A81" w:rsidRPr="002329D4" w:rsidRDefault="00E03A81" w:rsidP="00E03A81">
      <w:pPr>
        <w:jc w:val="both"/>
        <w:rPr>
          <w:rFonts w:cstheme="minorHAnsi"/>
          <w:sz w:val="22"/>
          <w:szCs w:val="22"/>
          <w:lang w:val="en-GB"/>
        </w:rPr>
      </w:pPr>
    </w:p>
    <w:p w14:paraId="2F19E61F" w14:textId="300EAA45" w:rsidR="00A07B49" w:rsidRPr="002329D4" w:rsidRDefault="00E03A81" w:rsidP="008C0C97">
      <w:pPr>
        <w:jc w:val="both"/>
        <w:rPr>
          <w:rFonts w:cstheme="minorHAnsi"/>
          <w:sz w:val="22"/>
          <w:szCs w:val="22"/>
          <w:lang w:val="en-GB"/>
        </w:rPr>
      </w:pPr>
      <w:r w:rsidRPr="002329D4">
        <w:rPr>
          <w:rFonts w:cstheme="minorHAnsi"/>
          <w:noProof/>
          <w:sz w:val="22"/>
          <w:szCs w:val="22"/>
          <w:lang w:val="en-GB"/>
        </w:rPr>
        <w:drawing>
          <wp:inline distT="0" distB="0" distL="0" distR="0" wp14:anchorId="51280791" wp14:editId="07B7315A">
            <wp:extent cx="3048000" cy="3048000"/>
            <wp:effectExtent l="0" t="0" r="0" b="0"/>
            <wp:docPr id="1727896161" name="Picture 1" descr="A group of graphs with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896161" name="Picture 1" descr="A group of graphs with numbers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7B49" w:rsidRPr="002329D4" w:rsidSect="00D9126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E107B" w14:textId="77777777" w:rsidR="008A4BEE" w:rsidRDefault="008A4BEE" w:rsidP="008C0C97">
      <w:r>
        <w:separator/>
      </w:r>
    </w:p>
  </w:endnote>
  <w:endnote w:type="continuationSeparator" w:id="0">
    <w:p w14:paraId="4E235096" w14:textId="77777777" w:rsidR="008A4BEE" w:rsidRDefault="008A4BEE" w:rsidP="008C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13220072"/>
      <w:docPartObj>
        <w:docPartGallery w:val="Page Numbers (Bottom of Page)"/>
        <w:docPartUnique/>
      </w:docPartObj>
    </w:sdtPr>
    <w:sdtContent>
      <w:p w14:paraId="499D1F10" w14:textId="21248883" w:rsidR="008C0C97" w:rsidRDefault="008C0C97" w:rsidP="008C0C9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3C9140" w14:textId="77777777" w:rsidR="008C0C97" w:rsidRDefault="008C0C97" w:rsidP="008C0C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3687030"/>
      <w:docPartObj>
        <w:docPartGallery w:val="Page Numbers (Bottom of Page)"/>
        <w:docPartUnique/>
      </w:docPartObj>
    </w:sdtPr>
    <w:sdtContent>
      <w:p w14:paraId="71DE4561" w14:textId="641B3803" w:rsidR="008C0C97" w:rsidRDefault="008C0C97" w:rsidP="008C0C9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32D7495" w14:textId="77777777" w:rsidR="008C0C97" w:rsidRDefault="008C0C97" w:rsidP="008C0C9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57B2" w14:textId="77777777" w:rsidR="004A04C9" w:rsidRDefault="004A0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CA842" w14:textId="77777777" w:rsidR="008A4BEE" w:rsidRDefault="008A4BEE" w:rsidP="008C0C97">
      <w:r>
        <w:separator/>
      </w:r>
    </w:p>
  </w:footnote>
  <w:footnote w:type="continuationSeparator" w:id="0">
    <w:p w14:paraId="5461D4BA" w14:textId="77777777" w:rsidR="008A4BEE" w:rsidRDefault="008A4BEE" w:rsidP="008C0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DE40" w14:textId="77777777" w:rsidR="004A04C9" w:rsidRDefault="004A04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4C74D" w14:textId="36BA202F" w:rsidR="008C0C97" w:rsidRPr="008C0C97" w:rsidRDefault="008C0C97">
    <w:pPr>
      <w:pStyle w:val="Header"/>
      <w:rPr>
        <w:sz w:val="20"/>
        <w:szCs w:val="20"/>
        <w:lang w:val="en-GB"/>
      </w:rPr>
    </w:pPr>
    <w:r w:rsidRPr="008C0C97">
      <w:rPr>
        <w:b/>
        <w:bCs/>
        <w:sz w:val="20"/>
        <w:szCs w:val="20"/>
        <w:lang w:val="en-GB"/>
      </w:rPr>
      <w:t>Supplementary Figures</w:t>
    </w:r>
    <w:r w:rsidRPr="008C0C97">
      <w:rPr>
        <w:b/>
        <w:bCs/>
        <w:sz w:val="20"/>
        <w:szCs w:val="20"/>
        <w:lang w:val="en-GB"/>
      </w:rPr>
      <w:tab/>
    </w:r>
    <w:r w:rsidRPr="008C0C97">
      <w:rPr>
        <w:sz w:val="20"/>
        <w:szCs w:val="20"/>
        <w:lang w:val="en-GB"/>
      </w:rPr>
      <w:t xml:space="preserve">                                                                            </w:t>
    </w:r>
    <w:r>
      <w:rPr>
        <w:sz w:val="20"/>
        <w:szCs w:val="20"/>
        <w:lang w:val="en-GB"/>
      </w:rPr>
      <w:t xml:space="preserve">                                </w:t>
    </w:r>
    <w:r w:rsidRPr="008C0C97">
      <w:rPr>
        <w:sz w:val="20"/>
        <w:szCs w:val="20"/>
        <w:lang w:val="en-GB"/>
      </w:rPr>
      <w:t xml:space="preserve">      </w:t>
    </w:r>
    <w:r w:rsidR="00EA1D42">
      <w:rPr>
        <w:sz w:val="20"/>
        <w:szCs w:val="20"/>
        <w:lang w:val="en-GB"/>
      </w:rPr>
      <w:t xml:space="preserve">         </w:t>
    </w:r>
    <w:r w:rsidRPr="008C0C97">
      <w:rPr>
        <w:sz w:val="20"/>
        <w:szCs w:val="20"/>
        <w:lang w:val="en-GB"/>
      </w:rPr>
      <w:t>Fanelli et al.</w:t>
    </w:r>
    <w:r w:rsidR="004A04C9">
      <w:rPr>
        <w:sz w:val="20"/>
        <w:szCs w:val="20"/>
        <w:lang w:val="en-GB"/>
      </w:rPr>
      <w:t>,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7FE39" w14:textId="77777777" w:rsidR="004A04C9" w:rsidRDefault="004A04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FE3"/>
    <w:rsid w:val="000004D8"/>
    <w:rsid w:val="00001E82"/>
    <w:rsid w:val="0000428F"/>
    <w:rsid w:val="00005D4C"/>
    <w:rsid w:val="00016A21"/>
    <w:rsid w:val="0002252F"/>
    <w:rsid w:val="00022534"/>
    <w:rsid w:val="00025F29"/>
    <w:rsid w:val="00027749"/>
    <w:rsid w:val="00033D4F"/>
    <w:rsid w:val="00036800"/>
    <w:rsid w:val="00044DE8"/>
    <w:rsid w:val="0004630D"/>
    <w:rsid w:val="000521D1"/>
    <w:rsid w:val="000534B1"/>
    <w:rsid w:val="000535A4"/>
    <w:rsid w:val="000600B9"/>
    <w:rsid w:val="00061CDE"/>
    <w:rsid w:val="0006429C"/>
    <w:rsid w:val="00074E7C"/>
    <w:rsid w:val="00075200"/>
    <w:rsid w:val="00075F4D"/>
    <w:rsid w:val="00076029"/>
    <w:rsid w:val="000776DC"/>
    <w:rsid w:val="000833A5"/>
    <w:rsid w:val="000924F9"/>
    <w:rsid w:val="000938F3"/>
    <w:rsid w:val="0009747C"/>
    <w:rsid w:val="000A25FF"/>
    <w:rsid w:val="000A5D9D"/>
    <w:rsid w:val="000B36CD"/>
    <w:rsid w:val="000B4CFD"/>
    <w:rsid w:val="000D027B"/>
    <w:rsid w:val="000D0F31"/>
    <w:rsid w:val="000E0D5D"/>
    <w:rsid w:val="000E4CBE"/>
    <w:rsid w:val="000E5FE6"/>
    <w:rsid w:val="000F3DA8"/>
    <w:rsid w:val="000F482F"/>
    <w:rsid w:val="0010005F"/>
    <w:rsid w:val="001031A2"/>
    <w:rsid w:val="00111BA9"/>
    <w:rsid w:val="00115C20"/>
    <w:rsid w:val="00116C1F"/>
    <w:rsid w:val="001214C6"/>
    <w:rsid w:val="0012253C"/>
    <w:rsid w:val="00124244"/>
    <w:rsid w:val="0013312F"/>
    <w:rsid w:val="00137E3C"/>
    <w:rsid w:val="00140196"/>
    <w:rsid w:val="00142A8A"/>
    <w:rsid w:val="00142FAB"/>
    <w:rsid w:val="001436B8"/>
    <w:rsid w:val="00143F16"/>
    <w:rsid w:val="00161C0E"/>
    <w:rsid w:val="0017097B"/>
    <w:rsid w:val="00172461"/>
    <w:rsid w:val="001746FB"/>
    <w:rsid w:val="00190374"/>
    <w:rsid w:val="001975DA"/>
    <w:rsid w:val="001A2A82"/>
    <w:rsid w:val="001B1CAF"/>
    <w:rsid w:val="001B31AD"/>
    <w:rsid w:val="001B3C7E"/>
    <w:rsid w:val="001C67E4"/>
    <w:rsid w:val="001D0F0A"/>
    <w:rsid w:val="001D3CD9"/>
    <w:rsid w:val="001D6C4D"/>
    <w:rsid w:val="001E06CD"/>
    <w:rsid w:val="001E3DE8"/>
    <w:rsid w:val="001E4034"/>
    <w:rsid w:val="001E7137"/>
    <w:rsid w:val="001F58E2"/>
    <w:rsid w:val="001F5952"/>
    <w:rsid w:val="001F7605"/>
    <w:rsid w:val="001F7C7F"/>
    <w:rsid w:val="00201884"/>
    <w:rsid w:val="00204742"/>
    <w:rsid w:val="00206FE3"/>
    <w:rsid w:val="002119D1"/>
    <w:rsid w:val="0022190E"/>
    <w:rsid w:val="002223B6"/>
    <w:rsid w:val="002232C8"/>
    <w:rsid w:val="002236FA"/>
    <w:rsid w:val="00225BC7"/>
    <w:rsid w:val="002268E9"/>
    <w:rsid w:val="00227344"/>
    <w:rsid w:val="00231F65"/>
    <w:rsid w:val="002329D4"/>
    <w:rsid w:val="002353C5"/>
    <w:rsid w:val="00236562"/>
    <w:rsid w:val="00240A49"/>
    <w:rsid w:val="00246BD8"/>
    <w:rsid w:val="0025036F"/>
    <w:rsid w:val="0025145D"/>
    <w:rsid w:val="00255002"/>
    <w:rsid w:val="0025624F"/>
    <w:rsid w:val="00282F35"/>
    <w:rsid w:val="002838CB"/>
    <w:rsid w:val="00286064"/>
    <w:rsid w:val="00286B16"/>
    <w:rsid w:val="00297E1D"/>
    <w:rsid w:val="002A2049"/>
    <w:rsid w:val="002A6C92"/>
    <w:rsid w:val="002B3E8E"/>
    <w:rsid w:val="002C02D3"/>
    <w:rsid w:val="002C0AB6"/>
    <w:rsid w:val="002C5A76"/>
    <w:rsid w:val="002D397A"/>
    <w:rsid w:val="002D5727"/>
    <w:rsid w:val="002E0677"/>
    <w:rsid w:val="002E06BD"/>
    <w:rsid w:val="002E22F6"/>
    <w:rsid w:val="002E532A"/>
    <w:rsid w:val="002E7501"/>
    <w:rsid w:val="002F1FF5"/>
    <w:rsid w:val="002F41E6"/>
    <w:rsid w:val="0030252B"/>
    <w:rsid w:val="00322B50"/>
    <w:rsid w:val="00324710"/>
    <w:rsid w:val="00324D65"/>
    <w:rsid w:val="00327932"/>
    <w:rsid w:val="00331308"/>
    <w:rsid w:val="00342505"/>
    <w:rsid w:val="0034609A"/>
    <w:rsid w:val="003544FB"/>
    <w:rsid w:val="00355F4F"/>
    <w:rsid w:val="00362852"/>
    <w:rsid w:val="003764FA"/>
    <w:rsid w:val="003844E6"/>
    <w:rsid w:val="003A227C"/>
    <w:rsid w:val="003A3B32"/>
    <w:rsid w:val="003B2D07"/>
    <w:rsid w:val="003C2D28"/>
    <w:rsid w:val="003C3481"/>
    <w:rsid w:val="003C5A69"/>
    <w:rsid w:val="003C6B86"/>
    <w:rsid w:val="003D1461"/>
    <w:rsid w:val="003D30FA"/>
    <w:rsid w:val="003F154D"/>
    <w:rsid w:val="003F277D"/>
    <w:rsid w:val="003F71E6"/>
    <w:rsid w:val="00403597"/>
    <w:rsid w:val="00404AB1"/>
    <w:rsid w:val="00407792"/>
    <w:rsid w:val="0041123E"/>
    <w:rsid w:val="0042013F"/>
    <w:rsid w:val="00423493"/>
    <w:rsid w:val="00423F96"/>
    <w:rsid w:val="00430A6A"/>
    <w:rsid w:val="00441781"/>
    <w:rsid w:val="004423B6"/>
    <w:rsid w:val="00443FFD"/>
    <w:rsid w:val="004441A0"/>
    <w:rsid w:val="004445E7"/>
    <w:rsid w:val="004451DE"/>
    <w:rsid w:val="00452827"/>
    <w:rsid w:val="0046193B"/>
    <w:rsid w:val="00462690"/>
    <w:rsid w:val="0046738B"/>
    <w:rsid w:val="00470DB0"/>
    <w:rsid w:val="00471BBB"/>
    <w:rsid w:val="004750DB"/>
    <w:rsid w:val="00475385"/>
    <w:rsid w:val="004757FF"/>
    <w:rsid w:val="00476931"/>
    <w:rsid w:val="00483D73"/>
    <w:rsid w:val="00493369"/>
    <w:rsid w:val="0049577C"/>
    <w:rsid w:val="00495EF8"/>
    <w:rsid w:val="004A04C9"/>
    <w:rsid w:val="004A0878"/>
    <w:rsid w:val="004A3C32"/>
    <w:rsid w:val="004A4BFA"/>
    <w:rsid w:val="004A5035"/>
    <w:rsid w:val="004B6FF8"/>
    <w:rsid w:val="004C7ED0"/>
    <w:rsid w:val="004E0E0B"/>
    <w:rsid w:val="004E240F"/>
    <w:rsid w:val="004E47D5"/>
    <w:rsid w:val="004F1F30"/>
    <w:rsid w:val="004F5AFF"/>
    <w:rsid w:val="004F5E3C"/>
    <w:rsid w:val="004F72B9"/>
    <w:rsid w:val="004F733F"/>
    <w:rsid w:val="0050255A"/>
    <w:rsid w:val="0050778A"/>
    <w:rsid w:val="0051380F"/>
    <w:rsid w:val="00513BBC"/>
    <w:rsid w:val="00514A64"/>
    <w:rsid w:val="00530CA6"/>
    <w:rsid w:val="0053136F"/>
    <w:rsid w:val="005332BE"/>
    <w:rsid w:val="00533B15"/>
    <w:rsid w:val="005464F4"/>
    <w:rsid w:val="005500F4"/>
    <w:rsid w:val="00552F23"/>
    <w:rsid w:val="00553EE1"/>
    <w:rsid w:val="00555942"/>
    <w:rsid w:val="00561744"/>
    <w:rsid w:val="00561E32"/>
    <w:rsid w:val="00564336"/>
    <w:rsid w:val="005659C0"/>
    <w:rsid w:val="00572A29"/>
    <w:rsid w:val="00572C2C"/>
    <w:rsid w:val="00573459"/>
    <w:rsid w:val="00581E3B"/>
    <w:rsid w:val="0059043A"/>
    <w:rsid w:val="00592339"/>
    <w:rsid w:val="0059398F"/>
    <w:rsid w:val="00594A17"/>
    <w:rsid w:val="005A39CA"/>
    <w:rsid w:val="005B46AB"/>
    <w:rsid w:val="005B5984"/>
    <w:rsid w:val="005C1513"/>
    <w:rsid w:val="005D1A3E"/>
    <w:rsid w:val="005D24AC"/>
    <w:rsid w:val="005D67A0"/>
    <w:rsid w:val="005E1094"/>
    <w:rsid w:val="005E1412"/>
    <w:rsid w:val="005E259F"/>
    <w:rsid w:val="005E43A2"/>
    <w:rsid w:val="005E5881"/>
    <w:rsid w:val="005F03BB"/>
    <w:rsid w:val="005F11A1"/>
    <w:rsid w:val="005F751A"/>
    <w:rsid w:val="006031B3"/>
    <w:rsid w:val="006064C4"/>
    <w:rsid w:val="006260EC"/>
    <w:rsid w:val="00635C12"/>
    <w:rsid w:val="006400E6"/>
    <w:rsid w:val="00640AA2"/>
    <w:rsid w:val="00641E3D"/>
    <w:rsid w:val="00642146"/>
    <w:rsid w:val="006453BF"/>
    <w:rsid w:val="00656255"/>
    <w:rsid w:val="006640B9"/>
    <w:rsid w:val="006651F5"/>
    <w:rsid w:val="00667B80"/>
    <w:rsid w:val="00670E91"/>
    <w:rsid w:val="00671CC3"/>
    <w:rsid w:val="00677035"/>
    <w:rsid w:val="006777A7"/>
    <w:rsid w:val="00677A68"/>
    <w:rsid w:val="00677B03"/>
    <w:rsid w:val="00682E16"/>
    <w:rsid w:val="00685A27"/>
    <w:rsid w:val="006869AB"/>
    <w:rsid w:val="0069444C"/>
    <w:rsid w:val="006966BC"/>
    <w:rsid w:val="00697568"/>
    <w:rsid w:val="006A0327"/>
    <w:rsid w:val="006A32EF"/>
    <w:rsid w:val="006B3A91"/>
    <w:rsid w:val="006B63A3"/>
    <w:rsid w:val="006C35EF"/>
    <w:rsid w:val="006C4740"/>
    <w:rsid w:val="006C48BC"/>
    <w:rsid w:val="006D332F"/>
    <w:rsid w:val="006E07D4"/>
    <w:rsid w:val="006F54B4"/>
    <w:rsid w:val="006F6699"/>
    <w:rsid w:val="0070060C"/>
    <w:rsid w:val="00701B21"/>
    <w:rsid w:val="00701EAA"/>
    <w:rsid w:val="0070444F"/>
    <w:rsid w:val="0070790D"/>
    <w:rsid w:val="00711139"/>
    <w:rsid w:val="0071163C"/>
    <w:rsid w:val="00713388"/>
    <w:rsid w:val="00715AB4"/>
    <w:rsid w:val="00720AEB"/>
    <w:rsid w:val="00722AAE"/>
    <w:rsid w:val="0072469C"/>
    <w:rsid w:val="007279DA"/>
    <w:rsid w:val="00730F63"/>
    <w:rsid w:val="00732099"/>
    <w:rsid w:val="007339F5"/>
    <w:rsid w:val="00742C9A"/>
    <w:rsid w:val="00746425"/>
    <w:rsid w:val="00747496"/>
    <w:rsid w:val="00750566"/>
    <w:rsid w:val="00761AAA"/>
    <w:rsid w:val="007624C4"/>
    <w:rsid w:val="00763835"/>
    <w:rsid w:val="0076516D"/>
    <w:rsid w:val="00767BDE"/>
    <w:rsid w:val="0077717E"/>
    <w:rsid w:val="00786D7F"/>
    <w:rsid w:val="00791F57"/>
    <w:rsid w:val="00795BCB"/>
    <w:rsid w:val="007A2D25"/>
    <w:rsid w:val="007A3E40"/>
    <w:rsid w:val="007B03A2"/>
    <w:rsid w:val="007B147A"/>
    <w:rsid w:val="007B151D"/>
    <w:rsid w:val="007B6D7E"/>
    <w:rsid w:val="007C3D58"/>
    <w:rsid w:val="007C4693"/>
    <w:rsid w:val="007D456C"/>
    <w:rsid w:val="007D4A70"/>
    <w:rsid w:val="007D5409"/>
    <w:rsid w:val="007D7483"/>
    <w:rsid w:val="007E1501"/>
    <w:rsid w:val="007E1A5E"/>
    <w:rsid w:val="007F5223"/>
    <w:rsid w:val="00801269"/>
    <w:rsid w:val="00806E98"/>
    <w:rsid w:val="0081013F"/>
    <w:rsid w:val="008105AF"/>
    <w:rsid w:val="008110EC"/>
    <w:rsid w:val="008147E2"/>
    <w:rsid w:val="0082050D"/>
    <w:rsid w:val="00822600"/>
    <w:rsid w:val="00826626"/>
    <w:rsid w:val="00835419"/>
    <w:rsid w:val="00843BF9"/>
    <w:rsid w:val="008472C9"/>
    <w:rsid w:val="008503A0"/>
    <w:rsid w:val="008545D1"/>
    <w:rsid w:val="00854C53"/>
    <w:rsid w:val="0086039C"/>
    <w:rsid w:val="00864057"/>
    <w:rsid w:val="00864587"/>
    <w:rsid w:val="00865C28"/>
    <w:rsid w:val="00871C66"/>
    <w:rsid w:val="00873A6D"/>
    <w:rsid w:val="008746AA"/>
    <w:rsid w:val="00874719"/>
    <w:rsid w:val="00875C1E"/>
    <w:rsid w:val="00875ECB"/>
    <w:rsid w:val="00880A9F"/>
    <w:rsid w:val="008830AD"/>
    <w:rsid w:val="0088441F"/>
    <w:rsid w:val="00886C8E"/>
    <w:rsid w:val="00893E3B"/>
    <w:rsid w:val="00897C28"/>
    <w:rsid w:val="008A3757"/>
    <w:rsid w:val="008A3FAC"/>
    <w:rsid w:val="008A4BEE"/>
    <w:rsid w:val="008A5DFF"/>
    <w:rsid w:val="008A7999"/>
    <w:rsid w:val="008B21CE"/>
    <w:rsid w:val="008B5749"/>
    <w:rsid w:val="008B66BC"/>
    <w:rsid w:val="008C0C97"/>
    <w:rsid w:val="008C671F"/>
    <w:rsid w:val="008C68DE"/>
    <w:rsid w:val="008C77B0"/>
    <w:rsid w:val="008D09CC"/>
    <w:rsid w:val="008D7864"/>
    <w:rsid w:val="008E32B6"/>
    <w:rsid w:val="008E6614"/>
    <w:rsid w:val="008F5F10"/>
    <w:rsid w:val="009004B5"/>
    <w:rsid w:val="0091757C"/>
    <w:rsid w:val="00924092"/>
    <w:rsid w:val="00932E8A"/>
    <w:rsid w:val="00933FF4"/>
    <w:rsid w:val="009342A8"/>
    <w:rsid w:val="00936141"/>
    <w:rsid w:val="00952297"/>
    <w:rsid w:val="009608E5"/>
    <w:rsid w:val="00966BB4"/>
    <w:rsid w:val="00970E85"/>
    <w:rsid w:val="009727BB"/>
    <w:rsid w:val="00980B19"/>
    <w:rsid w:val="009860FA"/>
    <w:rsid w:val="00987477"/>
    <w:rsid w:val="009929B4"/>
    <w:rsid w:val="00992FB3"/>
    <w:rsid w:val="009B51B9"/>
    <w:rsid w:val="009B5999"/>
    <w:rsid w:val="009B7C98"/>
    <w:rsid w:val="009D46C1"/>
    <w:rsid w:val="009E064F"/>
    <w:rsid w:val="009E1734"/>
    <w:rsid w:val="009E4940"/>
    <w:rsid w:val="009E71C4"/>
    <w:rsid w:val="009F0745"/>
    <w:rsid w:val="009F734D"/>
    <w:rsid w:val="00A07745"/>
    <w:rsid w:val="00A07B49"/>
    <w:rsid w:val="00A12CED"/>
    <w:rsid w:val="00A20FEF"/>
    <w:rsid w:val="00A227AE"/>
    <w:rsid w:val="00A23198"/>
    <w:rsid w:val="00A42878"/>
    <w:rsid w:val="00A4413E"/>
    <w:rsid w:val="00A516A3"/>
    <w:rsid w:val="00A5378D"/>
    <w:rsid w:val="00A55535"/>
    <w:rsid w:val="00A654C5"/>
    <w:rsid w:val="00A708A9"/>
    <w:rsid w:val="00A720AD"/>
    <w:rsid w:val="00A77966"/>
    <w:rsid w:val="00A920DA"/>
    <w:rsid w:val="00A92F40"/>
    <w:rsid w:val="00A96853"/>
    <w:rsid w:val="00AA012B"/>
    <w:rsid w:val="00AA01F4"/>
    <w:rsid w:val="00AB5DF8"/>
    <w:rsid w:val="00AB67F9"/>
    <w:rsid w:val="00AB73C1"/>
    <w:rsid w:val="00AC339B"/>
    <w:rsid w:val="00AC3C7C"/>
    <w:rsid w:val="00AD00E3"/>
    <w:rsid w:val="00AD4D72"/>
    <w:rsid w:val="00AE10D6"/>
    <w:rsid w:val="00AE1673"/>
    <w:rsid w:val="00AE4E28"/>
    <w:rsid w:val="00B02E9A"/>
    <w:rsid w:val="00B037E4"/>
    <w:rsid w:val="00B1596C"/>
    <w:rsid w:val="00B1642D"/>
    <w:rsid w:val="00B16E26"/>
    <w:rsid w:val="00B17B6C"/>
    <w:rsid w:val="00B203B3"/>
    <w:rsid w:val="00B214FF"/>
    <w:rsid w:val="00B21985"/>
    <w:rsid w:val="00B229B8"/>
    <w:rsid w:val="00B24BF7"/>
    <w:rsid w:val="00B34286"/>
    <w:rsid w:val="00B34ECB"/>
    <w:rsid w:val="00B35E02"/>
    <w:rsid w:val="00B45238"/>
    <w:rsid w:val="00B46FA4"/>
    <w:rsid w:val="00B543E5"/>
    <w:rsid w:val="00B60036"/>
    <w:rsid w:val="00B60F60"/>
    <w:rsid w:val="00B66950"/>
    <w:rsid w:val="00B816EB"/>
    <w:rsid w:val="00B839C8"/>
    <w:rsid w:val="00B9280F"/>
    <w:rsid w:val="00B93F09"/>
    <w:rsid w:val="00BA2ECA"/>
    <w:rsid w:val="00BA5260"/>
    <w:rsid w:val="00BB6161"/>
    <w:rsid w:val="00BB789B"/>
    <w:rsid w:val="00BC0269"/>
    <w:rsid w:val="00BC0657"/>
    <w:rsid w:val="00BC08F0"/>
    <w:rsid w:val="00BC7D6F"/>
    <w:rsid w:val="00BD1B5B"/>
    <w:rsid w:val="00BD6A9D"/>
    <w:rsid w:val="00BD6FDE"/>
    <w:rsid w:val="00BE4883"/>
    <w:rsid w:val="00BF1B15"/>
    <w:rsid w:val="00C04BCD"/>
    <w:rsid w:val="00C07A1E"/>
    <w:rsid w:val="00C07E1C"/>
    <w:rsid w:val="00C1558A"/>
    <w:rsid w:val="00C16ACC"/>
    <w:rsid w:val="00C173FD"/>
    <w:rsid w:val="00C23D18"/>
    <w:rsid w:val="00C272B8"/>
    <w:rsid w:val="00C34EDA"/>
    <w:rsid w:val="00C41A7E"/>
    <w:rsid w:val="00C44E1B"/>
    <w:rsid w:val="00C45B88"/>
    <w:rsid w:val="00C463F6"/>
    <w:rsid w:val="00C46992"/>
    <w:rsid w:val="00C53FED"/>
    <w:rsid w:val="00C54D1C"/>
    <w:rsid w:val="00C55D62"/>
    <w:rsid w:val="00C6253C"/>
    <w:rsid w:val="00C64402"/>
    <w:rsid w:val="00C74F79"/>
    <w:rsid w:val="00C829E1"/>
    <w:rsid w:val="00C8732B"/>
    <w:rsid w:val="00CA3812"/>
    <w:rsid w:val="00CA3B01"/>
    <w:rsid w:val="00CB1E2D"/>
    <w:rsid w:val="00CC4B3D"/>
    <w:rsid w:val="00CC7060"/>
    <w:rsid w:val="00CD0A45"/>
    <w:rsid w:val="00CD4C65"/>
    <w:rsid w:val="00CD7558"/>
    <w:rsid w:val="00CE09F6"/>
    <w:rsid w:val="00CE179E"/>
    <w:rsid w:val="00CE5E10"/>
    <w:rsid w:val="00CF3A7C"/>
    <w:rsid w:val="00D04B68"/>
    <w:rsid w:val="00D04D48"/>
    <w:rsid w:val="00D16684"/>
    <w:rsid w:val="00D17143"/>
    <w:rsid w:val="00D20153"/>
    <w:rsid w:val="00D21D3D"/>
    <w:rsid w:val="00D23120"/>
    <w:rsid w:val="00D26975"/>
    <w:rsid w:val="00D270AC"/>
    <w:rsid w:val="00D334FC"/>
    <w:rsid w:val="00D35043"/>
    <w:rsid w:val="00D4600E"/>
    <w:rsid w:val="00D5034C"/>
    <w:rsid w:val="00D51BEE"/>
    <w:rsid w:val="00D60689"/>
    <w:rsid w:val="00D91266"/>
    <w:rsid w:val="00D9679D"/>
    <w:rsid w:val="00D96915"/>
    <w:rsid w:val="00D97860"/>
    <w:rsid w:val="00D97BF6"/>
    <w:rsid w:val="00DA1B16"/>
    <w:rsid w:val="00DA5351"/>
    <w:rsid w:val="00DA74E7"/>
    <w:rsid w:val="00DB21B2"/>
    <w:rsid w:val="00DB639E"/>
    <w:rsid w:val="00DC2797"/>
    <w:rsid w:val="00DC61DD"/>
    <w:rsid w:val="00DD11BC"/>
    <w:rsid w:val="00DD1323"/>
    <w:rsid w:val="00DD395B"/>
    <w:rsid w:val="00DE4491"/>
    <w:rsid w:val="00DE5567"/>
    <w:rsid w:val="00DE773C"/>
    <w:rsid w:val="00DF0175"/>
    <w:rsid w:val="00DF3F28"/>
    <w:rsid w:val="00DF4CC3"/>
    <w:rsid w:val="00DF5503"/>
    <w:rsid w:val="00DF57C3"/>
    <w:rsid w:val="00E03244"/>
    <w:rsid w:val="00E03A81"/>
    <w:rsid w:val="00E04065"/>
    <w:rsid w:val="00E11C47"/>
    <w:rsid w:val="00E15EAE"/>
    <w:rsid w:val="00E267C3"/>
    <w:rsid w:val="00E406E3"/>
    <w:rsid w:val="00E5547E"/>
    <w:rsid w:val="00E654FA"/>
    <w:rsid w:val="00E66297"/>
    <w:rsid w:val="00E8095B"/>
    <w:rsid w:val="00E8209D"/>
    <w:rsid w:val="00E87740"/>
    <w:rsid w:val="00E90F4D"/>
    <w:rsid w:val="00E93E21"/>
    <w:rsid w:val="00E974E3"/>
    <w:rsid w:val="00EA1C1C"/>
    <w:rsid w:val="00EA1D42"/>
    <w:rsid w:val="00EA42F2"/>
    <w:rsid w:val="00EA44DC"/>
    <w:rsid w:val="00EA48B6"/>
    <w:rsid w:val="00EA6741"/>
    <w:rsid w:val="00EC5441"/>
    <w:rsid w:val="00ED0326"/>
    <w:rsid w:val="00ED33F6"/>
    <w:rsid w:val="00ED5D7F"/>
    <w:rsid w:val="00EE13E4"/>
    <w:rsid w:val="00EE1746"/>
    <w:rsid w:val="00EE661C"/>
    <w:rsid w:val="00EF436A"/>
    <w:rsid w:val="00EF479A"/>
    <w:rsid w:val="00F045D4"/>
    <w:rsid w:val="00F071FA"/>
    <w:rsid w:val="00F12691"/>
    <w:rsid w:val="00F149F1"/>
    <w:rsid w:val="00F2224F"/>
    <w:rsid w:val="00F31AD8"/>
    <w:rsid w:val="00F34289"/>
    <w:rsid w:val="00F47259"/>
    <w:rsid w:val="00F55618"/>
    <w:rsid w:val="00F608A2"/>
    <w:rsid w:val="00F65DE4"/>
    <w:rsid w:val="00F669F2"/>
    <w:rsid w:val="00F678A2"/>
    <w:rsid w:val="00F70D53"/>
    <w:rsid w:val="00F7165B"/>
    <w:rsid w:val="00F8095E"/>
    <w:rsid w:val="00F80B55"/>
    <w:rsid w:val="00F81D0F"/>
    <w:rsid w:val="00F84B2F"/>
    <w:rsid w:val="00F87169"/>
    <w:rsid w:val="00F9417D"/>
    <w:rsid w:val="00F96EA9"/>
    <w:rsid w:val="00FA1E47"/>
    <w:rsid w:val="00FA27F0"/>
    <w:rsid w:val="00FA3AC5"/>
    <w:rsid w:val="00FA414A"/>
    <w:rsid w:val="00FA5458"/>
    <w:rsid w:val="00FC2B67"/>
    <w:rsid w:val="00FD485F"/>
    <w:rsid w:val="00FD5B46"/>
    <w:rsid w:val="00FE3159"/>
    <w:rsid w:val="00FF50E8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AA060"/>
  <w15:chartTrackingRefBased/>
  <w15:docId w15:val="{3CE079F8-0335-E240-9F2E-85F21A15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0C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C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0C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0C97"/>
  </w:style>
  <w:style w:type="character" w:styleId="PageNumber">
    <w:name w:val="page number"/>
    <w:basedOn w:val="DefaultParagraphFont"/>
    <w:uiPriority w:val="99"/>
    <w:semiHidden/>
    <w:unhideWhenUsed/>
    <w:rsid w:val="008C0C97"/>
  </w:style>
  <w:style w:type="paragraph" w:styleId="Header">
    <w:name w:val="header"/>
    <w:basedOn w:val="Normal"/>
    <w:link w:val="HeaderChar"/>
    <w:uiPriority w:val="99"/>
    <w:unhideWhenUsed/>
    <w:rsid w:val="008C0C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0C97"/>
  </w:style>
  <w:style w:type="character" w:customStyle="1" w:styleId="Heading1Char">
    <w:name w:val="Heading 1 Char"/>
    <w:basedOn w:val="DefaultParagraphFont"/>
    <w:link w:val="Heading1"/>
    <w:uiPriority w:val="9"/>
    <w:rsid w:val="008C0C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0C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8C0C97"/>
    <w:pPr>
      <w:spacing w:before="48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8C0C97"/>
    <w:pPr>
      <w:spacing w:before="120"/>
    </w:pPr>
    <w:rPr>
      <w:rFonts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8C0C97"/>
    <w:pPr>
      <w:spacing w:before="120"/>
      <w:ind w:left="240"/>
    </w:pPr>
    <w:rPr>
      <w:rFonts w:cstheme="minorHAnsi"/>
      <w:b/>
      <w:bCs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C0C97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C0C97"/>
    <w:pPr>
      <w:ind w:left="48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C0C97"/>
    <w:pPr>
      <w:ind w:left="72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8C0C97"/>
    <w:pPr>
      <w:ind w:left="9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8C0C97"/>
    <w:pPr>
      <w:ind w:left="12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8C0C97"/>
    <w:pPr>
      <w:ind w:left="144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C0C97"/>
    <w:pPr>
      <w:ind w:left="168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8C0C97"/>
    <w:pPr>
      <w:ind w:left="192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3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Fanelli - giuseppe.fanelli4@studio.unibo.it</dc:creator>
  <cp:keywords/>
  <dc:description/>
  <cp:lastModifiedBy>Giuseppe Fanelli</cp:lastModifiedBy>
  <cp:revision>2</cp:revision>
  <dcterms:created xsi:type="dcterms:W3CDTF">2025-03-26T09:42:00Z</dcterms:created>
  <dcterms:modified xsi:type="dcterms:W3CDTF">2025-03-26T09:42:00Z</dcterms:modified>
</cp:coreProperties>
</file>