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1ECEF" w14:textId="529538D8" w:rsidR="00A00FDF" w:rsidRDefault="00667CF2" w:rsidP="003E78D9">
      <w:pPr>
        <w:spacing w:line="480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Supplementary Material</w:t>
      </w:r>
    </w:p>
    <w:p w14:paraId="43B4A683" w14:textId="77777777" w:rsidR="00E43780" w:rsidRDefault="00E43780" w:rsidP="003E78D9">
      <w:pPr>
        <w:spacing w:line="480" w:lineRule="auto"/>
        <w:jc w:val="center"/>
        <w:rPr>
          <w:b/>
          <w:bCs/>
          <w:sz w:val="32"/>
          <w:szCs w:val="28"/>
        </w:rPr>
      </w:pPr>
    </w:p>
    <w:p w14:paraId="1C32E7D8" w14:textId="77777777" w:rsidR="003E78D9" w:rsidRDefault="003E78D9" w:rsidP="003E78D9">
      <w:pPr>
        <w:spacing w:line="480" w:lineRule="auto"/>
        <w:rPr>
          <w:bCs/>
          <w:sz w:val="28"/>
          <w:szCs w:val="28"/>
        </w:rPr>
      </w:pPr>
      <w:r w:rsidRPr="003E78D9">
        <w:rPr>
          <w:b/>
          <w:bCs/>
          <w:sz w:val="28"/>
          <w:szCs w:val="28"/>
        </w:rPr>
        <w:t>Effects of GBA1 variants in patients with Parkinson's disease and Levodopa-Carbidopa intestinal gel: a nation-wide, multicenter, longitudinal, ‘real-world’ study. The EPIC study.</w:t>
      </w:r>
      <w:r w:rsidRPr="003E78D9">
        <w:rPr>
          <w:bCs/>
          <w:sz w:val="28"/>
          <w:szCs w:val="28"/>
        </w:rPr>
        <w:t xml:space="preserve"> </w:t>
      </w:r>
    </w:p>
    <w:p w14:paraId="1C114A35" w14:textId="347C3611" w:rsidR="003E78D9" w:rsidRPr="003E78D9" w:rsidRDefault="003E78D9" w:rsidP="003E78D9">
      <w:pPr>
        <w:spacing w:line="480" w:lineRule="auto"/>
        <w:rPr>
          <w:bCs/>
          <w:sz w:val="28"/>
          <w:szCs w:val="28"/>
        </w:rPr>
      </w:pPr>
      <w:r w:rsidRPr="003E78D9">
        <w:rPr>
          <w:bCs/>
          <w:sz w:val="28"/>
          <w:szCs w:val="28"/>
        </w:rPr>
        <w:t>Cilia R, et al.</w:t>
      </w:r>
    </w:p>
    <w:p w14:paraId="43BB9D9C" w14:textId="77777777" w:rsidR="003E78D9" w:rsidRPr="003E78D9" w:rsidRDefault="003E78D9" w:rsidP="003E78D9">
      <w:pPr>
        <w:spacing w:line="480" w:lineRule="auto"/>
        <w:jc w:val="center"/>
        <w:rPr>
          <w:bCs/>
          <w:sz w:val="28"/>
          <w:szCs w:val="28"/>
        </w:rPr>
      </w:pPr>
    </w:p>
    <w:p w14:paraId="22AE776D" w14:textId="309B465B" w:rsidR="00A00FDF" w:rsidRPr="003E78D9" w:rsidRDefault="003D6429" w:rsidP="00B8566F">
      <w:pPr>
        <w:spacing w:line="480" w:lineRule="auto"/>
        <w:rPr>
          <w:b/>
          <w:bCs/>
          <w:sz w:val="28"/>
        </w:rPr>
      </w:pPr>
      <w:r w:rsidRPr="003E78D9">
        <w:rPr>
          <w:b/>
          <w:bCs/>
          <w:sz w:val="28"/>
        </w:rPr>
        <w:t xml:space="preserve">Supplementary </w:t>
      </w:r>
      <w:r w:rsidR="00A00FDF" w:rsidRPr="003E78D9">
        <w:rPr>
          <w:b/>
          <w:bCs/>
          <w:sz w:val="28"/>
        </w:rPr>
        <w:t>Methods</w:t>
      </w:r>
    </w:p>
    <w:p w14:paraId="169AB993" w14:textId="313D2047" w:rsidR="00A00FDF" w:rsidRDefault="00C34188" w:rsidP="00DC7F52">
      <w:pPr>
        <w:spacing w:line="480" w:lineRule="auto"/>
      </w:pPr>
      <w:r w:rsidRPr="00D77725">
        <w:t>General demographic and clinical data, including comorbidities at LCIG initiation, International Parkinson and Movement Disorders Society Unified Parkinson Disease Rating Scale (MDS-UPDRS) from part I to part IV,</w:t>
      </w:r>
      <w:r w:rsidR="009D703D">
        <w:t xml:space="preserve">[1] </w:t>
      </w:r>
      <w:r w:rsidRPr="00D77725">
        <w:t>and the Hoehn &amp; Yahr (HY) stage were recorded in the patients’ clinical charts, extracted and analyzed</w:t>
      </w:r>
      <w:r>
        <w:t xml:space="preserve">. </w:t>
      </w:r>
      <w:r w:rsidR="00A00FDF" w:rsidRPr="00A00FDF">
        <w:t>We investigated</w:t>
      </w:r>
      <w:r w:rsidR="00A00FDF" w:rsidRPr="00D77725">
        <w:t xml:space="preserve"> both prevalence and severity of motor complications, non-levodopa-responsive symptoms, and NMS by reporting the results of interviews performed during the visit as well as the MDS-UPDRS parts I, II, III and IV scores. Cognitive impairment was defined as diagnosis of either mild cognitive impairment (MCI) or dementia</w:t>
      </w:r>
      <w:r w:rsidR="009D703D">
        <w:t xml:space="preserve">.[2,3] </w:t>
      </w:r>
      <w:r w:rsidR="00A00FDF" w:rsidRPr="00D77725">
        <w:t xml:space="preserve">Sub-items of MDS-UPDRS part III (collected in the ON-medication state) were used to investigate dopaminergic and non-dopaminergic deficiency scores, which </w:t>
      </w:r>
      <w:bookmarkStart w:id="0" w:name="_Hlk121487176"/>
      <w:r w:rsidR="00A00FDF" w:rsidRPr="00D77725">
        <w:t xml:space="preserve">indicate levodopa-responsive symptoms/signs </w:t>
      </w:r>
      <w:r w:rsidR="00A00FDF" w:rsidRPr="00D77725">
        <w:rPr>
          <w:i/>
          <w:iCs/>
        </w:rPr>
        <w:t>vs.</w:t>
      </w:r>
      <w:r w:rsidR="00A00FDF" w:rsidRPr="00D77725">
        <w:t xml:space="preserve"> non-levodopa-responsive axial complications, respectively</w:t>
      </w:r>
      <w:bookmarkEnd w:id="0"/>
      <w:r w:rsidR="00A00FDF" w:rsidRPr="00D77725">
        <w:t>.</w:t>
      </w:r>
      <w:r w:rsidR="009D703D">
        <w:t xml:space="preserve">[4] </w:t>
      </w:r>
      <w:r w:rsidR="00A00FDF" w:rsidRPr="00D77725">
        <w:t>Mini-Mental State Examination (MMSE), Montreal Cognitive Assessment (MoCA), and Frontal Assessment Battery (FAB) were collected. MMSE scores were converted to MoCA scores for consistency.</w:t>
      </w:r>
      <w:r w:rsidR="009D703D">
        <w:t>[5</w:t>
      </w:r>
      <w:r w:rsidR="0087516E">
        <w:t>,6</w:t>
      </w:r>
      <w:r w:rsidR="009D703D">
        <w:t xml:space="preserve">] </w:t>
      </w:r>
      <w:r w:rsidR="00A00FDF" w:rsidRPr="00D77725">
        <w:t>We calculated total Levodopa daily dose (mg/day), levodopa dose adjusted for body weight (mg/kg/day) and for MAO-B inhibitors (</w:t>
      </w:r>
      <w:proofErr w:type="spellStart"/>
      <w:r w:rsidR="00A00FDF" w:rsidRPr="00D77725">
        <w:t>iMAO</w:t>
      </w:r>
      <w:proofErr w:type="spellEnd"/>
      <w:r w:rsidR="00A00FDF" w:rsidRPr="00D77725">
        <w:t>-B) and COMT inhibitors (</w:t>
      </w:r>
      <w:proofErr w:type="spellStart"/>
      <w:r w:rsidR="00A00FDF" w:rsidRPr="00D77725">
        <w:t>iCOMT</w:t>
      </w:r>
      <w:proofErr w:type="spellEnd"/>
      <w:r w:rsidR="00A00FDF" w:rsidRPr="00D77725">
        <w:t>); levodopa equivalent dose (LED, mg/day) was calculated for dopamine agonists (DAs) and for all medications to provide total daily LED.</w:t>
      </w:r>
      <w:r w:rsidR="009D703D">
        <w:t xml:space="preserve">[6,7] </w:t>
      </w:r>
      <w:r w:rsidR="00A00FDF" w:rsidRPr="00D77725">
        <w:t xml:space="preserve">Data on other medications for motor (amantadine, anticholinergics) </w:t>
      </w:r>
      <w:r w:rsidR="00A00FDF" w:rsidRPr="00D77725">
        <w:lastRenderedPageBreak/>
        <w:t xml:space="preserve">and NMS symptoms (antidepressants, antipsychotics, drugs to treat dementia and OH) </w:t>
      </w:r>
      <w:r w:rsidR="00A00FDF" w:rsidRPr="00C34188">
        <w:t xml:space="preserve">were </w:t>
      </w:r>
      <w:r w:rsidR="0087516E">
        <w:t xml:space="preserve">additionally </w:t>
      </w:r>
      <w:r w:rsidR="00A00FDF" w:rsidRPr="00C34188">
        <w:t>collected.</w:t>
      </w:r>
      <w:r w:rsidR="00A00FDF" w:rsidRPr="00D77725">
        <w:t xml:space="preserve"> </w:t>
      </w:r>
    </w:p>
    <w:p w14:paraId="110C201C" w14:textId="77777777" w:rsidR="00650DBA" w:rsidRDefault="00650DBA" w:rsidP="00DC7F52">
      <w:pPr>
        <w:spacing w:line="480" w:lineRule="auto"/>
      </w:pPr>
    </w:p>
    <w:p w14:paraId="7A7CD2CE" w14:textId="77777777" w:rsidR="000554BB" w:rsidRPr="00D77725" w:rsidRDefault="000554BB" w:rsidP="00B8566F">
      <w:pPr>
        <w:widowControl w:val="0"/>
        <w:spacing w:line="480" w:lineRule="auto"/>
        <w:rPr>
          <w:b/>
          <w:iCs/>
        </w:rPr>
      </w:pPr>
      <w:r w:rsidRPr="00D77725">
        <w:rPr>
          <w:b/>
          <w:iCs/>
        </w:rPr>
        <w:t>Statistical analysis</w:t>
      </w:r>
    </w:p>
    <w:p w14:paraId="21B01A48" w14:textId="77777777" w:rsidR="000554BB" w:rsidRPr="00D77725" w:rsidRDefault="000554BB" w:rsidP="00B8566F">
      <w:pPr>
        <w:widowControl w:val="0"/>
        <w:spacing w:line="480" w:lineRule="auto"/>
        <w:rPr>
          <w:iCs/>
        </w:rPr>
      </w:pPr>
      <w:r w:rsidRPr="00D77725">
        <w:rPr>
          <w:iCs/>
        </w:rPr>
        <w:t>Given the nature of the study, no specific a priori sample size calculation was conducted. However,</w:t>
      </w:r>
    </w:p>
    <w:p w14:paraId="79DA4AFA" w14:textId="34D12DC7" w:rsidR="00985C24" w:rsidRDefault="000554BB" w:rsidP="00B8566F">
      <w:pPr>
        <w:spacing w:line="480" w:lineRule="auto"/>
        <w:rPr>
          <w:iCs/>
        </w:rPr>
      </w:pPr>
      <w:r w:rsidRPr="00D77725">
        <w:rPr>
          <w:iCs/>
        </w:rPr>
        <w:t xml:space="preserve">given the prevalence of </w:t>
      </w:r>
      <w:r w:rsidRPr="00D77725">
        <w:rPr>
          <w:i/>
        </w:rPr>
        <w:t xml:space="preserve">GBA1 </w:t>
      </w:r>
      <w:r w:rsidRPr="00D77725">
        <w:rPr>
          <w:iCs/>
        </w:rPr>
        <w:t xml:space="preserve">variants in the overall PD </w:t>
      </w:r>
      <w:r w:rsidR="00985C24" w:rsidRPr="00985C24">
        <w:rPr>
          <w:iCs/>
        </w:rPr>
        <w:t>population (approximately 10-15%),[</w:t>
      </w:r>
      <w:r w:rsidR="00D86C97">
        <w:rPr>
          <w:iCs/>
        </w:rPr>
        <w:t>8-10</w:t>
      </w:r>
      <w:r w:rsidR="00985C24" w:rsidRPr="00985C24">
        <w:rPr>
          <w:iCs/>
        </w:rPr>
        <w:t>] we estimated that the inclusion of about 300 patients would have enabled a reasonable comparison of safety data between GBA-PD and noncarriers. Specifically, choosing a non-inferiority margin of 10% and supposing a LCIG discontinuation rate for GBA-PD and PD noncarriers of 35% and 25%,[</w:t>
      </w:r>
      <w:r w:rsidR="00D86C97">
        <w:rPr>
          <w:iCs/>
        </w:rPr>
        <w:t>11,12</w:t>
      </w:r>
      <w:r w:rsidR="00985C24" w:rsidRPr="00985C24">
        <w:rPr>
          <w:iCs/>
        </w:rPr>
        <w:t>] respectively, for achieving an 80% power at the 5% level of significance, the sample size for GBA-PD and noncarriers are 40 and 264, respectively.</w:t>
      </w:r>
      <w:r w:rsidR="00985C24">
        <w:rPr>
          <w:iCs/>
        </w:rPr>
        <w:t xml:space="preserve"> </w:t>
      </w:r>
    </w:p>
    <w:p w14:paraId="3F4EAA8A" w14:textId="7AF73C89" w:rsidR="000554BB" w:rsidRDefault="000554BB" w:rsidP="00B8566F">
      <w:pPr>
        <w:spacing w:line="480" w:lineRule="auto"/>
        <w:rPr>
          <w:iCs/>
        </w:rPr>
      </w:pPr>
      <w:r w:rsidRPr="00D77725">
        <w:rPr>
          <w:iCs/>
        </w:rPr>
        <w:t>We used survey methodology to account for missing data (missing at random approach). Patients who completed at least 24 hours on LCIG infusion were included in the safety population.</w:t>
      </w:r>
    </w:p>
    <w:p w14:paraId="7B87D7E2" w14:textId="7039C7F3" w:rsidR="00D856A9" w:rsidRDefault="000554BB" w:rsidP="00B8566F">
      <w:pPr>
        <w:spacing w:line="480" w:lineRule="auto"/>
        <w:rPr>
          <w:iCs/>
        </w:rPr>
      </w:pPr>
      <w:r w:rsidRPr="00D77725">
        <w:rPr>
          <w:iCs/>
        </w:rPr>
        <w:t xml:space="preserve">For the occurrence of adverse events by </w:t>
      </w:r>
      <w:r w:rsidRPr="00D77725">
        <w:rPr>
          <w:i/>
        </w:rPr>
        <w:t>GBA1</w:t>
      </w:r>
      <w:r w:rsidRPr="00D77725">
        <w:rPr>
          <w:iCs/>
        </w:rPr>
        <w:t xml:space="preserve"> status, we initially used multivariable logistic regression models to derive odds ratios (OR) and 95%CI, while adjusting for sex, age and disease duration at LCIG initiation, comorbidity (≥1 vs. none), HY stage ≥3 and any-degree cognitive impairment. For the evaluation of treatment discontinuation during the follow-up, Cox’s regression models were used to estimate hazard ratio and 95% confidence interval (HR, 95%CI) of </w:t>
      </w:r>
      <w:r w:rsidRPr="00D77725">
        <w:rPr>
          <w:i/>
        </w:rPr>
        <w:t>GBA1</w:t>
      </w:r>
      <w:r w:rsidRPr="00D77725">
        <w:rPr>
          <w:iCs/>
        </w:rPr>
        <w:t xml:space="preserve"> status, while adjusting for the same covariates. In this analysis, we dichotomized </w:t>
      </w:r>
      <w:r w:rsidRPr="00D77725">
        <w:rPr>
          <w:i/>
        </w:rPr>
        <w:t>GBA1</w:t>
      </w:r>
      <w:r w:rsidRPr="00D77725">
        <w:rPr>
          <w:iCs/>
        </w:rPr>
        <w:t xml:space="preserve"> status into carriers of severe mutations versus carriers of mild mutations plus risk variants. Changes in variables at 1-year follow-up and over multiple time points were analyzed using mixed model for repeated measures (linear [continuous] or logistic [categorical]) adjusted for age and disease duration at LCIG initiation, sex, duration of follow-up and - only for continuous variables – the baseline value of each parameter with and without testing also for the interaction between time and </w:t>
      </w:r>
      <w:r w:rsidRPr="00D77725">
        <w:rPr>
          <w:i/>
        </w:rPr>
        <w:t>GBA1</w:t>
      </w:r>
      <w:r w:rsidRPr="00D77725">
        <w:rPr>
          <w:iCs/>
        </w:rPr>
        <w:t xml:space="preserve"> status (carriers vs. non-carriers).</w:t>
      </w:r>
    </w:p>
    <w:p w14:paraId="388ACABB" w14:textId="77777777" w:rsidR="00650DBA" w:rsidRDefault="00650DBA">
      <w:pPr>
        <w:rPr>
          <w:b/>
          <w:iCs/>
          <w:sz w:val="28"/>
        </w:rPr>
      </w:pPr>
      <w:r>
        <w:rPr>
          <w:b/>
          <w:iCs/>
          <w:sz w:val="28"/>
        </w:rPr>
        <w:br w:type="page"/>
      </w:r>
    </w:p>
    <w:p w14:paraId="2042396A" w14:textId="0E60F45A" w:rsidR="00D856A9" w:rsidRPr="003E78D9" w:rsidRDefault="003D6429" w:rsidP="00B8566F">
      <w:pPr>
        <w:spacing w:line="480" w:lineRule="auto"/>
        <w:rPr>
          <w:b/>
          <w:iCs/>
          <w:sz w:val="28"/>
        </w:rPr>
      </w:pPr>
      <w:r w:rsidRPr="003E78D9">
        <w:rPr>
          <w:b/>
          <w:iCs/>
          <w:sz w:val="28"/>
        </w:rPr>
        <w:lastRenderedPageBreak/>
        <w:t xml:space="preserve">Supplementary </w:t>
      </w:r>
      <w:r w:rsidR="006B6B68" w:rsidRPr="003E78D9">
        <w:rPr>
          <w:b/>
          <w:iCs/>
          <w:sz w:val="28"/>
        </w:rPr>
        <w:t>Results</w:t>
      </w:r>
    </w:p>
    <w:p w14:paraId="16B9B12D" w14:textId="0449242F" w:rsidR="003D6429" w:rsidRPr="003D6429" w:rsidRDefault="003D6429" w:rsidP="00B8566F">
      <w:pPr>
        <w:spacing w:line="480" w:lineRule="auto"/>
        <w:rPr>
          <w:b/>
          <w:i/>
        </w:rPr>
      </w:pPr>
      <w:r w:rsidRPr="003D6429">
        <w:rPr>
          <w:b/>
          <w:i/>
        </w:rPr>
        <w:t>Baseline</w:t>
      </w:r>
    </w:p>
    <w:p w14:paraId="6B0DEF2A" w14:textId="19873A13" w:rsidR="00DC7F52" w:rsidRDefault="00FD13A2" w:rsidP="00DC7F52">
      <w:pPr>
        <w:keepNext/>
        <w:spacing w:line="480" w:lineRule="auto"/>
      </w:pPr>
      <w:r w:rsidRPr="00FD13A2">
        <w:t xml:space="preserve">Among the 40 GBA-PD patients, 19 (47.5%) carried a severe mutation, and 12 (30%) carried a mild mutation. Two patients (5%) had biallelic variants (one mild and one severe): in one case, both variants were located on the same chromosome (in </w:t>
      </w:r>
      <w:r w:rsidRPr="00FD13A2">
        <w:rPr>
          <w:i/>
          <w:iCs/>
        </w:rPr>
        <w:t>cis</w:t>
      </w:r>
      <w:r w:rsidRPr="00FD13A2">
        <w:t xml:space="preserve">); in the other, the variants were on homologous chromosomes (in </w:t>
      </w:r>
      <w:r w:rsidRPr="00FD13A2">
        <w:rPr>
          <w:i/>
          <w:iCs/>
        </w:rPr>
        <w:t>trans</w:t>
      </w:r>
      <w:r w:rsidRPr="00FD13A2">
        <w:t>)</w:t>
      </w:r>
      <w:r>
        <w:t xml:space="preserve">: </w:t>
      </w:r>
      <w:r w:rsidRPr="00FD13A2">
        <w:t>this patient was diagnosed with Gaucher Disease type 1 and treated with eliglustat. Additionally, 5 patients (12.5%) carried a risk variant, while in 3 cases (7.5%), the severity of the GBA variant could not be determined and was classified as ‘unknown’.</w:t>
      </w:r>
      <w:r w:rsidR="00547175" w:rsidRPr="00547175">
        <w:t xml:space="preserve"> See </w:t>
      </w:r>
      <w:r w:rsidR="00547175" w:rsidRPr="00547175">
        <w:rPr>
          <w:b/>
          <w:bCs/>
        </w:rPr>
        <w:t>Supplementary Table 1</w:t>
      </w:r>
      <w:r w:rsidR="00547175" w:rsidRPr="00547175">
        <w:t xml:space="preserve"> for details.</w:t>
      </w:r>
    </w:p>
    <w:p w14:paraId="562BC2A9" w14:textId="3F138624" w:rsidR="00A726C5" w:rsidRPr="00D77725" w:rsidRDefault="00A726C5" w:rsidP="00BF2FBC">
      <w:pPr>
        <w:keepNext/>
        <w:spacing w:line="480" w:lineRule="auto"/>
        <w:ind w:firstLine="708"/>
      </w:pPr>
      <w:r w:rsidRPr="00D77725">
        <w:t>At onset, GBA-PD had younger age and more frequently presented with NMS than noncarriers. Baseline assessment was performed 1.5±2.4 months before LCIG initiation. GBA-PD were younger by about 6 years and had shorter disease duration than noncarriers. Severity of motor and non-motor aspects of daily living, motor signs and complications (motor fluctuations and dyskinesias) were similar according to MDS-UPDRS from part I to IV and HY stage (</w:t>
      </w:r>
      <w:r w:rsidRPr="00D77725">
        <w:rPr>
          <w:b/>
          <w:bCs/>
        </w:rPr>
        <w:t>Table 1</w:t>
      </w:r>
      <w:r w:rsidRPr="00D77725">
        <w:t xml:space="preserve">). </w:t>
      </w:r>
    </w:p>
    <w:p w14:paraId="67D7A55C" w14:textId="7BB8ED0D" w:rsidR="00A726C5" w:rsidRDefault="00A726C5" w:rsidP="00A726C5">
      <w:pPr>
        <w:widowControl w:val="0"/>
        <w:spacing w:line="480" w:lineRule="auto"/>
        <w:ind w:firstLine="708"/>
      </w:pPr>
      <w:r w:rsidRPr="00D77725">
        <w:t xml:space="preserve">At LCIG initiation, approximately half of GBA-PD were diagnosed with either MCI or dementia and had significantly worse global cognition (MoCA score) and frontal-lobe abilities (FAB score) than noncarriers. GBA-PD also had more frequent hallucinations and psychosis than noncarriers. Dopaminergic medications and total LED were similar between the two groups; among non-dopaminergic medications, antipsychotics were more common in GBA-PD. </w:t>
      </w:r>
    </w:p>
    <w:p w14:paraId="654D2697" w14:textId="4E9EA502" w:rsidR="000B12E4" w:rsidRPr="000E75E4" w:rsidRDefault="00BF2FBC" w:rsidP="000B12E4">
      <w:pPr>
        <w:widowControl w:val="0"/>
        <w:spacing w:line="480" w:lineRule="auto"/>
        <w:ind w:firstLine="708"/>
      </w:pPr>
      <w:r w:rsidRPr="000E75E4">
        <w:t xml:space="preserve">We additionally explored potential differences between patients who underwent genetic testing (merging data </w:t>
      </w:r>
      <w:r w:rsidR="008146EF">
        <w:t>from</w:t>
      </w:r>
      <w:r w:rsidRPr="000E75E4">
        <w:t xml:space="preserve"> GBD-PD </w:t>
      </w:r>
      <w:r w:rsidRPr="000E75E4">
        <w:rPr>
          <w:i/>
        </w:rPr>
        <w:t>plus</w:t>
      </w:r>
      <w:r w:rsidRPr="000E75E4">
        <w:t xml:space="preserve"> noncarriers, n=306) and those who did not (Genetic Status Not Available, n=206)</w:t>
      </w:r>
      <w:r w:rsidR="000B12E4" w:rsidRPr="000E75E4">
        <w:t xml:space="preserve"> by applying a threshold of p-value &lt;0.05</w:t>
      </w:r>
      <w:r w:rsidRPr="000E75E4">
        <w:t xml:space="preserve">. </w:t>
      </w:r>
      <w:r w:rsidR="00185219" w:rsidRPr="000E75E4">
        <w:t xml:space="preserve">Compared to those whose genetic testing was </w:t>
      </w:r>
      <w:r w:rsidR="000B12E4" w:rsidRPr="000E75E4">
        <w:t xml:space="preserve">not </w:t>
      </w:r>
      <w:r w:rsidR="00185219" w:rsidRPr="000E75E4">
        <w:t xml:space="preserve">available, those </w:t>
      </w:r>
      <w:r w:rsidR="000B12E4" w:rsidRPr="000E75E4">
        <w:t xml:space="preserve">who </w:t>
      </w:r>
      <w:r w:rsidR="000E75E4" w:rsidRPr="000E75E4">
        <w:t xml:space="preserve">underwent genetic </w:t>
      </w:r>
      <w:r w:rsidR="000B12E4" w:rsidRPr="000E75E4">
        <w:t>test</w:t>
      </w:r>
      <w:r w:rsidR="000E75E4" w:rsidRPr="000E75E4">
        <w:t>ing</w:t>
      </w:r>
      <w:r w:rsidR="000B12E4" w:rsidRPr="000E75E4">
        <w:t xml:space="preserve"> had: </w:t>
      </w:r>
      <w:r w:rsidR="000E75E4" w:rsidRPr="000E75E4">
        <w:t>(</w:t>
      </w:r>
      <w:proofErr w:type="spellStart"/>
      <w:r w:rsidR="000E75E4" w:rsidRPr="000E75E4">
        <w:t>i</w:t>
      </w:r>
      <w:proofErr w:type="spellEnd"/>
      <w:r w:rsidR="000E75E4" w:rsidRPr="000E75E4">
        <w:t xml:space="preserve">) </w:t>
      </w:r>
      <w:r w:rsidR="000B12E4" w:rsidRPr="000E75E4">
        <w:t>lower frequency of tremor-dominant motor phenotype (39.2% vs. 51%</w:t>
      </w:r>
      <w:r w:rsidR="000E75E4" w:rsidRPr="000E75E4">
        <w:t>, p=0.011</w:t>
      </w:r>
      <w:r w:rsidR="000B12E4" w:rsidRPr="000E75E4">
        <w:t xml:space="preserve">); </w:t>
      </w:r>
      <w:r w:rsidR="000E75E4" w:rsidRPr="000E75E4">
        <w:t xml:space="preserve">(ii) </w:t>
      </w:r>
      <w:r w:rsidR="000B12E4" w:rsidRPr="000E75E4">
        <w:t>younger age at LCIG initiation (mean 66.3 vs. 68.1 years</w:t>
      </w:r>
      <w:r w:rsidR="000E75E4" w:rsidRPr="000E75E4">
        <w:t>, p=0.015</w:t>
      </w:r>
      <w:r w:rsidR="000B12E4" w:rsidRPr="000E75E4">
        <w:t xml:space="preserve">); </w:t>
      </w:r>
      <w:r w:rsidR="000E75E4" w:rsidRPr="000E75E4">
        <w:t xml:space="preserve">(iii) </w:t>
      </w:r>
      <w:r w:rsidR="000B12E4" w:rsidRPr="000E75E4">
        <w:t>greater mean MDS-UPDRS part IV scores</w:t>
      </w:r>
      <w:r w:rsidR="000E75E4" w:rsidRPr="000E75E4">
        <w:t xml:space="preserve"> (10.4 vs. 9.0, </w:t>
      </w:r>
      <w:r w:rsidR="000E75E4" w:rsidRPr="000E75E4">
        <w:lastRenderedPageBreak/>
        <w:t>p&lt;0.001)</w:t>
      </w:r>
      <w:r w:rsidR="000B12E4" w:rsidRPr="000E75E4">
        <w:t xml:space="preserve">, </w:t>
      </w:r>
      <w:r w:rsidR="000E75E4" w:rsidRPr="000E75E4">
        <w:t xml:space="preserve">mostly due </w:t>
      </w:r>
      <w:r w:rsidR="000B12E4" w:rsidRPr="000E75E4">
        <w:t>to OFF-state (7.2 vs. 6.2</w:t>
      </w:r>
      <w:r w:rsidR="000E75E4" w:rsidRPr="000E75E4">
        <w:t>, p&lt;0.001</w:t>
      </w:r>
      <w:r w:rsidR="000B12E4" w:rsidRPr="000E75E4">
        <w:t xml:space="preserve">); </w:t>
      </w:r>
      <w:r w:rsidR="000E75E4" w:rsidRPr="000E75E4">
        <w:t xml:space="preserve">(iv) greater mean MDS-UPDRS scores related to pain (1.9 vs. 1.1, p&lt;0.001), (v) less frequent freezing of gait (56.2% vs 76.7%, p&lt;0.001) and posture abnormalities (27.5% vs 40.8%, p=0.002).  </w:t>
      </w:r>
    </w:p>
    <w:p w14:paraId="12276B46" w14:textId="77777777" w:rsidR="003D6429" w:rsidRDefault="003D6429" w:rsidP="003D6429">
      <w:pPr>
        <w:pStyle w:val="Paragrafoelenco"/>
        <w:widowControl w:val="0"/>
        <w:spacing w:line="480" w:lineRule="auto"/>
        <w:ind w:left="0"/>
        <w:rPr>
          <w:i/>
        </w:rPr>
      </w:pPr>
    </w:p>
    <w:p w14:paraId="45726E5C" w14:textId="77777777" w:rsidR="0038272E" w:rsidRDefault="003D6429" w:rsidP="003D6429">
      <w:pPr>
        <w:pStyle w:val="Paragrafoelenco"/>
        <w:widowControl w:val="0"/>
        <w:spacing w:line="480" w:lineRule="auto"/>
        <w:ind w:left="0"/>
        <w:rPr>
          <w:b/>
          <w:bCs/>
          <w:i/>
        </w:rPr>
      </w:pPr>
      <w:r>
        <w:rPr>
          <w:b/>
          <w:bCs/>
          <w:i/>
        </w:rPr>
        <w:t>Efficacy of LCIG</w:t>
      </w:r>
    </w:p>
    <w:p w14:paraId="584C1796" w14:textId="2A978825" w:rsidR="003D6429" w:rsidRPr="00D77725" w:rsidRDefault="0038272E" w:rsidP="003D6429">
      <w:pPr>
        <w:pStyle w:val="Paragrafoelenco"/>
        <w:widowControl w:val="0"/>
        <w:spacing w:line="480" w:lineRule="auto"/>
        <w:ind w:left="0"/>
        <w:rPr>
          <w:i/>
        </w:rPr>
      </w:pPr>
      <w:r w:rsidRPr="0038272E">
        <w:rPr>
          <w:i/>
        </w:rPr>
        <w:t>E</w:t>
      </w:r>
      <w:r w:rsidR="003D6429" w:rsidRPr="0038272E">
        <w:rPr>
          <w:i/>
        </w:rPr>
        <w:t>ntire PD population</w:t>
      </w:r>
      <w:r w:rsidRPr="0038272E">
        <w:rPr>
          <w:i/>
        </w:rPr>
        <w:t>.</w:t>
      </w:r>
      <w:r>
        <w:rPr>
          <w:b/>
          <w:bCs/>
          <w:i/>
        </w:rPr>
        <w:t xml:space="preserve"> </w:t>
      </w:r>
      <w:bookmarkStart w:id="1" w:name="_Hlk180777666"/>
      <w:r w:rsidR="003D6429" w:rsidRPr="00D77725">
        <w:t xml:space="preserve">At 1-year follow-up, data were available for 481 patients, of whom 252 noncarriers and 38 GBA-PD subjects and 191 with undetermined </w:t>
      </w:r>
      <w:r w:rsidR="003D6429" w:rsidRPr="00D77725">
        <w:rPr>
          <w:i/>
        </w:rPr>
        <w:t>GBA1</w:t>
      </w:r>
      <w:r w:rsidR="003D6429" w:rsidRPr="00D77725">
        <w:t xml:space="preserve"> mutation status (</w:t>
      </w:r>
      <w:r w:rsidR="003D6429" w:rsidRPr="00D77725">
        <w:rPr>
          <w:b/>
        </w:rPr>
        <w:t xml:space="preserve">Table </w:t>
      </w:r>
      <w:r w:rsidR="00650DBA">
        <w:rPr>
          <w:b/>
        </w:rPr>
        <w:t>4</w:t>
      </w:r>
      <w:r w:rsidR="003D6429" w:rsidRPr="00D77725">
        <w:t xml:space="preserve">). </w:t>
      </w:r>
      <w:bookmarkEnd w:id="1"/>
      <w:r w:rsidR="003D6429" w:rsidRPr="00D77725">
        <w:t xml:space="preserve">LCIG improved all MDS-UPDRS scores from part I to part IV, particularly part IV </w:t>
      </w:r>
      <w:proofErr w:type="spellStart"/>
      <w:r w:rsidR="003D6429" w:rsidRPr="00D77725">
        <w:t>subscores</w:t>
      </w:r>
      <w:proofErr w:type="spellEnd"/>
      <w:r w:rsidR="003D6429" w:rsidRPr="00D77725">
        <w:t xml:space="preserve"> for motor fluctuations and dyskinesias, including complex/biphasic dyskinesias (</w:t>
      </w:r>
      <w:r w:rsidR="003D6429" w:rsidRPr="00D77725">
        <w:rPr>
          <w:b/>
        </w:rPr>
        <w:t xml:space="preserve">Table </w:t>
      </w:r>
      <w:r w:rsidR="00650DBA">
        <w:rPr>
          <w:b/>
        </w:rPr>
        <w:t>4</w:t>
      </w:r>
      <w:r w:rsidR="003D6429" w:rsidRPr="00D77725">
        <w:t xml:space="preserve">). Among axial complications, FOG and frequent falls improved, whereas postural instability and dysphagia did not change. Overall, the dopaminergic deficiency score improved during LCIG, while the non-dopaminergic deficiency score worsened over time. The frequency of PD patients diagnosed with either MCI or dementia increased at 1-year follow-up, as additionally reflected worse MoCA and FAB scores. The prevalence of hallucinations, psychosis and ICD was reduced, as well as MDS-UPDRS scores related to depression/anxiety and pain. PNP was recorded in 69/512 (13.5%) patients at baseline and, at 1-year follow-up, had developed in 25/481 (5.2%) patients. LCIG was associated with a reduction of all concomitant oral PD medications (DAs, </w:t>
      </w:r>
      <w:proofErr w:type="spellStart"/>
      <w:r w:rsidR="003D6429" w:rsidRPr="00D77725">
        <w:t>iMAO</w:t>
      </w:r>
      <w:proofErr w:type="spellEnd"/>
      <w:r w:rsidR="003D6429" w:rsidRPr="00D77725">
        <w:t xml:space="preserve">-B, </w:t>
      </w:r>
      <w:proofErr w:type="spellStart"/>
      <w:r w:rsidR="003D6429" w:rsidRPr="00D77725">
        <w:t>iCOMT</w:t>
      </w:r>
      <w:proofErr w:type="spellEnd"/>
      <w:r w:rsidR="003D6429" w:rsidRPr="00D77725">
        <w:t>, amantadine) but an overall increase of total LED (</w:t>
      </w:r>
      <w:r w:rsidR="003D6429" w:rsidRPr="00D77725">
        <w:rPr>
          <w:b/>
        </w:rPr>
        <w:t xml:space="preserve">Table </w:t>
      </w:r>
      <w:r w:rsidR="00650DBA">
        <w:rPr>
          <w:b/>
        </w:rPr>
        <w:t>4</w:t>
      </w:r>
      <w:r w:rsidR="003D6429" w:rsidRPr="00D77725">
        <w:t>).</w:t>
      </w:r>
    </w:p>
    <w:p w14:paraId="16D4104C" w14:textId="7F9E30CE" w:rsidR="003D6429" w:rsidRDefault="003D6429" w:rsidP="003D6429">
      <w:pPr>
        <w:widowControl w:val="0"/>
        <w:spacing w:line="480" w:lineRule="auto"/>
        <w:ind w:firstLine="426"/>
      </w:pPr>
      <w:bookmarkStart w:id="2" w:name="_Hlk180777552"/>
      <w:r w:rsidRPr="00D77725">
        <w:t xml:space="preserve">At 5-year follow-up, </w:t>
      </w:r>
      <w:bookmarkEnd w:id="2"/>
      <w:r w:rsidRPr="00D77725">
        <w:t xml:space="preserve">MDS-UPDRS parts I, II, III (including composite dopaminergic and non-dopaminergic deficiency scores) and HY stage significantly deteriorated compared to the 1-year assessment </w:t>
      </w:r>
      <w:r w:rsidR="00B71E25">
        <w:t>i</w:t>
      </w:r>
      <w:r w:rsidR="00B71E25" w:rsidRPr="00D77725">
        <w:t xml:space="preserve">n the entire PD population </w:t>
      </w:r>
      <w:r w:rsidRPr="00D77725">
        <w:t>(</w:t>
      </w:r>
      <w:r w:rsidRPr="00D77725">
        <w:rPr>
          <w:i/>
          <w:iCs/>
        </w:rPr>
        <w:t>p</w:t>
      </w:r>
      <w:r w:rsidRPr="00D77725">
        <w:t xml:space="preserve">&lt;0.001 for all). On the other hand, MDS-UPDRS part IV scores -particularly the </w:t>
      </w:r>
      <w:proofErr w:type="spellStart"/>
      <w:r w:rsidRPr="00D77725">
        <w:t>subscores</w:t>
      </w:r>
      <w:proofErr w:type="spellEnd"/>
      <w:r w:rsidRPr="00D77725">
        <w:t xml:space="preserve"> related to motor fluctuations- remained significantly improved compared to baseline (</w:t>
      </w:r>
      <w:r w:rsidRPr="00D77725">
        <w:rPr>
          <w:i/>
          <w:iCs/>
        </w:rPr>
        <w:t>p</w:t>
      </w:r>
      <w:r w:rsidRPr="00D77725">
        <w:t>&lt;0.001 for all). All non-motor and non-levodopa-responsive symptoms worsened over time in terms of both prevalence and severity (</w:t>
      </w:r>
      <w:r w:rsidRPr="00D77725">
        <w:rPr>
          <w:i/>
          <w:iCs/>
        </w:rPr>
        <w:t>p</w:t>
      </w:r>
      <w:r w:rsidRPr="00D77725">
        <w:t>&lt;0.001). Total LED of dopaminergic medications were higher than baseline but remained unchanged between 1-year and 5-year follow-up, whereas concomitant antipsychotics and anti-OH drugs increased (</w:t>
      </w:r>
      <w:r w:rsidRPr="00D77725">
        <w:rPr>
          <w:b/>
        </w:rPr>
        <w:t xml:space="preserve">Supplementary Table </w:t>
      </w:r>
      <w:r w:rsidR="00650DBA">
        <w:rPr>
          <w:b/>
        </w:rPr>
        <w:t>2</w:t>
      </w:r>
      <w:r w:rsidRPr="00D77725">
        <w:t>).</w:t>
      </w:r>
    </w:p>
    <w:p w14:paraId="2EA40998" w14:textId="0F9A434A" w:rsidR="009D703D" w:rsidRPr="003E78D9" w:rsidRDefault="009D703D" w:rsidP="009D703D">
      <w:pPr>
        <w:widowControl w:val="0"/>
        <w:spacing w:line="480" w:lineRule="auto"/>
        <w:rPr>
          <w:b/>
          <w:sz w:val="28"/>
        </w:rPr>
      </w:pPr>
      <w:r w:rsidRPr="003E78D9">
        <w:rPr>
          <w:b/>
          <w:sz w:val="28"/>
        </w:rPr>
        <w:lastRenderedPageBreak/>
        <w:t>References.</w:t>
      </w:r>
    </w:p>
    <w:p w14:paraId="269F0B03" w14:textId="360E3B23" w:rsidR="009D703D" w:rsidRPr="009A6ECC" w:rsidRDefault="009D703D" w:rsidP="009D703D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color w:val="FF0000"/>
        </w:rPr>
      </w:pPr>
      <w:r w:rsidRPr="009D703D">
        <w:rPr>
          <w:rFonts w:eastAsia="Calibri"/>
        </w:rPr>
        <w:t>1</w:t>
      </w:r>
      <w:r w:rsidR="0087516E">
        <w:rPr>
          <w:rFonts w:eastAsia="Calibri"/>
        </w:rPr>
        <w:t>.</w:t>
      </w:r>
      <w:r w:rsidRPr="009A6ECC">
        <w:rPr>
          <w:rFonts w:eastAsia="Calibri"/>
          <w:color w:val="FF0000"/>
        </w:rPr>
        <w:t xml:space="preserve"> </w:t>
      </w:r>
      <w:r w:rsidRPr="009A6ECC">
        <w:rPr>
          <w:rFonts w:eastAsia="Calibri"/>
        </w:rPr>
        <w:t xml:space="preserve">Goetz CG, Tilley BC, </w:t>
      </w:r>
      <w:proofErr w:type="spellStart"/>
      <w:r w:rsidRPr="009A6ECC">
        <w:rPr>
          <w:rFonts w:eastAsia="Calibri"/>
        </w:rPr>
        <w:t>Shaftman</w:t>
      </w:r>
      <w:proofErr w:type="spellEnd"/>
      <w:r w:rsidRPr="009A6ECC">
        <w:rPr>
          <w:rFonts w:eastAsia="Calibri"/>
        </w:rPr>
        <w:t xml:space="preserve"> SR, et al. Movement disorder society sponsored revision of the unified Parkinson’s disease rating scale (MDS-UPDRS): scale presentation and </w:t>
      </w:r>
      <w:proofErr w:type="spellStart"/>
      <w:r w:rsidRPr="009A6ECC">
        <w:rPr>
          <w:rFonts w:eastAsia="Calibri"/>
        </w:rPr>
        <w:t>clinimetric</w:t>
      </w:r>
      <w:proofErr w:type="spellEnd"/>
      <w:r w:rsidRPr="009A6ECC">
        <w:rPr>
          <w:rFonts w:eastAsia="Calibri"/>
        </w:rPr>
        <w:t xml:space="preserve"> testing results. Mov </w:t>
      </w:r>
      <w:proofErr w:type="spellStart"/>
      <w:r w:rsidRPr="009A6ECC">
        <w:rPr>
          <w:rFonts w:eastAsia="Calibri"/>
        </w:rPr>
        <w:t>Disord</w:t>
      </w:r>
      <w:proofErr w:type="spellEnd"/>
      <w:r w:rsidRPr="009A6ECC">
        <w:rPr>
          <w:rFonts w:eastAsia="Calibri"/>
        </w:rPr>
        <w:t xml:space="preserve"> 2008;23:2129–2170</w:t>
      </w:r>
      <w:r w:rsidRPr="009A6ECC">
        <w:rPr>
          <w:rFonts w:eastAsia="Calibri"/>
          <w:color w:val="FF0000"/>
        </w:rPr>
        <w:t>.</w:t>
      </w:r>
    </w:p>
    <w:p w14:paraId="3E7627F7" w14:textId="151D657F" w:rsidR="009D703D" w:rsidRPr="009A6ECC" w:rsidRDefault="009D703D" w:rsidP="009D703D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color w:val="FF0000"/>
        </w:rPr>
      </w:pPr>
      <w:r w:rsidRPr="009D703D">
        <w:rPr>
          <w:rFonts w:eastAsia="Calibri"/>
        </w:rPr>
        <w:t>2</w:t>
      </w:r>
      <w:r w:rsidR="0087516E">
        <w:rPr>
          <w:rFonts w:eastAsia="Calibri"/>
        </w:rPr>
        <w:t>.</w:t>
      </w:r>
      <w:r w:rsidRPr="009A6ECC">
        <w:rPr>
          <w:rFonts w:eastAsia="Calibri"/>
          <w:color w:val="FF0000"/>
        </w:rPr>
        <w:t xml:space="preserve"> </w:t>
      </w:r>
      <w:proofErr w:type="spellStart"/>
      <w:r w:rsidRPr="009A6ECC">
        <w:rPr>
          <w:rFonts w:eastAsia="Calibri"/>
        </w:rPr>
        <w:t>Litvan</w:t>
      </w:r>
      <w:proofErr w:type="spellEnd"/>
      <w:r w:rsidRPr="009A6ECC">
        <w:rPr>
          <w:rFonts w:eastAsia="Calibri"/>
        </w:rPr>
        <w:t xml:space="preserve"> I, Aarsland D, Adler CH, et al. MDS Task Force on mild cognitive impairment in Parkinson's disease: critical review of PD-MCI. Mov </w:t>
      </w:r>
      <w:proofErr w:type="spellStart"/>
      <w:r w:rsidRPr="009A6ECC">
        <w:rPr>
          <w:rFonts w:eastAsia="Calibri"/>
        </w:rPr>
        <w:t>Disord</w:t>
      </w:r>
      <w:proofErr w:type="spellEnd"/>
      <w:r w:rsidRPr="009A6ECC">
        <w:rPr>
          <w:rFonts w:eastAsia="Calibri"/>
        </w:rPr>
        <w:t xml:space="preserve"> 2011;26(10):1814-24</w:t>
      </w:r>
      <w:r w:rsidRPr="009A6ECC">
        <w:rPr>
          <w:rFonts w:eastAsia="Calibri"/>
          <w:color w:val="FF0000"/>
        </w:rPr>
        <w:t>.</w:t>
      </w:r>
    </w:p>
    <w:p w14:paraId="55E7F935" w14:textId="517F4D43" w:rsidR="009D703D" w:rsidRPr="009A6ECC" w:rsidRDefault="009D703D" w:rsidP="009D703D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color w:val="FF0000"/>
        </w:rPr>
      </w:pPr>
      <w:r w:rsidRPr="009D703D">
        <w:rPr>
          <w:rFonts w:eastAsia="Calibri"/>
        </w:rPr>
        <w:t>3</w:t>
      </w:r>
      <w:r w:rsidR="0087516E">
        <w:rPr>
          <w:rFonts w:eastAsia="Calibri"/>
        </w:rPr>
        <w:t>.</w:t>
      </w:r>
      <w:r w:rsidRPr="009A6ECC">
        <w:rPr>
          <w:rFonts w:eastAsia="Calibri"/>
          <w:color w:val="FF0000"/>
        </w:rPr>
        <w:t xml:space="preserve"> </w:t>
      </w:r>
      <w:r w:rsidRPr="009A6ECC">
        <w:rPr>
          <w:rFonts w:eastAsia="Calibri"/>
        </w:rPr>
        <w:t xml:space="preserve">Emre M, Aarsland D, Brown R, et al. Clinical diagnostic criteria for dementia associated with Parkinson’s disease. Mov </w:t>
      </w:r>
      <w:proofErr w:type="spellStart"/>
      <w:r w:rsidRPr="009A6ECC">
        <w:rPr>
          <w:rFonts w:eastAsia="Calibri"/>
        </w:rPr>
        <w:t>Disord</w:t>
      </w:r>
      <w:proofErr w:type="spellEnd"/>
      <w:r w:rsidRPr="009A6ECC">
        <w:rPr>
          <w:rFonts w:eastAsia="Calibri"/>
        </w:rPr>
        <w:t xml:space="preserve"> 2007; 22(12):1689–1707</w:t>
      </w:r>
    </w:p>
    <w:p w14:paraId="3F505539" w14:textId="1BC3E5CC" w:rsidR="009D703D" w:rsidRPr="009A6ECC" w:rsidRDefault="009D703D" w:rsidP="009D703D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color w:val="FF0000"/>
        </w:rPr>
      </w:pPr>
      <w:r w:rsidRPr="009D703D">
        <w:rPr>
          <w:rFonts w:eastAsia="Calibri"/>
        </w:rPr>
        <w:t>4</w:t>
      </w:r>
      <w:r w:rsidR="0087516E">
        <w:rPr>
          <w:rFonts w:eastAsia="Calibri"/>
        </w:rPr>
        <w:t>.</w:t>
      </w:r>
      <w:r w:rsidRPr="009D703D">
        <w:rPr>
          <w:rFonts w:eastAsia="Calibri"/>
        </w:rPr>
        <w:t xml:space="preserve"> </w:t>
      </w:r>
      <w:r w:rsidRPr="009A6ECC">
        <w:rPr>
          <w:rFonts w:eastAsia="Calibri"/>
        </w:rPr>
        <w:t>Levy G, Tang MX, Cote LJ, et al. Motor impairment in PD: relationship to incident dementia and age. Neurology 2000;55(4):539-44.</w:t>
      </w:r>
    </w:p>
    <w:p w14:paraId="07E245ED" w14:textId="45539083" w:rsidR="009D703D" w:rsidRPr="00985C24" w:rsidRDefault="009D703D" w:rsidP="009D703D">
      <w:pPr>
        <w:autoSpaceDE w:val="0"/>
        <w:autoSpaceDN w:val="0"/>
        <w:adjustRightInd w:val="0"/>
        <w:spacing w:line="480" w:lineRule="auto"/>
        <w:ind w:left="284" w:hanging="284"/>
        <w:rPr>
          <w:color w:val="FF0000"/>
          <w:lang w:val="it-IT"/>
        </w:rPr>
      </w:pPr>
      <w:r w:rsidRPr="009D703D">
        <w:t>5</w:t>
      </w:r>
      <w:r w:rsidR="0087516E">
        <w:t>.</w:t>
      </w:r>
      <w:r>
        <w:rPr>
          <w:color w:val="FF0000"/>
        </w:rPr>
        <w:t xml:space="preserve"> </w:t>
      </w:r>
      <w:r w:rsidRPr="009A6ECC">
        <w:t xml:space="preserve">van </w:t>
      </w:r>
      <w:proofErr w:type="spellStart"/>
      <w:r w:rsidRPr="009A6ECC">
        <w:t>Steenoven</w:t>
      </w:r>
      <w:proofErr w:type="spellEnd"/>
      <w:r w:rsidRPr="009A6ECC">
        <w:t xml:space="preserve"> I, Aarsland D, Hurtig H, et al. Conversion between mini-mental state examination, </w:t>
      </w:r>
      <w:proofErr w:type="spellStart"/>
      <w:r w:rsidRPr="009A6ECC">
        <w:t>montreal</w:t>
      </w:r>
      <w:proofErr w:type="spellEnd"/>
      <w:r w:rsidRPr="009A6ECC">
        <w:t xml:space="preserve"> cognitive assessment, and dementia rating scale-2 scores in Parkinson's disease. </w:t>
      </w:r>
      <w:proofErr w:type="spellStart"/>
      <w:r w:rsidRPr="00985C24">
        <w:rPr>
          <w:lang w:val="it-IT"/>
        </w:rPr>
        <w:t>Mov</w:t>
      </w:r>
      <w:proofErr w:type="spellEnd"/>
      <w:r w:rsidRPr="00985C24">
        <w:rPr>
          <w:lang w:val="it-IT"/>
        </w:rPr>
        <w:t xml:space="preserve"> </w:t>
      </w:r>
      <w:proofErr w:type="spellStart"/>
      <w:r w:rsidRPr="00985C24">
        <w:rPr>
          <w:lang w:val="it-IT"/>
        </w:rPr>
        <w:t>Disord</w:t>
      </w:r>
      <w:proofErr w:type="spellEnd"/>
      <w:r w:rsidRPr="00985C24">
        <w:rPr>
          <w:lang w:val="it-IT"/>
        </w:rPr>
        <w:t xml:space="preserve"> 2014; 29(14):1809-15.</w:t>
      </w:r>
    </w:p>
    <w:p w14:paraId="0EA13CE3" w14:textId="31DBBD6B" w:rsidR="009D703D" w:rsidRPr="009A6ECC" w:rsidRDefault="009D703D" w:rsidP="009D703D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color w:val="FF0000"/>
        </w:rPr>
      </w:pPr>
      <w:r w:rsidRPr="00985C24">
        <w:rPr>
          <w:rFonts w:eastAsia="Calibri"/>
          <w:lang w:val="it-IT"/>
        </w:rPr>
        <w:t>6</w:t>
      </w:r>
      <w:r w:rsidR="0087516E" w:rsidRPr="00985C24">
        <w:rPr>
          <w:rFonts w:eastAsia="Calibri"/>
          <w:lang w:val="it-IT"/>
        </w:rPr>
        <w:t>.</w:t>
      </w:r>
      <w:r w:rsidRPr="00985C24">
        <w:rPr>
          <w:rFonts w:eastAsia="Calibri"/>
          <w:color w:val="FF0000"/>
          <w:lang w:val="it-IT"/>
        </w:rPr>
        <w:t xml:space="preserve"> </w:t>
      </w:r>
      <w:r w:rsidRPr="00985C24">
        <w:rPr>
          <w:rFonts w:eastAsia="Calibri"/>
          <w:lang w:val="it-IT"/>
        </w:rPr>
        <w:t xml:space="preserve">Cilia R, Cereda E, Piatti M, et al. </w:t>
      </w:r>
      <w:r w:rsidRPr="009A6ECC">
        <w:rPr>
          <w:rFonts w:eastAsia="Calibri"/>
        </w:rPr>
        <w:t xml:space="preserve">Levodopa Equivalent Dose of Safinamide: A Multicenter, Longitudinal, Case-Control Study. Mov </w:t>
      </w:r>
      <w:proofErr w:type="spellStart"/>
      <w:r w:rsidRPr="009A6ECC">
        <w:rPr>
          <w:rFonts w:eastAsia="Calibri"/>
        </w:rPr>
        <w:t>Disord</w:t>
      </w:r>
      <w:proofErr w:type="spellEnd"/>
      <w:r w:rsidRPr="009A6ECC">
        <w:rPr>
          <w:rFonts w:eastAsia="Calibri"/>
        </w:rPr>
        <w:t xml:space="preserve"> Clin </w:t>
      </w:r>
      <w:proofErr w:type="spellStart"/>
      <w:r w:rsidRPr="009A6ECC">
        <w:rPr>
          <w:rFonts w:eastAsia="Calibri"/>
        </w:rPr>
        <w:t>Pract</w:t>
      </w:r>
      <w:proofErr w:type="spellEnd"/>
      <w:r w:rsidRPr="009A6ECC">
        <w:rPr>
          <w:rFonts w:eastAsia="Calibri"/>
        </w:rPr>
        <w:t xml:space="preserve"> 2023;10(4):625-635. </w:t>
      </w:r>
    </w:p>
    <w:p w14:paraId="119EAF1E" w14:textId="60B68C06" w:rsidR="00650DBA" w:rsidRDefault="009D703D" w:rsidP="00650DBA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</w:rPr>
      </w:pPr>
      <w:r w:rsidRPr="009D703D">
        <w:rPr>
          <w:rFonts w:eastAsia="Calibri"/>
        </w:rPr>
        <w:t>7</w:t>
      </w:r>
      <w:r w:rsidR="0087516E">
        <w:rPr>
          <w:rFonts w:eastAsia="Calibri"/>
        </w:rPr>
        <w:t>.</w:t>
      </w:r>
      <w:r>
        <w:rPr>
          <w:rFonts w:eastAsia="Calibri"/>
          <w:color w:val="FF0000"/>
        </w:rPr>
        <w:t xml:space="preserve"> </w:t>
      </w:r>
      <w:r w:rsidRPr="009A6ECC">
        <w:rPr>
          <w:rFonts w:eastAsia="Calibri"/>
        </w:rPr>
        <w:t xml:space="preserve">Jost ST, </w:t>
      </w:r>
      <w:proofErr w:type="spellStart"/>
      <w:r w:rsidRPr="009A6ECC">
        <w:rPr>
          <w:rFonts w:eastAsia="Calibri"/>
        </w:rPr>
        <w:t>Kaldenbach</w:t>
      </w:r>
      <w:proofErr w:type="spellEnd"/>
      <w:r w:rsidRPr="009A6ECC">
        <w:rPr>
          <w:rFonts w:eastAsia="Calibri"/>
        </w:rPr>
        <w:t xml:space="preserve"> MA, Antonini A, et al. Levodopa Dose Equivalency in Parkinson's Disease: Updated Systematic Review and Proposals.</w:t>
      </w:r>
      <w:r w:rsidR="00650DBA">
        <w:rPr>
          <w:rFonts w:eastAsia="Calibri"/>
        </w:rPr>
        <w:t xml:space="preserve"> Mov </w:t>
      </w:r>
      <w:proofErr w:type="spellStart"/>
      <w:r w:rsidR="00650DBA">
        <w:rPr>
          <w:rFonts w:eastAsia="Calibri"/>
        </w:rPr>
        <w:t>Disord</w:t>
      </w:r>
      <w:proofErr w:type="spellEnd"/>
      <w:r w:rsidR="00650DBA">
        <w:rPr>
          <w:rFonts w:eastAsia="Calibri"/>
        </w:rPr>
        <w:t xml:space="preserve"> 2023;38(7):1236-125.</w:t>
      </w:r>
    </w:p>
    <w:p w14:paraId="46E7F100" w14:textId="0B6DE2B3" w:rsidR="009D703D" w:rsidRDefault="009D703D" w:rsidP="00650DBA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color w:val="212121"/>
        </w:rPr>
      </w:pPr>
      <w:r w:rsidRPr="009D703D">
        <w:t>8.</w:t>
      </w:r>
      <w:r>
        <w:rPr>
          <w:b/>
        </w:rPr>
        <w:t xml:space="preserve"> </w:t>
      </w:r>
      <w:proofErr w:type="spellStart"/>
      <w:r w:rsidRPr="009A6ECC">
        <w:rPr>
          <w:rFonts w:eastAsia="Calibri"/>
          <w:color w:val="212121"/>
        </w:rPr>
        <w:t>Sidransky</w:t>
      </w:r>
      <w:proofErr w:type="spellEnd"/>
      <w:r w:rsidRPr="009A6ECC">
        <w:rPr>
          <w:rFonts w:eastAsia="Calibri"/>
          <w:color w:val="212121"/>
        </w:rPr>
        <w:t xml:space="preserve"> E, Nalls MA, </w:t>
      </w:r>
      <w:proofErr w:type="spellStart"/>
      <w:r w:rsidRPr="009A6ECC">
        <w:rPr>
          <w:rFonts w:eastAsia="Calibri"/>
          <w:color w:val="212121"/>
        </w:rPr>
        <w:t>Aasly</w:t>
      </w:r>
      <w:proofErr w:type="spellEnd"/>
      <w:r w:rsidRPr="009A6ECC">
        <w:rPr>
          <w:rFonts w:eastAsia="Calibri"/>
          <w:color w:val="212121"/>
        </w:rPr>
        <w:t xml:space="preserve"> JO, et al. Multicenter analysis of </w:t>
      </w:r>
      <w:r w:rsidR="00650DBA">
        <w:rPr>
          <w:rFonts w:eastAsia="Calibri"/>
          <w:color w:val="212121"/>
        </w:rPr>
        <w:t xml:space="preserve">glucocerebrosidase mutations in </w:t>
      </w:r>
      <w:r w:rsidRPr="009A6ECC">
        <w:rPr>
          <w:rFonts w:eastAsia="Calibri"/>
          <w:color w:val="212121"/>
        </w:rPr>
        <w:t>Parkinson's disease. N Engl J Med 2009;361(17):1651-61.</w:t>
      </w:r>
    </w:p>
    <w:p w14:paraId="617D5E46" w14:textId="60FA834F" w:rsidR="00D86C97" w:rsidRPr="00D86C97" w:rsidRDefault="00D86C97" w:rsidP="00D86C97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lang w:val="it-IT"/>
        </w:rPr>
      </w:pPr>
      <w:r w:rsidRPr="00D86C97">
        <w:rPr>
          <w:rFonts w:eastAsia="Calibri"/>
        </w:rPr>
        <w:t xml:space="preserve">9. Stoker TB, Camacho M, Winder-Rhodes S, et al. Impact of GBA1 variants on long-term clinical progression and mortality in incident Parkinson's disease. </w:t>
      </w:r>
      <w:r w:rsidRPr="00D86C97">
        <w:rPr>
          <w:rFonts w:eastAsia="Calibri"/>
          <w:lang w:val="it-IT"/>
        </w:rPr>
        <w:t xml:space="preserve">J </w:t>
      </w:r>
      <w:proofErr w:type="spellStart"/>
      <w:r w:rsidRPr="00D86C97">
        <w:rPr>
          <w:rFonts w:eastAsia="Calibri"/>
          <w:lang w:val="it-IT"/>
        </w:rPr>
        <w:t>Neurol</w:t>
      </w:r>
      <w:proofErr w:type="spellEnd"/>
      <w:r w:rsidRPr="00D86C97">
        <w:rPr>
          <w:rFonts w:eastAsia="Calibri"/>
          <w:lang w:val="it-IT"/>
        </w:rPr>
        <w:t xml:space="preserve"> </w:t>
      </w:r>
      <w:proofErr w:type="spellStart"/>
      <w:r w:rsidRPr="00D86C97">
        <w:rPr>
          <w:rFonts w:eastAsia="Calibri"/>
          <w:lang w:val="it-IT"/>
        </w:rPr>
        <w:t>Neurosurg</w:t>
      </w:r>
      <w:proofErr w:type="spellEnd"/>
      <w:r w:rsidRPr="00D86C97">
        <w:rPr>
          <w:rFonts w:eastAsia="Calibri"/>
          <w:lang w:val="it-IT"/>
        </w:rPr>
        <w:t xml:space="preserve"> </w:t>
      </w:r>
      <w:proofErr w:type="spellStart"/>
      <w:r w:rsidRPr="00D86C97">
        <w:rPr>
          <w:rFonts w:eastAsia="Calibri"/>
          <w:lang w:val="it-IT"/>
        </w:rPr>
        <w:t>Psychiatry</w:t>
      </w:r>
      <w:proofErr w:type="spellEnd"/>
      <w:r w:rsidRPr="00D86C97">
        <w:rPr>
          <w:rFonts w:eastAsia="Calibri"/>
          <w:lang w:val="it-IT"/>
        </w:rPr>
        <w:t xml:space="preserve"> 2020;91(7):695-702.</w:t>
      </w:r>
    </w:p>
    <w:p w14:paraId="760292E8" w14:textId="76613419" w:rsidR="00D86C97" w:rsidRDefault="00D86C97" w:rsidP="00D86C97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</w:rPr>
      </w:pPr>
      <w:r w:rsidRPr="00D86C97">
        <w:rPr>
          <w:rFonts w:eastAsia="Calibri"/>
          <w:lang w:val="it-IT"/>
        </w:rPr>
        <w:t xml:space="preserve">10. Petrucci S, Ginevrino M, Trezzi I, et al. </w:t>
      </w:r>
      <w:r w:rsidRPr="00D86C97">
        <w:rPr>
          <w:rFonts w:eastAsia="Calibri"/>
        </w:rPr>
        <w:t xml:space="preserve">GBA-Related Parkinson's Disease: Dissection of Genotype-Phenotype Correlates in a Large Italian Cohort. Mov </w:t>
      </w:r>
      <w:proofErr w:type="spellStart"/>
      <w:r w:rsidRPr="00D86C97">
        <w:rPr>
          <w:rFonts w:eastAsia="Calibri"/>
        </w:rPr>
        <w:t>Disord</w:t>
      </w:r>
      <w:proofErr w:type="spellEnd"/>
      <w:r w:rsidRPr="00D86C97">
        <w:rPr>
          <w:rFonts w:eastAsia="Calibri"/>
        </w:rPr>
        <w:t xml:space="preserve"> 2020;35(11):2106-2111</w:t>
      </w:r>
    </w:p>
    <w:p w14:paraId="5AF92FFB" w14:textId="703CEFA5" w:rsidR="00D86C97" w:rsidRPr="00646AA7" w:rsidRDefault="00D86C97" w:rsidP="00D86C97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  <w:lang w:val="it-IT"/>
        </w:rPr>
      </w:pPr>
      <w:r w:rsidRPr="00646AA7">
        <w:rPr>
          <w:rFonts w:eastAsia="Calibri"/>
        </w:rPr>
        <w:lastRenderedPageBreak/>
        <w:t xml:space="preserve">11. </w:t>
      </w:r>
      <w:r w:rsidR="00646AA7" w:rsidRPr="00646AA7">
        <w:rPr>
          <w:rFonts w:eastAsia="Calibri"/>
        </w:rPr>
        <w:t xml:space="preserve">Fernandez HH, Boyd JT, Fung VSC, et al. Long-term safety and efficacy of levodopa-carbidopa intestinal gel in advanced Parkinson's disease. </w:t>
      </w:r>
      <w:proofErr w:type="spellStart"/>
      <w:r w:rsidR="00646AA7" w:rsidRPr="00646AA7">
        <w:rPr>
          <w:rFonts w:eastAsia="Calibri"/>
          <w:lang w:val="it-IT"/>
        </w:rPr>
        <w:t>Mov</w:t>
      </w:r>
      <w:proofErr w:type="spellEnd"/>
      <w:r w:rsidR="00646AA7" w:rsidRPr="00646AA7">
        <w:rPr>
          <w:rFonts w:eastAsia="Calibri"/>
          <w:lang w:val="it-IT"/>
        </w:rPr>
        <w:t xml:space="preserve"> </w:t>
      </w:r>
      <w:proofErr w:type="spellStart"/>
      <w:r w:rsidR="00646AA7" w:rsidRPr="00646AA7">
        <w:rPr>
          <w:rFonts w:eastAsia="Calibri"/>
          <w:lang w:val="it-IT"/>
        </w:rPr>
        <w:t>Disord</w:t>
      </w:r>
      <w:proofErr w:type="spellEnd"/>
      <w:r w:rsidR="00646AA7" w:rsidRPr="00646AA7">
        <w:rPr>
          <w:rFonts w:eastAsia="Calibri"/>
          <w:lang w:val="it-IT"/>
        </w:rPr>
        <w:t xml:space="preserve"> 2018;33(6):928-936.</w:t>
      </w:r>
    </w:p>
    <w:p w14:paraId="46986095" w14:textId="174466B6" w:rsidR="00D86C97" w:rsidRPr="00D86C97" w:rsidRDefault="00D86C97" w:rsidP="00D86C97">
      <w:pPr>
        <w:autoSpaceDE w:val="0"/>
        <w:autoSpaceDN w:val="0"/>
        <w:adjustRightInd w:val="0"/>
        <w:spacing w:line="480" w:lineRule="auto"/>
        <w:ind w:left="284" w:hanging="284"/>
        <w:rPr>
          <w:rFonts w:eastAsia="Calibri"/>
        </w:rPr>
      </w:pPr>
      <w:r w:rsidRPr="00646AA7">
        <w:rPr>
          <w:rFonts w:eastAsia="Calibri"/>
          <w:lang w:val="it-IT"/>
        </w:rPr>
        <w:t xml:space="preserve">12. </w:t>
      </w:r>
      <w:proofErr w:type="spellStart"/>
      <w:r w:rsidR="00646AA7" w:rsidRPr="00646AA7">
        <w:rPr>
          <w:rFonts w:eastAsia="Calibri"/>
          <w:lang w:val="it-IT"/>
        </w:rPr>
        <w:t>Chaudhuri</w:t>
      </w:r>
      <w:proofErr w:type="spellEnd"/>
      <w:r w:rsidR="00646AA7" w:rsidRPr="00646AA7">
        <w:rPr>
          <w:rFonts w:eastAsia="Calibri"/>
          <w:lang w:val="it-IT"/>
        </w:rPr>
        <w:t xml:space="preserve"> KR, </w:t>
      </w:r>
      <w:proofErr w:type="spellStart"/>
      <w:r w:rsidR="00646AA7" w:rsidRPr="00646AA7">
        <w:rPr>
          <w:rFonts w:eastAsia="Calibri"/>
          <w:lang w:val="it-IT"/>
        </w:rPr>
        <w:t>Kovács</w:t>
      </w:r>
      <w:proofErr w:type="spellEnd"/>
      <w:r w:rsidR="00646AA7" w:rsidRPr="00646AA7">
        <w:rPr>
          <w:rFonts w:eastAsia="Calibri"/>
          <w:lang w:val="it-IT"/>
        </w:rPr>
        <w:t xml:space="preserve"> N, Pontieri FE, et al. </w:t>
      </w:r>
      <w:r w:rsidR="00646AA7" w:rsidRPr="00646AA7">
        <w:rPr>
          <w:rFonts w:eastAsia="Calibri"/>
        </w:rPr>
        <w:t xml:space="preserve">Levodopa Carbidopa Intestinal Gel in Advanced Parkinson's Disease: DUOGLOBE Final 3-Year Results. </w:t>
      </w:r>
      <w:r w:rsidR="00646AA7" w:rsidRPr="00646AA7">
        <w:rPr>
          <w:rFonts w:eastAsia="Calibri"/>
          <w:lang w:val="it-IT"/>
        </w:rPr>
        <w:t xml:space="preserve">J </w:t>
      </w:r>
      <w:proofErr w:type="spellStart"/>
      <w:r w:rsidR="00646AA7" w:rsidRPr="00646AA7">
        <w:rPr>
          <w:rFonts w:eastAsia="Calibri"/>
          <w:lang w:val="it-IT"/>
        </w:rPr>
        <w:t>Parkinsons</w:t>
      </w:r>
      <w:proofErr w:type="spellEnd"/>
      <w:r w:rsidR="00646AA7" w:rsidRPr="00646AA7">
        <w:rPr>
          <w:rFonts w:eastAsia="Calibri"/>
          <w:lang w:val="it-IT"/>
        </w:rPr>
        <w:t xml:space="preserve"> </w:t>
      </w:r>
      <w:proofErr w:type="spellStart"/>
      <w:r w:rsidR="00646AA7" w:rsidRPr="00646AA7">
        <w:rPr>
          <w:rFonts w:eastAsia="Calibri"/>
          <w:lang w:val="it-IT"/>
        </w:rPr>
        <w:t>Dis</w:t>
      </w:r>
      <w:proofErr w:type="spellEnd"/>
      <w:r w:rsidR="00646AA7" w:rsidRPr="00646AA7">
        <w:rPr>
          <w:rFonts w:eastAsia="Calibri"/>
          <w:lang w:val="it-IT"/>
        </w:rPr>
        <w:t xml:space="preserve"> 2023;13(5):769-783.</w:t>
      </w:r>
    </w:p>
    <w:p w14:paraId="2304D0B3" w14:textId="77777777" w:rsidR="009D703D" w:rsidRPr="009D703D" w:rsidRDefault="009D703D" w:rsidP="009D703D">
      <w:pPr>
        <w:widowControl w:val="0"/>
        <w:spacing w:line="480" w:lineRule="auto"/>
        <w:rPr>
          <w:b/>
        </w:rPr>
      </w:pPr>
    </w:p>
    <w:sectPr w:rsidR="009D703D" w:rsidRPr="009D703D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DCC76" w14:textId="77777777" w:rsidR="00650DBA" w:rsidRDefault="00650DBA" w:rsidP="00650DBA">
      <w:r>
        <w:separator/>
      </w:r>
    </w:p>
  </w:endnote>
  <w:endnote w:type="continuationSeparator" w:id="0">
    <w:p w14:paraId="235335F5" w14:textId="77777777" w:rsidR="00650DBA" w:rsidRDefault="00650DBA" w:rsidP="0065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388F1" w14:textId="01E87D4C" w:rsidR="00650DBA" w:rsidRDefault="00650DBA">
    <w:pPr>
      <w:pStyle w:val="Pidipa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D81242" w:rsidRPr="00D81242">
      <w:rPr>
        <w:caps/>
        <w:noProof/>
        <w:color w:val="4472C4" w:themeColor="accent1"/>
        <w:lang w:val="it-IT"/>
      </w:rPr>
      <w:t>5</w:t>
    </w:r>
    <w:r>
      <w:rPr>
        <w:caps/>
        <w:color w:val="4472C4" w:themeColor="accent1"/>
      </w:rPr>
      <w:fldChar w:fldCharType="end"/>
    </w:r>
  </w:p>
  <w:p w14:paraId="13F2228E" w14:textId="77777777" w:rsidR="00650DBA" w:rsidRDefault="00650D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5499C" w14:textId="77777777" w:rsidR="00650DBA" w:rsidRDefault="00650DBA" w:rsidP="00650DBA">
      <w:r>
        <w:separator/>
      </w:r>
    </w:p>
  </w:footnote>
  <w:footnote w:type="continuationSeparator" w:id="0">
    <w:p w14:paraId="11DF55FE" w14:textId="77777777" w:rsidR="00650DBA" w:rsidRDefault="00650DBA" w:rsidP="00650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9754FA"/>
    <w:multiLevelType w:val="hybridMultilevel"/>
    <w:tmpl w:val="29E46F68"/>
    <w:lvl w:ilvl="0" w:tplc="7AD248CC">
      <w:start w:val="77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9212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FDF"/>
    <w:rsid w:val="00002925"/>
    <w:rsid w:val="000554BB"/>
    <w:rsid w:val="000B12E4"/>
    <w:rsid w:val="000C0E56"/>
    <w:rsid w:val="000E75E4"/>
    <w:rsid w:val="00101033"/>
    <w:rsid w:val="00185219"/>
    <w:rsid w:val="0021076D"/>
    <w:rsid w:val="00273BD7"/>
    <w:rsid w:val="00296861"/>
    <w:rsid w:val="0038272E"/>
    <w:rsid w:val="003D6429"/>
    <w:rsid w:val="003E78D9"/>
    <w:rsid w:val="00547175"/>
    <w:rsid w:val="005C44A5"/>
    <w:rsid w:val="00646AA7"/>
    <w:rsid w:val="00650DBA"/>
    <w:rsid w:val="00667CF2"/>
    <w:rsid w:val="006B6B68"/>
    <w:rsid w:val="00767D61"/>
    <w:rsid w:val="008146EF"/>
    <w:rsid w:val="0084639E"/>
    <w:rsid w:val="0087516E"/>
    <w:rsid w:val="009834BF"/>
    <w:rsid w:val="00985C24"/>
    <w:rsid w:val="009D703D"/>
    <w:rsid w:val="009F0082"/>
    <w:rsid w:val="00A00FDF"/>
    <w:rsid w:val="00A36CF4"/>
    <w:rsid w:val="00A726C5"/>
    <w:rsid w:val="00B71E25"/>
    <w:rsid w:val="00B8566F"/>
    <w:rsid w:val="00BF2FBC"/>
    <w:rsid w:val="00C34188"/>
    <w:rsid w:val="00CD414A"/>
    <w:rsid w:val="00D16149"/>
    <w:rsid w:val="00D81242"/>
    <w:rsid w:val="00D856A9"/>
    <w:rsid w:val="00D86C97"/>
    <w:rsid w:val="00DC7F52"/>
    <w:rsid w:val="00E1163B"/>
    <w:rsid w:val="00E43780"/>
    <w:rsid w:val="00EC5284"/>
    <w:rsid w:val="00EE6121"/>
    <w:rsid w:val="00FD1212"/>
    <w:rsid w:val="00FD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8876"/>
  <w15:chartTrackingRefBased/>
  <w15:docId w15:val="{084C9B14-8226-C24A-A711-3CDA5899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0FDF"/>
    <w:rPr>
      <w:rFonts w:ascii="Times New Roman" w:eastAsia="Times New Roman" w:hAnsi="Times New Roman" w:cs="Times New Roman"/>
      <w:lang w:val="en-US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D6429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3D642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D642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D6429"/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50D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0DBA"/>
    <w:rPr>
      <w:rFonts w:ascii="Times New Roman" w:eastAsia="Times New Roman" w:hAnsi="Times New Roman" w:cs="Times New Roman"/>
      <w:lang w:val="en-US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50DB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0DBA"/>
    <w:rPr>
      <w:rFonts w:ascii="Times New Roman" w:eastAsia="Times New Roman" w:hAnsi="Times New Roman" w:cs="Times New Roman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Giorgi</dc:creator>
  <cp:keywords/>
  <dc:description/>
  <cp:lastModifiedBy>Roberto Cilia</cp:lastModifiedBy>
  <cp:revision>15</cp:revision>
  <dcterms:created xsi:type="dcterms:W3CDTF">2025-04-04T11:26:00Z</dcterms:created>
  <dcterms:modified xsi:type="dcterms:W3CDTF">2025-04-10T09:51:00Z</dcterms:modified>
</cp:coreProperties>
</file>