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EE20" w14:textId="77777777" w:rsidR="009528FE" w:rsidRPr="003204F4" w:rsidRDefault="009528FE" w:rsidP="009528FE">
      <w:pPr>
        <w:spacing w:after="120" w:line="480" w:lineRule="auto"/>
        <w:rPr>
          <w:rFonts w:eastAsia="Cambria" w:cstheme="minorHAnsi"/>
          <w:b/>
          <w:lang w:val="en-GB"/>
        </w:rPr>
      </w:pPr>
      <w:r w:rsidRPr="003204F4">
        <w:rPr>
          <w:rFonts w:eastAsia="Cambria" w:cstheme="minorHAnsi"/>
          <w:b/>
          <w:lang w:val="en-GB"/>
        </w:rPr>
        <w:t>Comparison of two α-synuclein SAAs for discrimination of Parkinson's disease and atypical parkinsonism</w:t>
      </w:r>
    </w:p>
    <w:p w14:paraId="1D9CFB3F" w14:textId="0C31ADD1" w:rsidR="009528FE" w:rsidRPr="003204F4" w:rsidRDefault="009528FE" w:rsidP="009528FE">
      <w:pPr>
        <w:spacing w:after="120" w:line="480" w:lineRule="auto"/>
        <w:rPr>
          <w:rFonts w:eastAsia="Cambria" w:cstheme="minorHAnsi"/>
          <w:sz w:val="20"/>
          <w:szCs w:val="20"/>
          <w:shd w:val="clear" w:color="auto" w:fill="FFFFFF"/>
        </w:rPr>
      </w:pPr>
      <w:r w:rsidRPr="003204F4">
        <w:rPr>
          <w:rFonts w:eastAsia="Cambria" w:cstheme="minorHAnsi"/>
          <w:sz w:val="20"/>
          <w:szCs w:val="20"/>
          <w:shd w:val="clear" w:color="auto" w:fill="FFFFFF"/>
        </w:rPr>
        <w:t xml:space="preserve">Marcello Rossi </w:t>
      </w:r>
      <w:r w:rsidRPr="003204F4">
        <w:rPr>
          <w:sz w:val="20"/>
          <w:szCs w:val="20"/>
        </w:rPr>
        <w:t>PhD</w:t>
      </w:r>
      <w:r w:rsidRPr="003204F4">
        <w:rPr>
          <w:rFonts w:eastAsia="Cambria" w:cstheme="minorHAnsi"/>
          <w:sz w:val="20"/>
          <w:szCs w:val="20"/>
          <w:shd w:val="clear" w:color="auto" w:fill="FFFFFF"/>
        </w:rPr>
        <w:t xml:space="preserve">, </w:t>
      </w:r>
      <w:r w:rsidRPr="003204F4">
        <w:rPr>
          <w:rFonts w:cstheme="minorHAnsi"/>
          <w:color w:val="000000"/>
          <w:sz w:val="20"/>
          <w:szCs w:val="20"/>
        </w:rPr>
        <w:t xml:space="preserve">Carly M Farris </w:t>
      </w:r>
      <w:proofErr w:type="spellStart"/>
      <w:r w:rsidRPr="003204F4">
        <w:rPr>
          <w:rFonts w:cstheme="minorHAnsi"/>
          <w:color w:val="000000"/>
          <w:sz w:val="20"/>
          <w:szCs w:val="20"/>
        </w:rPr>
        <w:t>MSc</w:t>
      </w:r>
      <w:proofErr w:type="spellEnd"/>
      <w:r w:rsidRPr="003204F4">
        <w:rPr>
          <w:rFonts w:cstheme="minorHAnsi"/>
          <w:color w:val="000000"/>
          <w:sz w:val="20"/>
          <w:szCs w:val="20"/>
        </w:rPr>
        <w:t xml:space="preserve">, Simone Baiardi </w:t>
      </w:r>
      <w:r w:rsidRPr="003204F4">
        <w:rPr>
          <w:sz w:val="20"/>
          <w:szCs w:val="20"/>
        </w:rPr>
        <w:t>MD, PhD</w:t>
      </w:r>
      <w:r w:rsidRPr="003204F4">
        <w:rPr>
          <w:rFonts w:cstheme="minorHAnsi"/>
          <w:color w:val="000000"/>
          <w:sz w:val="20"/>
          <w:szCs w:val="20"/>
        </w:rPr>
        <w:t xml:space="preserve">, Giulia Giannini </w:t>
      </w:r>
      <w:r w:rsidRPr="003204F4">
        <w:rPr>
          <w:sz w:val="20"/>
          <w:szCs w:val="20"/>
        </w:rPr>
        <w:t>MD, PhD</w:t>
      </w:r>
      <w:r w:rsidRPr="003204F4">
        <w:rPr>
          <w:rFonts w:cstheme="minorHAnsi"/>
          <w:color w:val="000000"/>
          <w:sz w:val="20"/>
          <w:szCs w:val="20"/>
        </w:rPr>
        <w:t xml:space="preserve">, Franco Magliocchetti </w:t>
      </w:r>
      <w:proofErr w:type="spellStart"/>
      <w:r w:rsidRPr="003204F4">
        <w:rPr>
          <w:rFonts w:cstheme="minorHAnsi"/>
          <w:color w:val="000000"/>
          <w:sz w:val="20"/>
          <w:szCs w:val="20"/>
        </w:rPr>
        <w:t>MSc</w:t>
      </w:r>
      <w:proofErr w:type="spellEnd"/>
      <w:r w:rsidRPr="003204F4">
        <w:rPr>
          <w:rFonts w:cstheme="minorHAnsi"/>
          <w:color w:val="000000"/>
          <w:sz w:val="20"/>
          <w:szCs w:val="20"/>
        </w:rPr>
        <w:t xml:space="preserve">, Luisa Sambati </w:t>
      </w:r>
      <w:r w:rsidRPr="003204F4">
        <w:rPr>
          <w:sz w:val="20"/>
          <w:szCs w:val="20"/>
        </w:rPr>
        <w:t>MD, PhD</w:t>
      </w:r>
      <w:r w:rsidRPr="003204F4">
        <w:rPr>
          <w:rFonts w:cstheme="minorHAnsi"/>
          <w:color w:val="000000"/>
          <w:sz w:val="20"/>
          <w:szCs w:val="20"/>
        </w:rPr>
        <w:t xml:space="preserve">, Yihua Ma </w:t>
      </w:r>
      <w:proofErr w:type="spellStart"/>
      <w:r w:rsidRPr="003204F4">
        <w:rPr>
          <w:rFonts w:cstheme="minorHAnsi"/>
          <w:color w:val="000000"/>
          <w:sz w:val="20"/>
          <w:szCs w:val="20"/>
        </w:rPr>
        <w:t>MSc</w:t>
      </w:r>
      <w:proofErr w:type="spellEnd"/>
      <w:r w:rsidRPr="003204F4">
        <w:rPr>
          <w:rFonts w:cstheme="minorHAnsi"/>
          <w:color w:val="000000"/>
          <w:sz w:val="20"/>
          <w:szCs w:val="20"/>
        </w:rPr>
        <w:t xml:space="preserve">, Erica Vittoriosi </w:t>
      </w:r>
      <w:proofErr w:type="spellStart"/>
      <w:r w:rsidRPr="003204F4">
        <w:rPr>
          <w:rFonts w:cstheme="minorHAnsi"/>
          <w:color w:val="000000"/>
          <w:sz w:val="20"/>
          <w:szCs w:val="20"/>
        </w:rPr>
        <w:t>MSc</w:t>
      </w:r>
      <w:proofErr w:type="spellEnd"/>
      <w:r w:rsidRPr="003204F4">
        <w:rPr>
          <w:rFonts w:cstheme="minorHAnsi"/>
          <w:color w:val="000000"/>
          <w:sz w:val="20"/>
          <w:szCs w:val="20"/>
        </w:rPr>
        <w:t xml:space="preserve">, Giovanna Calandra-Buonaura </w:t>
      </w:r>
      <w:r w:rsidRPr="003204F4">
        <w:rPr>
          <w:sz w:val="20"/>
          <w:szCs w:val="20"/>
        </w:rPr>
        <w:t>MD, PhD</w:t>
      </w:r>
      <w:r w:rsidRPr="003204F4">
        <w:rPr>
          <w:rFonts w:cstheme="minorHAnsi"/>
          <w:color w:val="000000"/>
          <w:sz w:val="20"/>
          <w:szCs w:val="20"/>
        </w:rPr>
        <w:t>, Luis Concha-</w:t>
      </w:r>
      <w:proofErr w:type="spellStart"/>
      <w:r w:rsidRPr="003204F4">
        <w:rPr>
          <w:rFonts w:cstheme="minorHAnsi"/>
          <w:color w:val="000000"/>
          <w:sz w:val="20"/>
          <w:szCs w:val="20"/>
        </w:rPr>
        <w:t>Marambio</w:t>
      </w:r>
      <w:proofErr w:type="spellEnd"/>
      <w:r w:rsidRPr="003204F4">
        <w:rPr>
          <w:rFonts w:cstheme="minorHAnsi"/>
          <w:color w:val="000000"/>
          <w:sz w:val="20"/>
          <w:szCs w:val="20"/>
        </w:rPr>
        <w:t xml:space="preserve"> </w:t>
      </w:r>
      <w:r w:rsidRPr="003204F4">
        <w:rPr>
          <w:sz w:val="20"/>
          <w:szCs w:val="20"/>
        </w:rPr>
        <w:t>PhD</w:t>
      </w:r>
      <w:r w:rsidRPr="003204F4">
        <w:rPr>
          <w:rFonts w:cstheme="minorHAnsi"/>
          <w:color w:val="000000"/>
          <w:sz w:val="20"/>
          <w:szCs w:val="20"/>
        </w:rPr>
        <w:t xml:space="preserve">, Piero Parchi </w:t>
      </w:r>
      <w:r w:rsidRPr="003204F4">
        <w:rPr>
          <w:sz w:val="20"/>
          <w:szCs w:val="20"/>
        </w:rPr>
        <w:t>MD, PhD</w:t>
      </w:r>
    </w:p>
    <w:p w14:paraId="2A5F6D84" w14:textId="77777777" w:rsidR="009528FE" w:rsidRPr="003204F4" w:rsidRDefault="009528FE" w:rsidP="00572A52">
      <w:pPr>
        <w:spacing w:line="480" w:lineRule="auto"/>
        <w:jc w:val="both"/>
        <w:rPr>
          <w:b/>
          <w:bCs/>
        </w:rPr>
      </w:pPr>
    </w:p>
    <w:p w14:paraId="59828680" w14:textId="4729C5C4" w:rsidR="00572A52" w:rsidRPr="003204F4" w:rsidRDefault="00572A52" w:rsidP="00572A52">
      <w:pPr>
        <w:spacing w:line="480" w:lineRule="auto"/>
        <w:jc w:val="both"/>
        <w:rPr>
          <w:b/>
          <w:bCs/>
          <w:lang w:val="en-GB"/>
        </w:rPr>
      </w:pPr>
      <w:r w:rsidRPr="003204F4">
        <w:rPr>
          <w:b/>
          <w:bCs/>
          <w:lang w:val="en-GB"/>
        </w:rPr>
        <w:t>Supplementary Material</w:t>
      </w:r>
      <w:r w:rsidR="005302DF" w:rsidRPr="003204F4">
        <w:rPr>
          <w:b/>
          <w:bCs/>
          <w:lang w:val="en-GB"/>
        </w:rPr>
        <w:t xml:space="preserve"> and Methods</w:t>
      </w:r>
    </w:p>
    <w:p w14:paraId="7F6EAF5E" w14:textId="07619795" w:rsidR="00572A52" w:rsidRPr="003204F4" w:rsidRDefault="00572A52" w:rsidP="00572A52">
      <w:pPr>
        <w:spacing w:line="480" w:lineRule="auto"/>
        <w:jc w:val="both"/>
        <w:rPr>
          <w:b/>
          <w:bCs/>
          <w:lang w:val="en-US"/>
        </w:rPr>
      </w:pPr>
      <w:r w:rsidRPr="003204F4">
        <w:rPr>
          <w:b/>
          <w:bCs/>
          <w:lang w:val="en-US"/>
        </w:rPr>
        <w:t>Patients and Methods</w:t>
      </w:r>
    </w:p>
    <w:p w14:paraId="155B1A42" w14:textId="0FBDC3C6" w:rsidR="002C1B61" w:rsidRPr="003204F4" w:rsidRDefault="002C1B61" w:rsidP="00B67701">
      <w:pPr>
        <w:spacing w:line="480" w:lineRule="auto"/>
        <w:jc w:val="both"/>
        <w:rPr>
          <w:lang w:val="en-GB"/>
        </w:rPr>
      </w:pPr>
      <w:r w:rsidRPr="003204F4">
        <w:rPr>
          <w:lang w:val="en-GB"/>
        </w:rPr>
        <w:t xml:space="preserve">The MSA patients included in the study belonged to a well-characterised retrospective and prospective cohort enrolled at </w:t>
      </w:r>
      <w:r w:rsidR="00675DD9" w:rsidRPr="003204F4">
        <w:rPr>
          <w:lang w:val="en-GB"/>
        </w:rPr>
        <w:t xml:space="preserve">IRCCS </w:t>
      </w:r>
      <w:r w:rsidRPr="003204F4">
        <w:rPr>
          <w:lang w:val="en-GB"/>
        </w:rPr>
        <w:t>Institute</w:t>
      </w:r>
      <w:r w:rsidR="00675DD9" w:rsidRPr="003204F4">
        <w:rPr>
          <w:lang w:val="en-GB"/>
        </w:rPr>
        <w:t xml:space="preserve"> of Neurological Sciences of Bologna</w:t>
      </w:r>
      <w:r w:rsidRPr="003204F4">
        <w:rPr>
          <w:lang w:val="en-GB"/>
        </w:rPr>
        <w:t xml:space="preserve"> (MSA-BO cohort). In the prospective cohort</w:t>
      </w:r>
      <w:r w:rsidR="00653BDF" w:rsidRPr="003204F4">
        <w:rPr>
          <w:lang w:val="en-GB"/>
        </w:rPr>
        <w:t>,</w:t>
      </w:r>
      <w:r w:rsidRPr="003204F4">
        <w:rPr>
          <w:lang w:val="en-GB"/>
        </w:rPr>
        <w:t xml:space="preserve"> patients were evaluated every 6 months from enrolment throughout the follow-up period. In the retrospective cohort, we included patients referred between 2</w:t>
      </w:r>
      <w:r w:rsidR="00675DD9" w:rsidRPr="003204F4">
        <w:rPr>
          <w:lang w:val="en-GB"/>
        </w:rPr>
        <w:t>005</w:t>
      </w:r>
      <w:r w:rsidRPr="003204F4">
        <w:rPr>
          <w:lang w:val="en-GB"/>
        </w:rPr>
        <w:t xml:space="preserve"> and 2017</w:t>
      </w:r>
      <w:r w:rsidR="00653BDF" w:rsidRPr="003204F4">
        <w:rPr>
          <w:lang w:val="en-GB"/>
        </w:rPr>
        <w:t xml:space="preserve"> with a clinical diagnosis of MSA who were </w:t>
      </w:r>
      <w:r w:rsidRPr="003204F4">
        <w:rPr>
          <w:lang w:val="en-GB"/>
        </w:rPr>
        <w:t xml:space="preserve">evaluated at least once a year during the disease course. Three neurologists, experts in movement disorders, independently confirmed the diagnosis of MSA </w:t>
      </w:r>
      <w:r w:rsidR="00B637C6" w:rsidRPr="003204F4">
        <w:rPr>
          <w:lang w:val="en-GB"/>
        </w:rPr>
        <w:t>based on the</w:t>
      </w:r>
      <w:r w:rsidRPr="003204F4">
        <w:rPr>
          <w:lang w:val="en-GB"/>
        </w:rPr>
        <w:t xml:space="preserve"> data available at the last follow-up evaluation</w:t>
      </w:r>
      <w:r w:rsidR="00675DD9" w:rsidRPr="003204F4">
        <w:rPr>
          <w:lang w:val="en-GB"/>
        </w:rPr>
        <w:t>.</w:t>
      </w:r>
    </w:p>
    <w:p w14:paraId="4EB47A6D" w14:textId="601B5DA9" w:rsidR="00572A52" w:rsidRPr="003204F4" w:rsidRDefault="002C1B61" w:rsidP="00CB63BB">
      <w:pPr>
        <w:spacing w:line="480" w:lineRule="auto"/>
        <w:jc w:val="both"/>
        <w:rPr>
          <w:lang w:val="en-US"/>
        </w:rPr>
      </w:pPr>
      <w:r w:rsidRPr="003204F4">
        <w:rPr>
          <w:lang w:val="en-GB"/>
        </w:rPr>
        <w:t>Besides a thorough clinical investigation</w:t>
      </w:r>
      <w:r w:rsidR="00A167D4" w:rsidRPr="003204F4">
        <w:rPr>
          <w:lang w:val="en-GB"/>
        </w:rPr>
        <w:t>,</w:t>
      </w:r>
      <w:r w:rsidR="00675DD9" w:rsidRPr="003204F4">
        <w:rPr>
          <w:lang w:val="en-GB"/>
        </w:rPr>
        <w:t xml:space="preserve"> </w:t>
      </w:r>
      <w:r w:rsidRPr="003204F4">
        <w:rPr>
          <w:lang w:val="en-GB"/>
        </w:rPr>
        <w:t xml:space="preserve">the following instrumental/laboratory tests were analysed when available: 1) brain MRI or CT (if MRI was not possible); 2) neuropsychological evaluation; 3) head-up tilt test and other cardiovascular reflex tests; 4) effect of levodopa (if applicable) assessed by a) a standardized oral levodopa kinetic-dynamic test, b) improvement of part III of the Unified Parkinson’s Disease Rating Scale after increasing levodopa up to 1 g/die; 5) cardiac </w:t>
      </w:r>
      <w:r w:rsidRPr="003204F4">
        <w:rPr>
          <w:vertAlign w:val="superscript"/>
          <w:lang w:val="en-GB"/>
        </w:rPr>
        <w:t>123</w:t>
      </w:r>
      <w:r w:rsidRPr="003204F4">
        <w:rPr>
          <w:lang w:val="en-GB"/>
        </w:rPr>
        <w:t xml:space="preserve">I-metaiodobenzylguanidin (MIBG)-SPECT; 6) cerebral </w:t>
      </w:r>
      <w:r w:rsidRPr="003204F4">
        <w:rPr>
          <w:vertAlign w:val="superscript"/>
          <w:lang w:val="en-GB"/>
        </w:rPr>
        <w:t>123</w:t>
      </w:r>
      <w:r w:rsidRPr="003204F4">
        <w:rPr>
          <w:lang w:val="en-GB"/>
        </w:rPr>
        <w:t xml:space="preserve">I-ioflupane-SPECT; 7) determination of CSF </w:t>
      </w:r>
      <w:proofErr w:type="spellStart"/>
      <w:r w:rsidRPr="003204F4">
        <w:rPr>
          <w:lang w:val="en-GB"/>
        </w:rPr>
        <w:t>NfL</w:t>
      </w:r>
      <w:proofErr w:type="spellEnd"/>
      <w:r w:rsidRPr="003204F4">
        <w:rPr>
          <w:lang w:val="en-GB"/>
        </w:rPr>
        <w:t xml:space="preserve"> levels. Instrumental and laboratory tests were performed during the disease course if required for differential diagnosis or to elucidate specific conditions suspected by history or examination</w:t>
      </w:r>
      <w:r w:rsidR="00E10995" w:rsidRPr="003204F4">
        <w:rPr>
          <w:vertAlign w:val="superscript"/>
          <w:lang w:val="en-GB"/>
        </w:rPr>
        <w:t>1-8</w:t>
      </w:r>
      <w:r w:rsidRPr="003204F4">
        <w:rPr>
          <w:lang w:val="en-GB"/>
        </w:rPr>
        <w:t xml:space="preserve">. Regarding the number of instrumental/laboratory tests, brain MRI was available in 103/114 patients, </w:t>
      </w:r>
      <w:proofErr w:type="spellStart"/>
      <w:r w:rsidR="00AC6C0B" w:rsidRPr="003204F4">
        <w:rPr>
          <w:lang w:val="en-GB"/>
        </w:rPr>
        <w:t>videopolysomnography</w:t>
      </w:r>
      <w:proofErr w:type="spellEnd"/>
      <w:r w:rsidR="0043151E" w:rsidRPr="003204F4">
        <w:rPr>
          <w:lang w:val="en-GB"/>
        </w:rPr>
        <w:t xml:space="preserve"> (VPSG)</w:t>
      </w:r>
      <w:r w:rsidR="00E521CE" w:rsidRPr="003204F4">
        <w:rPr>
          <w:lang w:val="en-GB"/>
        </w:rPr>
        <w:t xml:space="preserve"> </w:t>
      </w:r>
      <w:r w:rsidRPr="003204F4">
        <w:rPr>
          <w:lang w:val="en-GB"/>
        </w:rPr>
        <w:t>in 100/114, neuropsychological evaluation in 75/114, cardiovascular reflex test in 103/114, cardiac MIBG-SPECT in 59/114, cerebral 123</w:t>
      </w:r>
      <w:r w:rsidR="00A167D4" w:rsidRPr="003204F4">
        <w:rPr>
          <w:lang w:val="en-GB"/>
        </w:rPr>
        <w:t>I</w:t>
      </w:r>
      <w:r w:rsidRPr="003204F4">
        <w:rPr>
          <w:lang w:val="en-GB"/>
        </w:rPr>
        <w:t>-</w:t>
      </w:r>
      <w:r w:rsidRPr="003204F4">
        <w:rPr>
          <w:lang w:val="en-GB"/>
        </w:rPr>
        <w:lastRenderedPageBreak/>
        <w:t>ioflupane-SPECT in 88/114.</w:t>
      </w:r>
      <w:r w:rsidR="0043151E" w:rsidRPr="003204F4">
        <w:rPr>
          <w:lang w:val="en-GB"/>
        </w:rPr>
        <w:t xml:space="preserve"> </w:t>
      </w:r>
      <w:r w:rsidR="001552D3" w:rsidRPr="003204F4">
        <w:rPr>
          <w:lang w:val="en-GB"/>
        </w:rPr>
        <w:t xml:space="preserve">VPSG was performed </w:t>
      </w:r>
      <w:r w:rsidR="002A264C" w:rsidRPr="003204F4">
        <w:rPr>
          <w:lang w:val="en-GB"/>
        </w:rPr>
        <w:t xml:space="preserve">according to the protocol described in </w:t>
      </w:r>
      <w:proofErr w:type="spellStart"/>
      <w:r w:rsidR="002A264C" w:rsidRPr="003204F4">
        <w:rPr>
          <w:lang w:val="en-GB"/>
        </w:rPr>
        <w:t>Vetrugno</w:t>
      </w:r>
      <w:proofErr w:type="spellEnd"/>
      <w:r w:rsidR="002A264C" w:rsidRPr="003204F4">
        <w:rPr>
          <w:lang w:val="en-GB"/>
        </w:rPr>
        <w:t xml:space="preserve"> et al, 2007)</w:t>
      </w:r>
      <w:r w:rsidR="002A264C" w:rsidRPr="003204F4">
        <w:rPr>
          <w:vertAlign w:val="superscript"/>
          <w:lang w:val="en-GB"/>
        </w:rPr>
        <w:t>9</w:t>
      </w:r>
      <w:r w:rsidR="0043151E" w:rsidRPr="003204F4">
        <w:rPr>
          <w:lang w:val="en-GB"/>
        </w:rPr>
        <w:t>. RBD was confirmed by VPSG and diagnosed according to</w:t>
      </w:r>
      <w:r w:rsidR="0043151E" w:rsidRPr="003204F4">
        <w:rPr>
          <w:i/>
          <w:iCs/>
          <w:lang w:val="en-GB"/>
        </w:rPr>
        <w:t xml:space="preserve"> </w:t>
      </w:r>
      <w:r w:rsidR="0043151E" w:rsidRPr="003204F4">
        <w:rPr>
          <w:lang w:val="en-GB"/>
        </w:rPr>
        <w:t>American Academy of Sleep Medicine criteria</w:t>
      </w:r>
      <w:r w:rsidR="0043151E" w:rsidRPr="003204F4">
        <w:rPr>
          <w:vertAlign w:val="superscript"/>
          <w:lang w:val="en-GB"/>
        </w:rPr>
        <w:t>1</w:t>
      </w:r>
      <w:r w:rsidR="003204F4">
        <w:rPr>
          <w:vertAlign w:val="superscript"/>
          <w:lang w:val="en-GB"/>
        </w:rPr>
        <w:t>1</w:t>
      </w:r>
      <w:r w:rsidR="0043151E" w:rsidRPr="003204F4">
        <w:rPr>
          <w:lang w:val="en-GB"/>
        </w:rPr>
        <w:t>.</w:t>
      </w:r>
      <w:r w:rsidR="0043151E" w:rsidRPr="003204F4">
        <w:rPr>
          <w:i/>
          <w:iCs/>
          <w:lang w:val="en-GB"/>
        </w:rPr>
        <w:t xml:space="preserve"> </w:t>
      </w:r>
      <w:r w:rsidR="00572A52" w:rsidRPr="003204F4">
        <w:rPr>
          <w:lang w:val="en-US"/>
        </w:rPr>
        <w:t xml:space="preserve">PD </w:t>
      </w:r>
      <w:r w:rsidR="00F05EB5" w:rsidRPr="003204F4">
        <w:rPr>
          <w:lang w:val="en-US"/>
        </w:rPr>
        <w:t>participants</w:t>
      </w:r>
      <w:r w:rsidR="00572A52" w:rsidRPr="003204F4">
        <w:rPr>
          <w:lang w:val="en-US"/>
        </w:rPr>
        <w:t xml:space="preserve"> were </w:t>
      </w:r>
      <w:r w:rsidR="00FB7BF1" w:rsidRPr="003204F4">
        <w:rPr>
          <w:lang w:val="en-US"/>
        </w:rPr>
        <w:t xml:space="preserve">selected after a </w:t>
      </w:r>
      <w:r w:rsidR="00572A52" w:rsidRPr="003204F4">
        <w:rPr>
          <w:lang w:val="en-US"/>
        </w:rPr>
        <w:t>screen</w:t>
      </w:r>
      <w:r w:rsidR="00AA06EF" w:rsidRPr="003204F4">
        <w:rPr>
          <w:lang w:val="en-US"/>
        </w:rPr>
        <w:t>ing</w:t>
      </w:r>
      <w:r w:rsidR="00572A52" w:rsidRPr="003204F4">
        <w:rPr>
          <w:lang w:val="en-US"/>
        </w:rPr>
        <w:t xml:space="preserve"> at ISNB for α-syn seeding activity</w:t>
      </w:r>
      <w:r w:rsidR="00AA06EF" w:rsidRPr="003204F4">
        <w:rPr>
          <w:lang w:val="en-US"/>
        </w:rPr>
        <w:t xml:space="preserve">. </w:t>
      </w:r>
      <w:r w:rsidR="005240E8" w:rsidRPr="003204F4">
        <w:rPr>
          <w:lang w:val="en-US"/>
        </w:rPr>
        <w:t>They were classified as</w:t>
      </w:r>
      <w:r w:rsidR="00000A98" w:rsidRPr="003204F4">
        <w:rPr>
          <w:lang w:val="en-US"/>
        </w:rPr>
        <w:t xml:space="preserve"> negative (9 cases), “low” seeders (10 cases) or “high” seeders (30 cases</w:t>
      </w:r>
      <w:r w:rsidR="00634531" w:rsidRPr="003204F4">
        <w:rPr>
          <w:lang w:val="en-US"/>
        </w:rPr>
        <w:t>) according to Mammana et. al.</w:t>
      </w:r>
      <w:r w:rsidR="00845F31" w:rsidRPr="003204F4">
        <w:rPr>
          <w:vertAlign w:val="superscript"/>
          <w:lang w:val="en-US"/>
        </w:rPr>
        <w:t>10</w:t>
      </w:r>
      <w:r w:rsidR="00572A52" w:rsidRPr="003204F4">
        <w:rPr>
          <w:lang w:val="en-US"/>
        </w:rPr>
        <w:t xml:space="preserve"> </w:t>
      </w:r>
      <w:r w:rsidR="00000A98" w:rsidRPr="003204F4">
        <w:rPr>
          <w:lang w:val="en-US"/>
        </w:rPr>
        <w:t>Briefly,</w:t>
      </w:r>
      <w:r w:rsidR="00B036E3" w:rsidRPr="003204F4">
        <w:rPr>
          <w:lang w:val="en-US"/>
        </w:rPr>
        <w:t xml:space="preserve"> </w:t>
      </w:r>
      <w:r w:rsidR="009C4A25" w:rsidRPr="003204F4">
        <w:rPr>
          <w:lang w:val="en-US"/>
        </w:rPr>
        <w:t xml:space="preserve">the </w:t>
      </w:r>
      <w:r w:rsidR="009C4A25" w:rsidRPr="003204F4">
        <w:rPr>
          <w:lang w:val="en-GB"/>
        </w:rPr>
        <w:t xml:space="preserve">low seeding </w:t>
      </w:r>
      <w:r w:rsidR="003F7C4B" w:rsidRPr="003204F4">
        <w:rPr>
          <w:lang w:val="en-GB"/>
        </w:rPr>
        <w:t>cases</w:t>
      </w:r>
      <w:r w:rsidR="009C4A25" w:rsidRPr="003204F4">
        <w:rPr>
          <w:lang w:val="en-GB"/>
        </w:rPr>
        <w:t xml:space="preserve"> </w:t>
      </w:r>
      <w:r w:rsidR="00A61B6E" w:rsidRPr="003204F4">
        <w:rPr>
          <w:lang w:val="en-GB"/>
        </w:rPr>
        <w:t>gave</w:t>
      </w:r>
      <w:r w:rsidR="009C4A25" w:rsidRPr="003204F4">
        <w:rPr>
          <w:lang w:val="en-GB"/>
        </w:rPr>
        <w:t xml:space="preserve"> 3-5 positive replicates (out of 8), whereas </w:t>
      </w:r>
      <w:r w:rsidR="009C4A25" w:rsidRPr="003204F4">
        <w:rPr>
          <w:lang w:val="en-US"/>
        </w:rPr>
        <w:t xml:space="preserve">the </w:t>
      </w:r>
      <w:r w:rsidR="00B036E3" w:rsidRPr="003204F4">
        <w:rPr>
          <w:lang w:val="en-GB"/>
        </w:rPr>
        <w:t>“high” seeding group</w:t>
      </w:r>
      <w:r w:rsidR="009C4A25" w:rsidRPr="003204F4">
        <w:rPr>
          <w:lang w:val="en-GB"/>
        </w:rPr>
        <w:t xml:space="preserve"> includ</w:t>
      </w:r>
      <w:r w:rsidR="00E034BB" w:rsidRPr="003204F4">
        <w:rPr>
          <w:lang w:val="en-GB"/>
        </w:rPr>
        <w:t>ed</w:t>
      </w:r>
      <w:r w:rsidR="009C4A25" w:rsidRPr="003204F4">
        <w:rPr>
          <w:lang w:val="en-GB"/>
        </w:rPr>
        <w:t xml:space="preserve"> cases yielding ≥</w:t>
      </w:r>
      <w:r w:rsidR="000E3D02" w:rsidRPr="003204F4">
        <w:rPr>
          <w:lang w:val="en-GB"/>
        </w:rPr>
        <w:t>7</w:t>
      </w:r>
      <w:r w:rsidR="009C4A25" w:rsidRPr="003204F4">
        <w:rPr>
          <w:lang w:val="en-GB"/>
        </w:rPr>
        <w:t xml:space="preserve"> positive replicates (out of 8)</w:t>
      </w:r>
      <w:r w:rsidR="00E034BB" w:rsidRPr="003204F4">
        <w:rPr>
          <w:lang w:val="en-GB"/>
        </w:rPr>
        <w:t xml:space="preserve"> in the ISNB-</w:t>
      </w:r>
      <w:proofErr w:type="spellStart"/>
      <w:r w:rsidR="00E034BB" w:rsidRPr="003204F4">
        <w:rPr>
          <w:lang w:val="en-GB"/>
        </w:rPr>
        <w:t>synSAA</w:t>
      </w:r>
      <w:proofErr w:type="spellEnd"/>
      <w:r w:rsidR="00E034BB" w:rsidRPr="003204F4">
        <w:rPr>
          <w:lang w:val="en-GB"/>
        </w:rPr>
        <w:t>.</w:t>
      </w:r>
    </w:p>
    <w:p w14:paraId="72ED7986" w14:textId="1ACAC383" w:rsidR="00B67701" w:rsidRPr="003204F4" w:rsidRDefault="00B67701" w:rsidP="00572A52">
      <w:pPr>
        <w:spacing w:after="240" w:line="480" w:lineRule="auto"/>
        <w:jc w:val="both"/>
        <w:rPr>
          <w:lang w:val="en-US"/>
        </w:rPr>
      </w:pPr>
      <w:r w:rsidRPr="003204F4">
        <w:rPr>
          <w:lang w:val="en-US"/>
        </w:rPr>
        <w:t xml:space="preserve">Further clinical and demographic </w:t>
      </w:r>
      <w:r w:rsidR="00480212" w:rsidRPr="003204F4">
        <w:rPr>
          <w:lang w:val="en-US"/>
        </w:rPr>
        <w:t>information</w:t>
      </w:r>
      <w:r w:rsidR="00E10995" w:rsidRPr="003204F4">
        <w:rPr>
          <w:lang w:val="en-US"/>
        </w:rPr>
        <w:t>,</w:t>
      </w:r>
      <w:r w:rsidR="00480212" w:rsidRPr="003204F4">
        <w:rPr>
          <w:lang w:val="en-US"/>
        </w:rPr>
        <w:t xml:space="preserve"> </w:t>
      </w:r>
      <w:r w:rsidR="00E6175D" w:rsidRPr="003204F4">
        <w:rPr>
          <w:lang w:val="en-US"/>
        </w:rPr>
        <w:t>as well as levels of diagnostic certainty in each diagnostic group,</w:t>
      </w:r>
      <w:r w:rsidR="00480212" w:rsidRPr="003204F4">
        <w:rPr>
          <w:lang w:val="en-US"/>
        </w:rPr>
        <w:t xml:space="preserve"> are reported in Table S1.  </w:t>
      </w:r>
    </w:p>
    <w:p w14:paraId="7CC9804F" w14:textId="77777777" w:rsidR="00572A52" w:rsidRPr="003204F4" w:rsidRDefault="00572A52" w:rsidP="00572A52">
      <w:pPr>
        <w:spacing w:line="480" w:lineRule="auto"/>
        <w:jc w:val="both"/>
        <w:rPr>
          <w:b/>
          <w:bCs/>
          <w:lang w:val="en-US"/>
        </w:rPr>
      </w:pPr>
      <w:r w:rsidRPr="003204F4">
        <w:rPr>
          <w:b/>
          <w:bCs/>
          <w:lang w:val="en-US"/>
        </w:rPr>
        <w:t>CSF collection and analyses</w:t>
      </w:r>
    </w:p>
    <w:p w14:paraId="594C594C" w14:textId="39B2E08D" w:rsidR="00572A52" w:rsidRPr="003204F4" w:rsidRDefault="00572A52" w:rsidP="00572A52">
      <w:pPr>
        <w:spacing w:line="480" w:lineRule="auto"/>
        <w:jc w:val="both"/>
        <w:rPr>
          <w:lang w:val="en-US"/>
        </w:rPr>
      </w:pPr>
      <w:r w:rsidRPr="003204F4">
        <w:rPr>
          <w:lang w:val="en-US"/>
        </w:rPr>
        <w:t>CSF was obtained by lumbar puncture at the L3/L4 or L4/L5 levels, aliquoted within 2 hours and stored in polypropylene tubes at -80</w:t>
      </w:r>
      <w:r w:rsidR="00A167D4" w:rsidRPr="003204F4">
        <w:rPr>
          <w:lang w:val="en-US"/>
        </w:rPr>
        <w:t xml:space="preserve"> </w:t>
      </w:r>
      <w:r w:rsidRPr="003204F4">
        <w:rPr>
          <w:lang w:val="en-US"/>
        </w:rPr>
        <w:t>°C until analyses.</w:t>
      </w:r>
    </w:p>
    <w:p w14:paraId="610AA986" w14:textId="2D0561C2" w:rsidR="00572A52" w:rsidRPr="003204F4" w:rsidRDefault="00572A52" w:rsidP="00572A52">
      <w:pPr>
        <w:spacing w:line="480" w:lineRule="auto"/>
        <w:jc w:val="both"/>
        <w:rPr>
          <w:lang w:val="en-US"/>
        </w:rPr>
      </w:pPr>
      <w:r w:rsidRPr="003204F4">
        <w:rPr>
          <w:lang w:val="en-US"/>
        </w:rPr>
        <w:t>In all samples, we measured neurofilament light chain (</w:t>
      </w:r>
      <w:proofErr w:type="spellStart"/>
      <w:r w:rsidRPr="003204F4">
        <w:rPr>
          <w:lang w:val="en-US"/>
        </w:rPr>
        <w:t>NfL</w:t>
      </w:r>
      <w:proofErr w:type="spellEnd"/>
      <w:r w:rsidRPr="003204F4">
        <w:rPr>
          <w:lang w:val="en-US"/>
        </w:rPr>
        <w:t>) using a validated commercial enzyme-linked immunosorbent assay (</w:t>
      </w:r>
      <w:proofErr w:type="spellStart"/>
      <w:r w:rsidRPr="003204F4">
        <w:rPr>
          <w:lang w:val="en-US"/>
        </w:rPr>
        <w:t>NfL</w:t>
      </w:r>
      <w:proofErr w:type="spellEnd"/>
      <w:r w:rsidRPr="003204F4">
        <w:rPr>
          <w:lang w:val="en-US"/>
        </w:rPr>
        <w:t xml:space="preserve"> ELISA kit, IBL, Hamburg, Germany). The mean intra- and inter-assay coefficients of variation (CVs) were 4% and 10%</w:t>
      </w:r>
      <w:r w:rsidR="00845F31" w:rsidRPr="003204F4">
        <w:rPr>
          <w:vertAlign w:val="superscript"/>
          <w:lang w:val="en-US"/>
        </w:rPr>
        <w:t>1</w:t>
      </w:r>
      <w:r w:rsidR="003204F4">
        <w:rPr>
          <w:vertAlign w:val="superscript"/>
          <w:lang w:val="en-US"/>
        </w:rPr>
        <w:t>2</w:t>
      </w:r>
      <w:r w:rsidR="00845F31" w:rsidRPr="003204F4">
        <w:rPr>
          <w:lang w:val="en-US"/>
        </w:rPr>
        <w:t>.</w:t>
      </w:r>
    </w:p>
    <w:p w14:paraId="04C4D67F" w14:textId="77777777" w:rsidR="00572A52" w:rsidRPr="003204F4" w:rsidRDefault="00572A52" w:rsidP="00572A52">
      <w:pPr>
        <w:tabs>
          <w:tab w:val="left" w:pos="3855"/>
        </w:tabs>
        <w:spacing w:line="480" w:lineRule="auto"/>
        <w:jc w:val="both"/>
        <w:rPr>
          <w:b/>
          <w:bCs/>
          <w:lang w:val="en-GB"/>
        </w:rPr>
      </w:pPr>
      <w:proofErr w:type="spellStart"/>
      <w:r w:rsidRPr="003204F4">
        <w:rPr>
          <w:b/>
          <w:bCs/>
          <w:lang w:val="en-GB"/>
        </w:rPr>
        <w:t>SynSAA</w:t>
      </w:r>
      <w:proofErr w:type="spellEnd"/>
    </w:p>
    <w:p w14:paraId="0E656E60" w14:textId="31D22A6C" w:rsidR="00572A52" w:rsidRPr="003204F4" w:rsidRDefault="00572A52" w:rsidP="00572A52">
      <w:pPr>
        <w:spacing w:line="480" w:lineRule="auto"/>
        <w:jc w:val="both"/>
        <w:rPr>
          <w:lang w:val="en-GB"/>
        </w:rPr>
      </w:pPr>
      <w:r w:rsidRPr="003204F4">
        <w:rPr>
          <w:lang w:val="en-GB"/>
        </w:rPr>
        <w:t xml:space="preserve">The </w:t>
      </w:r>
      <w:r w:rsidR="00E034BB" w:rsidRPr="003204F4">
        <w:rPr>
          <w:lang w:val="en-GB"/>
        </w:rPr>
        <w:t>ISNB-</w:t>
      </w:r>
      <w:proofErr w:type="spellStart"/>
      <w:r w:rsidR="00A167D4" w:rsidRPr="003204F4">
        <w:rPr>
          <w:lang w:val="en-GB"/>
        </w:rPr>
        <w:t>synSAA</w:t>
      </w:r>
      <w:proofErr w:type="spellEnd"/>
      <w:r w:rsidR="00A167D4" w:rsidRPr="003204F4">
        <w:rPr>
          <w:lang w:val="en-GB"/>
        </w:rPr>
        <w:t xml:space="preserve"> </w:t>
      </w:r>
      <w:r w:rsidRPr="003204F4">
        <w:rPr>
          <w:lang w:val="en-GB"/>
        </w:rPr>
        <w:t>was performed in</w:t>
      </w:r>
      <w:r w:rsidRPr="003204F4">
        <w:rPr>
          <w:shd w:val="clear" w:color="auto" w:fill="FFFFFF"/>
          <w:lang w:val="en-GB"/>
        </w:rPr>
        <w:t xml:space="preserve"> black 96-well plates with a clear bottom (Nalgene Nunc International) pre-loaded with six 0.8 mm silica beads (OPS Diagnostics) per well.</w:t>
      </w:r>
      <w:r w:rsidRPr="003204F4">
        <w:rPr>
          <w:lang w:val="en-GB"/>
        </w:rPr>
        <w:t xml:space="preserve"> </w:t>
      </w:r>
      <w:r w:rsidRPr="003204F4">
        <w:rPr>
          <w:shd w:val="clear" w:color="auto" w:fill="FFFFFF"/>
          <w:lang w:val="en-GB"/>
        </w:rPr>
        <w:t xml:space="preserve">CSF samples were thawed and vortexed </w:t>
      </w:r>
      <w:r w:rsidR="007C6F17" w:rsidRPr="003204F4">
        <w:rPr>
          <w:shd w:val="clear" w:color="auto" w:fill="FFFFFF"/>
          <w:lang w:val="en-GB"/>
        </w:rPr>
        <w:t>for 10 seconds</w:t>
      </w:r>
      <w:r w:rsidRPr="003204F4">
        <w:rPr>
          <w:shd w:val="clear" w:color="auto" w:fill="FFFFFF"/>
          <w:lang w:val="en-GB"/>
        </w:rPr>
        <w:t xml:space="preserve"> before use. Fifteen µL of CSF were added as seed to trigger the reaction in 85 µL of a mixture containing 40 mM PB, pH 8.0, 170 mM NaCl, 10 µM thioflavin-T (</w:t>
      </w:r>
      <w:proofErr w:type="spellStart"/>
      <w:r w:rsidRPr="003204F4">
        <w:rPr>
          <w:shd w:val="clear" w:color="auto" w:fill="FFFFFF"/>
          <w:lang w:val="en-GB"/>
        </w:rPr>
        <w:t>ThT</w:t>
      </w:r>
      <w:proofErr w:type="spellEnd"/>
      <w:r w:rsidRPr="003204F4">
        <w:rPr>
          <w:shd w:val="clear" w:color="auto" w:fill="FFFFFF"/>
          <w:lang w:val="en-GB"/>
        </w:rPr>
        <w:t xml:space="preserve">), 0.0015% sodium dodecyl </w:t>
      </w:r>
      <w:proofErr w:type="spellStart"/>
      <w:r w:rsidRPr="003204F4">
        <w:rPr>
          <w:shd w:val="clear" w:color="auto" w:fill="FFFFFF"/>
          <w:lang w:val="en-GB"/>
        </w:rPr>
        <w:t>sulfate</w:t>
      </w:r>
      <w:proofErr w:type="spellEnd"/>
      <w:r w:rsidRPr="003204F4">
        <w:rPr>
          <w:shd w:val="clear" w:color="auto" w:fill="FFFFFF"/>
          <w:lang w:val="en-GB"/>
        </w:rPr>
        <w:t xml:space="preserve"> (SDS), and 0.1 mg/ml of filtered (100 </w:t>
      </w:r>
      <w:proofErr w:type="spellStart"/>
      <w:r w:rsidRPr="003204F4">
        <w:rPr>
          <w:shd w:val="clear" w:color="auto" w:fill="FFFFFF"/>
          <w:lang w:val="en-GB"/>
        </w:rPr>
        <w:t>kDa</w:t>
      </w:r>
      <w:proofErr w:type="spellEnd"/>
      <w:r w:rsidRPr="003204F4">
        <w:rPr>
          <w:shd w:val="clear" w:color="auto" w:fill="FFFFFF"/>
          <w:lang w:val="en-GB"/>
        </w:rPr>
        <w:t xml:space="preserve"> MWCO filters) recombinant α-</w:t>
      </w:r>
      <w:proofErr w:type="spellStart"/>
      <w:r w:rsidRPr="003204F4">
        <w:rPr>
          <w:shd w:val="clear" w:color="auto" w:fill="FFFFFF"/>
          <w:lang w:val="en-GB"/>
        </w:rPr>
        <w:t>Syn</w:t>
      </w:r>
      <w:proofErr w:type="spellEnd"/>
      <w:r w:rsidRPr="003204F4">
        <w:rPr>
          <w:shd w:val="clear" w:color="auto" w:fill="FFFFFF"/>
          <w:lang w:val="en-GB"/>
        </w:rPr>
        <w:t xml:space="preserve"> produced in-house</w:t>
      </w:r>
      <w:r w:rsidR="00273AAB" w:rsidRPr="003204F4">
        <w:rPr>
          <w:shd w:val="clear" w:color="auto" w:fill="FFFFFF"/>
          <w:vertAlign w:val="superscript"/>
          <w:lang w:val="en-GB"/>
        </w:rPr>
        <w:t>1</w:t>
      </w:r>
      <w:r w:rsidR="003204F4">
        <w:rPr>
          <w:shd w:val="clear" w:color="auto" w:fill="FFFFFF"/>
          <w:vertAlign w:val="superscript"/>
          <w:lang w:val="en-GB"/>
        </w:rPr>
        <w:t>3</w:t>
      </w:r>
      <w:r w:rsidRPr="003204F4">
        <w:rPr>
          <w:shd w:val="clear" w:color="auto" w:fill="FFFFFF"/>
          <w:lang w:val="en-GB"/>
        </w:rPr>
        <w:t>. The plate was sealed with a plate sealer film (Nalgene Nunc I</w:t>
      </w:r>
      <w:r w:rsidR="00A167D4" w:rsidRPr="003204F4">
        <w:rPr>
          <w:shd w:val="clear" w:color="auto" w:fill="FFFFFF"/>
          <w:lang w:val="en-GB"/>
        </w:rPr>
        <w:t>nternational) and incubated in a</w:t>
      </w:r>
      <w:r w:rsidRPr="003204F4">
        <w:rPr>
          <w:shd w:val="clear" w:color="auto" w:fill="FFFFFF"/>
          <w:lang w:val="en-GB"/>
        </w:rPr>
        <w:t xml:space="preserve"> </w:t>
      </w:r>
      <w:proofErr w:type="spellStart"/>
      <w:r w:rsidRPr="003204F4">
        <w:rPr>
          <w:shd w:val="clear" w:color="auto" w:fill="FFFFFF"/>
          <w:lang w:val="en-GB"/>
        </w:rPr>
        <w:t>F</w:t>
      </w:r>
      <w:r w:rsidR="00A167D4" w:rsidRPr="003204F4">
        <w:rPr>
          <w:shd w:val="clear" w:color="auto" w:fill="FFFFFF"/>
          <w:lang w:val="en-GB"/>
        </w:rPr>
        <w:t>LUO</w:t>
      </w:r>
      <w:r w:rsidRPr="003204F4">
        <w:rPr>
          <w:shd w:val="clear" w:color="auto" w:fill="FFFFFF"/>
          <w:lang w:val="en-GB"/>
        </w:rPr>
        <w:t>star</w:t>
      </w:r>
      <w:proofErr w:type="spellEnd"/>
      <w:r w:rsidRPr="003204F4">
        <w:rPr>
          <w:shd w:val="clear" w:color="auto" w:fill="FFFFFF"/>
          <w:lang w:val="en-GB"/>
        </w:rPr>
        <w:t xml:space="preserve"> Omega (BMG Labtech) plate reader at 42 °C with intermittent double orbital shaking at 400 rpm for one minute, followed by </w:t>
      </w:r>
      <w:r w:rsidR="008E44F9" w:rsidRPr="003204F4">
        <w:rPr>
          <w:shd w:val="clear" w:color="auto" w:fill="FFFFFF"/>
          <w:lang w:val="en-GB"/>
        </w:rPr>
        <w:t>a 1-min</w:t>
      </w:r>
      <w:r w:rsidR="007C6F17" w:rsidRPr="003204F4">
        <w:rPr>
          <w:shd w:val="clear" w:color="auto" w:fill="FFFFFF"/>
          <w:lang w:val="en-GB"/>
        </w:rPr>
        <w:t>ute</w:t>
      </w:r>
      <w:r w:rsidRPr="003204F4">
        <w:rPr>
          <w:shd w:val="clear" w:color="auto" w:fill="FFFFFF"/>
          <w:lang w:val="en-GB"/>
        </w:rPr>
        <w:t xml:space="preserve"> rest. </w:t>
      </w:r>
      <w:proofErr w:type="spellStart"/>
      <w:r w:rsidRPr="003204F4">
        <w:rPr>
          <w:shd w:val="clear" w:color="auto" w:fill="FFFFFF"/>
          <w:lang w:val="en-GB"/>
        </w:rPr>
        <w:t>ThT</w:t>
      </w:r>
      <w:proofErr w:type="spellEnd"/>
      <w:r w:rsidR="007C6F17" w:rsidRPr="003204F4">
        <w:rPr>
          <w:shd w:val="clear" w:color="auto" w:fill="FFFFFF"/>
          <w:lang w:val="en-GB"/>
        </w:rPr>
        <w:t xml:space="preserve"> </w:t>
      </w:r>
      <w:r w:rsidRPr="003204F4">
        <w:rPr>
          <w:shd w:val="clear" w:color="auto" w:fill="FFFFFF"/>
          <w:lang w:val="en-GB"/>
        </w:rPr>
        <w:t>fluorescence measurements were taken for 30</w:t>
      </w:r>
      <w:r w:rsidR="00131D72" w:rsidRPr="003204F4">
        <w:rPr>
          <w:shd w:val="clear" w:color="auto" w:fill="FFFFFF"/>
          <w:lang w:val="en-GB"/>
        </w:rPr>
        <w:t xml:space="preserve"> hours</w:t>
      </w:r>
      <w:r w:rsidRPr="003204F4">
        <w:rPr>
          <w:shd w:val="clear" w:color="auto" w:fill="FFFFFF"/>
          <w:lang w:val="en-GB"/>
        </w:rPr>
        <w:t xml:space="preserve"> every 45 min</w:t>
      </w:r>
      <w:r w:rsidR="00131D72" w:rsidRPr="003204F4">
        <w:rPr>
          <w:shd w:val="clear" w:color="auto" w:fill="FFFFFF"/>
          <w:lang w:val="en-GB"/>
        </w:rPr>
        <w:t>utes</w:t>
      </w:r>
      <w:r w:rsidRPr="003204F4">
        <w:rPr>
          <w:shd w:val="clear" w:color="auto" w:fill="FFFFFF"/>
          <w:lang w:val="en-GB"/>
        </w:rPr>
        <w:t xml:space="preserve"> using 450 nm excitation and </w:t>
      </w:r>
      <w:r w:rsidRPr="003204F4">
        <w:rPr>
          <w:shd w:val="clear" w:color="auto" w:fill="FFFFFF"/>
          <w:lang w:val="en-GB"/>
        </w:rPr>
        <w:lastRenderedPageBreak/>
        <w:t xml:space="preserve">480 nm emission filters. Samples were run in quadruplicates and deemed positive when at least three of four replicates reached the threshold, calculated as 30% of the median of the highest fluorescence (Imax) of the positive control replicates. When one or two replicates crossed this threshold, the sample was run </w:t>
      </w:r>
      <w:r w:rsidR="00A167D4" w:rsidRPr="003204F4">
        <w:rPr>
          <w:shd w:val="clear" w:color="auto" w:fill="FFFFFF"/>
          <w:lang w:val="en-GB"/>
        </w:rPr>
        <w:t>up to</w:t>
      </w:r>
      <w:r w:rsidRPr="003204F4">
        <w:rPr>
          <w:shd w:val="clear" w:color="auto" w:fill="FFFFFF"/>
          <w:lang w:val="en-GB"/>
        </w:rPr>
        <w:t xml:space="preserve"> three times. With a total of 12 replicates, </w:t>
      </w:r>
      <w:r w:rsidR="00C307CE" w:rsidRPr="003204F4">
        <w:rPr>
          <w:shd w:val="clear" w:color="auto" w:fill="FFFFFF"/>
          <w:lang w:val="en-GB"/>
        </w:rPr>
        <w:t>the samples were considered positive if they showed seeding activity in four or more replicates</w:t>
      </w:r>
      <w:r w:rsidRPr="003204F4">
        <w:rPr>
          <w:shd w:val="clear" w:color="auto" w:fill="FFFFFF"/>
          <w:lang w:val="en-GB"/>
        </w:rPr>
        <w:t>.</w:t>
      </w:r>
    </w:p>
    <w:p w14:paraId="6448211B" w14:textId="40F3600C" w:rsidR="00572A52" w:rsidRPr="003204F4" w:rsidRDefault="00572A52" w:rsidP="00572A52">
      <w:pPr>
        <w:tabs>
          <w:tab w:val="left" w:pos="3855"/>
        </w:tabs>
        <w:spacing w:line="480" w:lineRule="auto"/>
        <w:jc w:val="both"/>
        <w:rPr>
          <w:lang w:val="en-GB"/>
        </w:rPr>
      </w:pPr>
      <w:r w:rsidRPr="003204F4">
        <w:rPr>
          <w:lang w:val="en-GB"/>
        </w:rPr>
        <w:t xml:space="preserve">The </w:t>
      </w:r>
      <w:r w:rsidR="00A167D4" w:rsidRPr="003204F4">
        <w:rPr>
          <w:lang w:val="en-GB"/>
        </w:rPr>
        <w:t xml:space="preserve">novel </w:t>
      </w:r>
      <w:proofErr w:type="spellStart"/>
      <w:r w:rsidRPr="003204F4">
        <w:rPr>
          <w:lang w:val="en-GB"/>
        </w:rPr>
        <w:t>synSAA</w:t>
      </w:r>
      <w:proofErr w:type="spellEnd"/>
      <w:r w:rsidRPr="003204F4">
        <w:rPr>
          <w:lang w:val="en-GB"/>
        </w:rPr>
        <w:t xml:space="preserve"> </w:t>
      </w:r>
      <w:r w:rsidR="00A167D4" w:rsidRPr="003204F4">
        <w:rPr>
          <w:lang w:val="en-GB"/>
        </w:rPr>
        <w:t xml:space="preserve">developed by </w:t>
      </w:r>
      <w:proofErr w:type="spellStart"/>
      <w:r w:rsidR="00A167D4" w:rsidRPr="003204F4">
        <w:rPr>
          <w:lang w:val="en-GB"/>
        </w:rPr>
        <w:t>Amprion</w:t>
      </w:r>
      <w:proofErr w:type="spellEnd"/>
      <w:r w:rsidR="00A167D4" w:rsidRPr="003204F4">
        <w:rPr>
          <w:lang w:val="en-GB"/>
        </w:rPr>
        <w:t xml:space="preserve"> </w:t>
      </w:r>
      <w:r w:rsidRPr="003204F4">
        <w:rPr>
          <w:lang w:val="en-GB"/>
        </w:rPr>
        <w:t xml:space="preserve">was performed in a final 100μL reaction mixture, consisting of 100mM PIPES pH 6.50 (Sigma, cat#80635), 500mM NaCl (Lonza, cat#51202), 10μM </w:t>
      </w:r>
      <w:proofErr w:type="spellStart"/>
      <w:r w:rsidRPr="003204F4">
        <w:rPr>
          <w:lang w:val="en-GB"/>
        </w:rPr>
        <w:t>ThT</w:t>
      </w:r>
      <w:proofErr w:type="spellEnd"/>
      <w:r w:rsidRPr="003204F4">
        <w:rPr>
          <w:lang w:val="en-GB"/>
        </w:rPr>
        <w:t xml:space="preserve"> (Sigma, cat#T3516), 0.1% </w:t>
      </w:r>
      <w:proofErr w:type="spellStart"/>
      <w:r w:rsidRPr="003204F4">
        <w:rPr>
          <w:lang w:val="en-GB"/>
        </w:rPr>
        <w:t>sarkosyl</w:t>
      </w:r>
      <w:proofErr w:type="spellEnd"/>
      <w:r w:rsidRPr="003204F4">
        <w:rPr>
          <w:lang w:val="en-GB"/>
        </w:rPr>
        <w:t xml:space="preserve"> (Sigma, cat#61747-13 100ML), 0.3mg/mL rec-α</w:t>
      </w:r>
      <w:proofErr w:type="spellStart"/>
      <w:r w:rsidRPr="003204F4">
        <w:rPr>
          <w:lang w:val="en-GB"/>
        </w:rPr>
        <w:t>Syn</w:t>
      </w:r>
      <w:proofErr w:type="spellEnd"/>
      <w:r w:rsidRPr="003204F4">
        <w:rPr>
          <w:lang w:val="en-GB"/>
        </w:rPr>
        <w:t xml:space="preserve"> (</w:t>
      </w:r>
      <w:proofErr w:type="spellStart"/>
      <w:r w:rsidRPr="003204F4">
        <w:rPr>
          <w:lang w:val="en-GB"/>
        </w:rPr>
        <w:t>Amprion</w:t>
      </w:r>
      <w:proofErr w:type="spellEnd"/>
      <w:r w:rsidRPr="003204F4">
        <w:rPr>
          <w:lang w:val="en-GB"/>
        </w:rPr>
        <w:t>, cat#S2020), and 40μL CSF.  Clear bottom plates (Greiner, c</w:t>
      </w:r>
      <w:r w:rsidR="00A167D4" w:rsidRPr="003204F4">
        <w:rPr>
          <w:lang w:val="en-GB"/>
        </w:rPr>
        <w:t>at#655906) were used with 2x 3</w:t>
      </w:r>
      <w:r w:rsidRPr="003204F4">
        <w:rPr>
          <w:lang w:val="en-GB"/>
        </w:rPr>
        <w:t xml:space="preserve">mm </w:t>
      </w:r>
      <w:r w:rsidR="00A167D4" w:rsidRPr="003204F4">
        <w:rPr>
          <w:lang w:val="en-GB"/>
        </w:rPr>
        <w:t>borosilicate</w:t>
      </w:r>
      <w:r w:rsidRPr="003204F4">
        <w:rPr>
          <w:lang w:val="en-GB"/>
        </w:rPr>
        <w:t xml:space="preserve"> beads per well (</w:t>
      </w:r>
      <w:r w:rsidR="00A167D4" w:rsidRPr="003204F4">
        <w:rPr>
          <w:lang w:val="en-GB"/>
        </w:rPr>
        <w:t>Pyrex</w:t>
      </w:r>
      <w:r w:rsidRPr="003204F4">
        <w:rPr>
          <w:lang w:val="en-GB"/>
        </w:rPr>
        <w:t xml:space="preserve">). Beads were added first, </w:t>
      </w:r>
      <w:r w:rsidR="00F5220B" w:rsidRPr="003204F4">
        <w:rPr>
          <w:lang w:val="en-GB"/>
        </w:rPr>
        <w:t>followed by the untreated CSF samples (previously vortexed for 10 sec</w:t>
      </w:r>
      <w:r w:rsidR="00131D72" w:rsidRPr="003204F4">
        <w:rPr>
          <w:lang w:val="en-GB"/>
        </w:rPr>
        <w:t>onds</w:t>
      </w:r>
      <w:r w:rsidR="00F5220B" w:rsidRPr="003204F4">
        <w:rPr>
          <w:lang w:val="en-GB"/>
        </w:rPr>
        <w:t>), and then</w:t>
      </w:r>
      <w:r w:rsidRPr="003204F4">
        <w:rPr>
          <w:lang w:val="en-GB"/>
        </w:rPr>
        <w:t xml:space="preserve"> the master mix, including unfiltered substrates.</w:t>
      </w:r>
      <w:r w:rsidR="00A167D4" w:rsidRPr="003204F4">
        <w:rPr>
          <w:lang w:val="en-GB"/>
        </w:rPr>
        <w:t xml:space="preserve"> Plate and CSF were maintained o</w:t>
      </w:r>
      <w:r w:rsidRPr="003204F4">
        <w:rPr>
          <w:lang w:val="en-GB"/>
        </w:rPr>
        <w:t>n ice for the entire loading process. The plate was sealed with a plate sealer film (Nalgene Nunc International). Plates were evaluated for 24</w:t>
      </w:r>
      <w:r w:rsidR="00131D72" w:rsidRPr="003204F4">
        <w:rPr>
          <w:lang w:val="en-GB"/>
        </w:rPr>
        <w:t xml:space="preserve"> hours</w:t>
      </w:r>
      <w:r w:rsidRPr="003204F4">
        <w:rPr>
          <w:lang w:val="en-GB"/>
        </w:rPr>
        <w:t xml:space="preserve"> at 42°C with intermittent orbital shaking (800rpm) for 1</w:t>
      </w:r>
      <w:r w:rsidR="00131D72" w:rsidRPr="003204F4">
        <w:rPr>
          <w:lang w:val="en-GB"/>
        </w:rPr>
        <w:t xml:space="preserve"> </w:t>
      </w:r>
      <w:r w:rsidRPr="003204F4">
        <w:rPr>
          <w:lang w:val="en-GB"/>
        </w:rPr>
        <w:t>min</w:t>
      </w:r>
      <w:r w:rsidR="00131D72" w:rsidRPr="003204F4">
        <w:rPr>
          <w:lang w:val="en-GB"/>
        </w:rPr>
        <w:t>ute</w:t>
      </w:r>
      <w:r w:rsidRPr="003204F4">
        <w:rPr>
          <w:lang w:val="en-GB"/>
        </w:rPr>
        <w:t xml:space="preserve"> every 15</w:t>
      </w:r>
      <w:r w:rsidR="00131D72" w:rsidRPr="003204F4">
        <w:rPr>
          <w:lang w:val="en-GB"/>
        </w:rPr>
        <w:t xml:space="preserve"> </w:t>
      </w:r>
      <w:r w:rsidRPr="003204F4">
        <w:rPr>
          <w:lang w:val="en-GB"/>
        </w:rPr>
        <w:t>min</w:t>
      </w:r>
      <w:r w:rsidR="00131D72" w:rsidRPr="003204F4">
        <w:rPr>
          <w:lang w:val="en-GB"/>
        </w:rPr>
        <w:t>utes</w:t>
      </w:r>
      <w:r w:rsidRPr="003204F4">
        <w:rPr>
          <w:lang w:val="en-GB"/>
        </w:rPr>
        <w:t xml:space="preserve">. Fluorescence was read every cycle using fluorescence-calibrated </w:t>
      </w:r>
      <w:proofErr w:type="spellStart"/>
      <w:r w:rsidRPr="003204F4">
        <w:rPr>
          <w:lang w:val="en-GB"/>
        </w:rPr>
        <w:t>FLUOstar</w:t>
      </w:r>
      <w:proofErr w:type="spellEnd"/>
      <w:r w:rsidRPr="003204F4">
        <w:rPr>
          <w:lang w:val="en-GB"/>
        </w:rPr>
        <w:t xml:space="preserve"> Omegas (BMG), with filters set at 450 nm excitation and 480 nm emission. </w:t>
      </w:r>
    </w:p>
    <w:p w14:paraId="3E2AE68B" w14:textId="1C5B53CA" w:rsidR="00572A52" w:rsidRPr="003204F4" w:rsidRDefault="00572A52" w:rsidP="00572A52">
      <w:pPr>
        <w:tabs>
          <w:tab w:val="left" w:pos="3855"/>
        </w:tabs>
        <w:spacing w:line="480" w:lineRule="auto"/>
        <w:jc w:val="both"/>
        <w:rPr>
          <w:lang w:val="en-GB"/>
        </w:rPr>
      </w:pPr>
      <w:r w:rsidRPr="003204F4">
        <w:rPr>
          <w:lang w:val="en-GB"/>
        </w:rPr>
        <w:t xml:space="preserve">All samples were </w:t>
      </w:r>
      <w:proofErr w:type="spellStart"/>
      <w:r w:rsidRPr="003204F4">
        <w:rPr>
          <w:lang w:val="en-GB"/>
        </w:rPr>
        <w:t>analyzed</w:t>
      </w:r>
      <w:proofErr w:type="spellEnd"/>
      <w:r w:rsidRPr="003204F4">
        <w:rPr>
          <w:lang w:val="en-GB"/>
        </w:rPr>
        <w:t xml:space="preserve"> in adjacent triplicates. We identified replicates with high fluorescence (</w:t>
      </w:r>
      <w:r w:rsidR="00A167D4" w:rsidRPr="003204F4">
        <w:rPr>
          <w:lang w:val="en-GB"/>
        </w:rPr>
        <w:t>≥</w:t>
      </w:r>
      <w:r w:rsidRPr="003204F4">
        <w:rPr>
          <w:lang w:val="en-GB"/>
        </w:rPr>
        <w:t>45,000) RFU as Type1, intermediate fluorescence (</w:t>
      </w:r>
      <w:r w:rsidR="00E94D5F" w:rsidRPr="003204F4">
        <w:rPr>
          <w:lang w:val="en-GB"/>
        </w:rPr>
        <w:t>&lt;45,000 and ≥3,000</w:t>
      </w:r>
      <w:r w:rsidRPr="003204F4">
        <w:rPr>
          <w:lang w:val="en-GB"/>
        </w:rPr>
        <w:t>) as Type2, and those with fluorescence indisting</w:t>
      </w:r>
      <w:r w:rsidR="00E94D5F" w:rsidRPr="003204F4">
        <w:rPr>
          <w:lang w:val="en-GB"/>
        </w:rPr>
        <w:t>uishable from the background (&lt;</w:t>
      </w:r>
      <w:r w:rsidRPr="003204F4">
        <w:rPr>
          <w:lang w:val="en-GB"/>
        </w:rPr>
        <w:t xml:space="preserve">3000 RFU) as negative. Maximum fluorescence (Fmax) from three replicates was combined in a determination criterion to generate a dual output for each sample; the first output determines the detection/non-detection of </w:t>
      </w:r>
      <w:proofErr w:type="spellStart"/>
      <w:r w:rsidRPr="003204F4">
        <w:rPr>
          <w:lang w:val="en-GB"/>
        </w:rPr>
        <w:t>syn</w:t>
      </w:r>
      <w:proofErr w:type="spellEnd"/>
      <w:r w:rsidRPr="003204F4">
        <w:rPr>
          <w:lang w:val="en-GB"/>
        </w:rPr>
        <w:t xml:space="preserve">-seeds, and the second output determines the type of </w:t>
      </w:r>
      <w:proofErr w:type="spellStart"/>
      <w:r w:rsidRPr="003204F4">
        <w:rPr>
          <w:lang w:val="en-GB"/>
        </w:rPr>
        <w:t>syn</w:t>
      </w:r>
      <w:proofErr w:type="spellEnd"/>
      <w:r w:rsidRPr="003204F4">
        <w:rPr>
          <w:lang w:val="en-GB"/>
        </w:rPr>
        <w:t xml:space="preserve">-seeds present in </w:t>
      </w:r>
      <w:proofErr w:type="spellStart"/>
      <w:r w:rsidR="004B0D02" w:rsidRPr="003204F4">
        <w:rPr>
          <w:lang w:val="en-GB"/>
        </w:rPr>
        <w:t>synSAA</w:t>
      </w:r>
      <w:proofErr w:type="spellEnd"/>
      <w:r w:rsidR="004B0D02" w:rsidRPr="003204F4">
        <w:rPr>
          <w:lang w:val="en-GB"/>
        </w:rPr>
        <w:t>-positive</w:t>
      </w:r>
      <w:r w:rsidRPr="003204F4">
        <w:rPr>
          <w:lang w:val="en-GB"/>
        </w:rPr>
        <w:t xml:space="preserve"> (</w:t>
      </w:r>
      <w:proofErr w:type="spellStart"/>
      <w:r w:rsidRPr="003204F4">
        <w:rPr>
          <w:lang w:val="en-GB"/>
        </w:rPr>
        <w:t>synSAA</w:t>
      </w:r>
      <w:proofErr w:type="spellEnd"/>
      <w:r w:rsidRPr="003204F4">
        <w:rPr>
          <w:lang w:val="en-GB"/>
        </w:rPr>
        <w:t xml:space="preserve">+) samples. Briefly, samples with three Type1 replicates (Fmax≥45,000RFU) were deemed </w:t>
      </w:r>
      <w:proofErr w:type="spellStart"/>
      <w:r w:rsidRPr="003204F4">
        <w:rPr>
          <w:lang w:val="en-GB"/>
        </w:rPr>
        <w:t>synSAA</w:t>
      </w:r>
      <w:proofErr w:type="spellEnd"/>
      <w:r w:rsidRPr="003204F4">
        <w:rPr>
          <w:lang w:val="en-GB"/>
        </w:rPr>
        <w:t xml:space="preserve">+ Type1. Samples with two or three Type2 replicates (Fmax between 3,000RFU and 45,000RFU) were deemed </w:t>
      </w:r>
      <w:proofErr w:type="spellStart"/>
      <w:r w:rsidRPr="003204F4">
        <w:rPr>
          <w:lang w:val="en-GB"/>
        </w:rPr>
        <w:t>synSAA</w:t>
      </w:r>
      <w:proofErr w:type="spellEnd"/>
      <w:r w:rsidRPr="003204F4">
        <w:rPr>
          <w:lang w:val="en-GB"/>
        </w:rPr>
        <w:t xml:space="preserve">+ Type2. Samples with two Type1 and one Type2 replicates were deemed </w:t>
      </w:r>
      <w:proofErr w:type="spellStart"/>
      <w:r w:rsidRPr="003204F4">
        <w:rPr>
          <w:lang w:val="en-GB"/>
        </w:rPr>
        <w:t>synSAA</w:t>
      </w:r>
      <w:proofErr w:type="spellEnd"/>
      <w:r w:rsidRPr="003204F4">
        <w:rPr>
          <w:lang w:val="en-GB"/>
        </w:rPr>
        <w:t xml:space="preserve">+ undetermined. Samples with two or three negative (Fmax&lt;3,000RFU) replicates were deemed </w:t>
      </w:r>
      <w:proofErr w:type="spellStart"/>
      <w:r w:rsidRPr="003204F4">
        <w:rPr>
          <w:lang w:val="en-GB"/>
        </w:rPr>
        <w:lastRenderedPageBreak/>
        <w:t>synSAA</w:t>
      </w:r>
      <w:proofErr w:type="spellEnd"/>
      <w:r w:rsidRPr="003204F4">
        <w:rPr>
          <w:lang w:val="en-GB"/>
        </w:rPr>
        <w:t xml:space="preserve"> 2 negative (</w:t>
      </w:r>
      <w:proofErr w:type="spellStart"/>
      <w:r w:rsidRPr="003204F4">
        <w:rPr>
          <w:lang w:val="en-GB"/>
        </w:rPr>
        <w:t>synSAA</w:t>
      </w:r>
      <w:proofErr w:type="spellEnd"/>
      <w:r w:rsidRPr="003204F4">
        <w:rPr>
          <w:lang w:val="en-GB"/>
        </w:rPr>
        <w:t xml:space="preserve">-). Other cases were deemed inconclusive and undetermined. Inconclusive and undetermined results triggered </w:t>
      </w:r>
      <w:r w:rsidR="00F97857" w:rsidRPr="003204F4">
        <w:rPr>
          <w:lang w:val="en-GB"/>
        </w:rPr>
        <w:t xml:space="preserve">a sample retest if the </w:t>
      </w:r>
      <w:r w:rsidRPr="003204F4">
        <w:rPr>
          <w:lang w:val="en-GB"/>
        </w:rPr>
        <w:t>sample volume allowed.</w:t>
      </w:r>
    </w:p>
    <w:p w14:paraId="0EDB4541" w14:textId="6AFA05CD" w:rsidR="00572A52" w:rsidRPr="003204F4" w:rsidRDefault="00572A52" w:rsidP="00572A52">
      <w:pPr>
        <w:tabs>
          <w:tab w:val="left" w:pos="3855"/>
        </w:tabs>
        <w:spacing w:line="480" w:lineRule="auto"/>
        <w:jc w:val="both"/>
        <w:rPr>
          <w:lang w:val="en-GB"/>
        </w:rPr>
      </w:pPr>
      <w:r w:rsidRPr="003204F4">
        <w:rPr>
          <w:lang w:val="en-GB"/>
        </w:rPr>
        <w:t xml:space="preserve">For samples generating Inconclusive and/or Undetermined results, we repeated the analysis in triplicate in </w:t>
      </w:r>
      <w:r w:rsidR="00F97857" w:rsidRPr="003204F4">
        <w:rPr>
          <w:lang w:val="en-GB"/>
        </w:rPr>
        <w:t>a subsequent run to obtain</w:t>
      </w:r>
      <w:r w:rsidRPr="003204F4">
        <w:rPr>
          <w:lang w:val="en-GB"/>
        </w:rPr>
        <w:t xml:space="preserve"> conclusive final results. If the re-run produced Inconclusive and/or Undetermined results again, we deemed the sample Inconclusive/Undetermined as the final result.</w:t>
      </w:r>
    </w:p>
    <w:p w14:paraId="5067A363" w14:textId="6A4C9884" w:rsidR="00572A52" w:rsidRPr="003204F4" w:rsidRDefault="008F3007" w:rsidP="00572A52">
      <w:pPr>
        <w:spacing w:line="480" w:lineRule="auto"/>
        <w:jc w:val="both"/>
        <w:rPr>
          <w:b/>
          <w:bCs/>
          <w:lang w:val="en-US"/>
        </w:rPr>
      </w:pPr>
      <w:r w:rsidRPr="003204F4">
        <w:rPr>
          <w:b/>
          <w:bCs/>
          <w:lang w:val="en-US"/>
        </w:rPr>
        <w:t>Neuropathologic Examination</w:t>
      </w:r>
    </w:p>
    <w:p w14:paraId="1783E2CA" w14:textId="684CF27D" w:rsidR="008F3007" w:rsidRPr="003204F4" w:rsidRDefault="00662E25" w:rsidP="00BA4794">
      <w:pPr>
        <w:spacing w:line="480" w:lineRule="auto"/>
        <w:jc w:val="both"/>
        <w:rPr>
          <w:b/>
          <w:bCs/>
          <w:lang w:val="en-US"/>
        </w:rPr>
      </w:pPr>
      <w:r w:rsidRPr="003204F4">
        <w:rPr>
          <w:lang w:val="en-US"/>
        </w:rPr>
        <w:t>In 4 patients (MSA group), n</w:t>
      </w:r>
      <w:r w:rsidR="00BA4794" w:rsidRPr="003204F4">
        <w:rPr>
          <w:lang w:val="en-US"/>
        </w:rPr>
        <w:t xml:space="preserve">europathological examination was performed at </w:t>
      </w:r>
      <w:r w:rsidR="002A1162" w:rsidRPr="003204F4">
        <w:rPr>
          <w:lang w:val="en-US"/>
        </w:rPr>
        <w:t xml:space="preserve">the </w:t>
      </w:r>
      <w:r w:rsidR="00BA4794" w:rsidRPr="003204F4">
        <w:rPr>
          <w:lang w:val="en-US"/>
        </w:rPr>
        <w:t>Neuropathology Laboratory of IRCCS Institute of Neurological Sciences of Bologna using standardized procedures as described</w:t>
      </w:r>
      <w:r w:rsidRPr="003204F4">
        <w:rPr>
          <w:vertAlign w:val="superscript"/>
          <w:lang w:val="en-US"/>
        </w:rPr>
        <w:t>1</w:t>
      </w:r>
      <w:r w:rsidR="003204F4">
        <w:rPr>
          <w:vertAlign w:val="superscript"/>
          <w:lang w:val="en-US"/>
        </w:rPr>
        <w:t>4</w:t>
      </w:r>
      <w:r w:rsidR="00BA4794" w:rsidRPr="003204F4">
        <w:rPr>
          <w:lang w:val="en-US"/>
        </w:rPr>
        <w:t xml:space="preserve">. Seven </w:t>
      </w:r>
      <w:proofErr w:type="spellStart"/>
      <w:r w:rsidR="002A1162" w:rsidRPr="003204F4">
        <w:rPr>
          <w:lang w:val="en-US"/>
        </w:rPr>
        <w:t>μm</w:t>
      </w:r>
      <w:proofErr w:type="spellEnd"/>
      <w:r w:rsidR="002A1162" w:rsidRPr="003204F4">
        <w:rPr>
          <w:lang w:val="en-US"/>
        </w:rPr>
        <w:t>-thick</w:t>
      </w:r>
      <w:r w:rsidR="00BA4794" w:rsidRPr="003204F4">
        <w:rPr>
          <w:lang w:val="en-US"/>
        </w:rPr>
        <w:t xml:space="preserve"> sections from each block were stained with hematoxylin–eosin for screening. Also, immunohistochemistry with antibodies specific for αSyn (LB509, dilution 1:100, Thermo Fisher Scientific, and KM51, dilution 1:500, </w:t>
      </w:r>
      <w:proofErr w:type="spellStart"/>
      <w:r w:rsidR="00BA4794" w:rsidRPr="003204F4">
        <w:rPr>
          <w:lang w:val="en-US"/>
        </w:rPr>
        <w:t>Novocastra</w:t>
      </w:r>
      <w:proofErr w:type="spellEnd"/>
      <w:r w:rsidR="00BA4794" w:rsidRPr="003204F4">
        <w:rPr>
          <w:lang w:val="en-US"/>
        </w:rPr>
        <w:t xml:space="preserve">) was applied to all cases </w:t>
      </w:r>
      <w:r w:rsidR="00EF1E85" w:rsidRPr="003204F4">
        <w:rPr>
          <w:lang w:val="en-US"/>
        </w:rPr>
        <w:t>across</w:t>
      </w:r>
      <w:r w:rsidR="00BA4794" w:rsidRPr="003204F4">
        <w:rPr>
          <w:lang w:val="en-US"/>
        </w:rPr>
        <w:t xml:space="preserve"> several brain regions, following established consensus criteria</w:t>
      </w:r>
      <w:r w:rsidRPr="003204F4">
        <w:rPr>
          <w:vertAlign w:val="superscript"/>
          <w:lang w:val="en-US"/>
        </w:rPr>
        <w:t>1</w:t>
      </w:r>
      <w:r w:rsidR="003204F4">
        <w:rPr>
          <w:vertAlign w:val="superscript"/>
          <w:lang w:val="en-US"/>
        </w:rPr>
        <w:t>5</w:t>
      </w:r>
      <w:r w:rsidR="00BA4794" w:rsidRPr="003204F4">
        <w:rPr>
          <w:lang w:val="en-US"/>
        </w:rPr>
        <w:t>. An experienced neuropathologist (PP) formulated the final diagnosis</w:t>
      </w:r>
      <w:r w:rsidR="00525831" w:rsidRPr="003204F4">
        <w:rPr>
          <w:lang w:val="en-US"/>
        </w:rPr>
        <w:t xml:space="preserve"> </w:t>
      </w:r>
      <w:r w:rsidR="00EF1E85" w:rsidRPr="003204F4">
        <w:rPr>
          <w:lang w:val="en-US"/>
        </w:rPr>
        <w:t>in accordance with consensus criteria</w:t>
      </w:r>
      <w:r w:rsidR="00EF1E85" w:rsidRPr="003204F4">
        <w:rPr>
          <w:vertAlign w:val="superscript"/>
          <w:lang w:val="en-US"/>
        </w:rPr>
        <w:t>1</w:t>
      </w:r>
      <w:r w:rsidR="003204F4">
        <w:rPr>
          <w:vertAlign w:val="superscript"/>
          <w:lang w:val="en-US"/>
        </w:rPr>
        <w:t>5</w:t>
      </w:r>
      <w:r w:rsidR="00EF1E85" w:rsidRPr="003204F4">
        <w:rPr>
          <w:lang w:val="en-US"/>
        </w:rPr>
        <w:t>.</w:t>
      </w:r>
    </w:p>
    <w:p w14:paraId="4A75BC02" w14:textId="77777777" w:rsidR="00525831" w:rsidRPr="003204F4" w:rsidRDefault="00525831" w:rsidP="00BA4794">
      <w:pPr>
        <w:spacing w:line="480" w:lineRule="auto"/>
        <w:jc w:val="both"/>
        <w:rPr>
          <w:b/>
          <w:bCs/>
          <w:lang w:val="en-US"/>
        </w:rPr>
      </w:pPr>
    </w:p>
    <w:p w14:paraId="32F3E169" w14:textId="77777777" w:rsidR="00572A52" w:rsidRPr="003204F4" w:rsidRDefault="00572A52" w:rsidP="00572A52">
      <w:pPr>
        <w:spacing w:line="480" w:lineRule="auto"/>
        <w:jc w:val="both"/>
        <w:rPr>
          <w:b/>
          <w:bCs/>
          <w:shd w:val="clear" w:color="auto" w:fill="FFFFFF"/>
          <w:lang w:val="en-US"/>
        </w:rPr>
      </w:pPr>
      <w:r w:rsidRPr="003204F4">
        <w:rPr>
          <w:b/>
          <w:bCs/>
          <w:shd w:val="clear" w:color="auto" w:fill="FFFFFF"/>
          <w:lang w:val="en-US"/>
        </w:rPr>
        <w:t>References</w:t>
      </w:r>
    </w:p>
    <w:p w14:paraId="6E30F1AB" w14:textId="39836D14" w:rsidR="00480212" w:rsidRPr="003204F4" w:rsidRDefault="00480212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Calandra-Buonaura G, Guaraldi P, Sambati L, </w:t>
      </w:r>
      <w:r w:rsidR="00E10995" w:rsidRPr="003204F4">
        <w:rPr>
          <w:rFonts w:ascii="Times New Roman" w:hAnsi="Times New Roman" w:cs="Times New Roman"/>
          <w:sz w:val="24"/>
          <w:szCs w:val="24"/>
        </w:rPr>
        <w:t>et al.</w:t>
      </w:r>
      <w:r w:rsidRPr="003204F4">
        <w:rPr>
          <w:rFonts w:ascii="Times New Roman" w:hAnsi="Times New Roman" w:cs="Times New Roman"/>
          <w:sz w:val="24"/>
          <w:szCs w:val="24"/>
        </w:rPr>
        <w:t xml:space="preserve">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Multiple system atrophy with prolonged survival: is late onset of dysautonomia the clue?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Neurol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 Sci. 2013;34(10):1875-8.</w:t>
      </w:r>
    </w:p>
    <w:p w14:paraId="55CF8B8A" w14:textId="593DB096" w:rsidR="00480212" w:rsidRPr="003204F4" w:rsidRDefault="00480212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Calandra-Buonaura G, Doria A, </w:t>
      </w:r>
      <w:proofErr w:type="spellStart"/>
      <w:r w:rsidRPr="003204F4">
        <w:rPr>
          <w:rFonts w:ascii="Times New Roman" w:hAnsi="Times New Roman" w:cs="Times New Roman"/>
          <w:sz w:val="24"/>
          <w:szCs w:val="24"/>
        </w:rPr>
        <w:t>Lopane</w:t>
      </w:r>
      <w:proofErr w:type="spellEnd"/>
      <w:r w:rsidRPr="003204F4">
        <w:rPr>
          <w:rFonts w:ascii="Times New Roman" w:hAnsi="Times New Roman" w:cs="Times New Roman"/>
          <w:sz w:val="24"/>
          <w:szCs w:val="24"/>
        </w:rPr>
        <w:t xml:space="preserve"> G, </w:t>
      </w:r>
      <w:r w:rsidR="00E10995" w:rsidRPr="003204F4">
        <w:rPr>
          <w:rFonts w:ascii="Times New Roman" w:hAnsi="Times New Roman" w:cs="Times New Roman"/>
          <w:sz w:val="24"/>
          <w:szCs w:val="24"/>
        </w:rPr>
        <w:t>et al.</w:t>
      </w:r>
      <w:r w:rsidRPr="003204F4">
        <w:rPr>
          <w:rFonts w:ascii="Times New Roman" w:hAnsi="Times New Roman" w:cs="Times New Roman"/>
          <w:sz w:val="24"/>
          <w:szCs w:val="24"/>
        </w:rPr>
        <w:t xml:space="preserve">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>Pharmacodynamics of a low subacute levodopa dose helps distinguish between multiple system atrophy with predominant Parkinsonism and Parkinson's disease. J Neurol. 2016;263(2):250-256.</w:t>
      </w:r>
    </w:p>
    <w:p w14:paraId="0353CE18" w14:textId="44E988BD" w:rsidR="00480212" w:rsidRPr="003204F4" w:rsidRDefault="007C7587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Giannini G, Calandra-Buonaura G, </w:t>
      </w:r>
      <w:proofErr w:type="spellStart"/>
      <w:r w:rsidRPr="003204F4">
        <w:rPr>
          <w:rFonts w:ascii="Times New Roman" w:hAnsi="Times New Roman" w:cs="Times New Roman"/>
          <w:sz w:val="24"/>
          <w:szCs w:val="24"/>
        </w:rPr>
        <w:t>Mastrolilli</w:t>
      </w:r>
      <w:proofErr w:type="spellEnd"/>
      <w:r w:rsidRPr="003204F4">
        <w:rPr>
          <w:rFonts w:ascii="Times New Roman" w:hAnsi="Times New Roman" w:cs="Times New Roman"/>
          <w:sz w:val="24"/>
          <w:szCs w:val="24"/>
        </w:rPr>
        <w:t xml:space="preserve"> F, </w:t>
      </w:r>
      <w:r w:rsidR="00E10995" w:rsidRPr="003204F4">
        <w:rPr>
          <w:rFonts w:ascii="Times New Roman" w:hAnsi="Times New Roman" w:cs="Times New Roman"/>
          <w:sz w:val="24"/>
          <w:szCs w:val="24"/>
        </w:rPr>
        <w:t>et al.</w:t>
      </w:r>
      <w:r w:rsidRPr="003204F4">
        <w:rPr>
          <w:rFonts w:ascii="Times New Roman" w:hAnsi="Times New Roman" w:cs="Times New Roman"/>
          <w:sz w:val="24"/>
          <w:szCs w:val="24"/>
        </w:rPr>
        <w:t xml:space="preserve">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>Early stridor onset and stridor treatment predict survival in 136 patients with MSA. Neurology. 2016;87(13):1375-83.</w:t>
      </w:r>
    </w:p>
    <w:p w14:paraId="6748A337" w14:textId="5BDF7013" w:rsidR="007C7587" w:rsidRPr="003204F4" w:rsidRDefault="007C7587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Giannini G, Mastrangelo V, Provini F, </w:t>
      </w:r>
      <w:r w:rsidR="00E10995" w:rsidRPr="003204F4">
        <w:rPr>
          <w:rFonts w:ascii="Times New Roman" w:hAnsi="Times New Roman" w:cs="Times New Roman"/>
          <w:sz w:val="24"/>
          <w:szCs w:val="24"/>
        </w:rPr>
        <w:t xml:space="preserve">et al. 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Progression and prognosis in multiple system atrophy presenting with REM behavior disorder.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>Neurology. 2020;94(17</w:t>
      </w:r>
      <w:proofErr w:type="gramStart"/>
      <w:r w:rsidRPr="003204F4">
        <w:rPr>
          <w:rFonts w:ascii="Times New Roman" w:hAnsi="Times New Roman" w:cs="Times New Roman"/>
          <w:sz w:val="24"/>
          <w:szCs w:val="24"/>
          <w:lang w:val="en-GB"/>
        </w:rPr>
        <w:t>):e</w:t>
      </w:r>
      <w:proofErr w:type="gramEnd"/>
      <w:r w:rsidRPr="003204F4">
        <w:rPr>
          <w:rFonts w:ascii="Times New Roman" w:hAnsi="Times New Roman" w:cs="Times New Roman"/>
          <w:sz w:val="24"/>
          <w:szCs w:val="24"/>
          <w:lang w:val="en-GB"/>
        </w:rPr>
        <w:t>1828-e1834.</w:t>
      </w:r>
    </w:p>
    <w:p w14:paraId="0688E058" w14:textId="03A40E60" w:rsidR="007C7587" w:rsidRPr="003204F4" w:rsidRDefault="007C7587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lastRenderedPageBreak/>
        <w:t xml:space="preserve">Giannini G, Provini F, Cani I, et al.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>Tracheostomy is associated with increased survival in Multiple System Atrophy patients with stridor. Eur J Neurol. 2022;29(8):2232-2240.</w:t>
      </w:r>
    </w:p>
    <w:p w14:paraId="4671C692" w14:textId="4A4C32E8" w:rsidR="007C7587" w:rsidRPr="003204F4" w:rsidRDefault="007C7587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Giannini G, Baldelli L, Provini F, et al. 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Early onset sleep disorders predict severity, progression and death in multiple system atrophy.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>J Neurol. 2025;272(3):239.</w:t>
      </w:r>
    </w:p>
    <w:p w14:paraId="780E0C93" w14:textId="715C6C80" w:rsidR="007C7587" w:rsidRPr="003204F4" w:rsidRDefault="007C7587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Baschieri F, Calandra-Buonaura G, Doria A, et al.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Cardiovascular autonomic testing performed with a new integrated instrumental approach is useful in differentiating MSA-P from PD at an early stage. Parkinsonism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Relat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Disord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>. 2015;21(5):477-82.</w:t>
      </w:r>
    </w:p>
    <w:p w14:paraId="12D06E59" w14:textId="09AC5A45" w:rsidR="007C7587" w:rsidRPr="003204F4" w:rsidRDefault="007C7587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204F4">
        <w:rPr>
          <w:rFonts w:ascii="Times New Roman" w:hAnsi="Times New Roman" w:cs="Times New Roman"/>
          <w:sz w:val="24"/>
          <w:szCs w:val="24"/>
        </w:rPr>
        <w:t>Quadalti</w:t>
      </w:r>
      <w:proofErr w:type="spellEnd"/>
      <w:r w:rsidRPr="003204F4">
        <w:rPr>
          <w:rFonts w:ascii="Times New Roman" w:hAnsi="Times New Roman" w:cs="Times New Roman"/>
          <w:sz w:val="24"/>
          <w:szCs w:val="24"/>
        </w:rPr>
        <w:t xml:space="preserve"> C, Calandra-Buonaura G, Baiardi S, et al.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>Neurofilament light chain and α-synuclein RT-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QuIC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 as differential diagnostic biomarkers in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parkinsonisms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 and related syndromes. NPJ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Parkinsons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 Dis. 2021;7(1):93.</w:t>
      </w:r>
    </w:p>
    <w:p w14:paraId="5DD679D9" w14:textId="7DF549A4" w:rsidR="00E521CE" w:rsidRPr="003204F4" w:rsidRDefault="00E521CE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Vetrugno R, Liguori R, Cortelli P, et al.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Sleep-related stridor due to dystonic vocal cord motion and neurogenic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tachypnea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/tachycardia in multiple system atrophy. Mov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Disord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. 2007 Apr 15;22(5):673-8.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doi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>: 10.1002/mds.21384. PMID: 17266093</w:t>
      </w:r>
      <w:r w:rsidR="00A70926" w:rsidRPr="003204F4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549709D3" w14:textId="593C6B82" w:rsidR="00D03B60" w:rsidRPr="003204F4" w:rsidRDefault="00D03B60" w:rsidP="00A70926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  <w:lang w:val="en-GB"/>
        </w:rPr>
        <w:t>American Academy of Sleep Medicine criteria International Classification of Sleep Disorders - Third Edition (ICSD-3). Darien, IL: American Academy of Sleep Medicine</w:t>
      </w:r>
      <w:r w:rsidR="00A70926" w:rsidRPr="003204F4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511B47D2" w14:textId="7C525585" w:rsidR="00572A52" w:rsidRPr="003204F4" w:rsidRDefault="00572A52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Mammana A, Baiardi S, Rossi M, et al. 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Improving protocols for </w:t>
      </w:r>
      <w:r w:rsidRPr="003204F4">
        <w:rPr>
          <w:rFonts w:ascii="Times New Roman" w:hAnsi="Times New Roman" w:cs="Times New Roman"/>
          <w:sz w:val="24"/>
          <w:szCs w:val="24"/>
        </w:rPr>
        <w:t>α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-synuclein seed amplification assays: analysis of preanalytical and analytical variables and identification of candidate parameters for seed quantification. Clin Chem Lab Med. 2024;62(10):2001-2010. </w:t>
      </w:r>
    </w:p>
    <w:p w14:paraId="7DA7CFBD" w14:textId="60C79429" w:rsidR="00273AAB" w:rsidRPr="003204F4" w:rsidRDefault="00273AAB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Baiardi S, Rossi M, Giannini G, et al. 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Head-to-head comparison of four cerebrospinal fluid and three plasma neurofilament light chain assays in Parkinsonism. </w:t>
      </w:r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NPJ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GB"/>
        </w:rPr>
        <w:t>Parkinsons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GB"/>
        </w:rPr>
        <w:t xml:space="preserve"> Dis. 2025;11(1):98.</w:t>
      </w:r>
    </w:p>
    <w:p w14:paraId="1E9F127E" w14:textId="28A36859" w:rsidR="00572A52" w:rsidRPr="003204F4" w:rsidRDefault="00572A52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Rossi M,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</w:rPr>
        <w:t>Candelise</w:t>
      </w:r>
      <w:proofErr w:type="spellEnd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N, Baiardi S, et al. </w:t>
      </w:r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Ultrasensitive RT-</w:t>
      </w:r>
      <w:proofErr w:type="spellStart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QuIC</w:t>
      </w:r>
      <w:proofErr w:type="spellEnd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assay with high sensitivity and specificity for Lewy body-associated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synucleinopathies</w:t>
      </w:r>
      <w:proofErr w:type="spellEnd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. Acta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Neuropathol</w:t>
      </w:r>
      <w:proofErr w:type="spellEnd"/>
      <w:r w:rsidRPr="003204F4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2020;140(1):49-62. </w:t>
      </w:r>
    </w:p>
    <w:p w14:paraId="1FE6D3E8" w14:textId="492383C5" w:rsidR="00662E25" w:rsidRPr="003204F4" w:rsidRDefault="00662E25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4F4">
        <w:rPr>
          <w:rFonts w:ascii="Times New Roman" w:hAnsi="Times New Roman" w:cs="Times New Roman"/>
          <w:sz w:val="24"/>
          <w:szCs w:val="24"/>
        </w:rPr>
        <w:t xml:space="preserve">Lattanzio F, Abu-Rumeileh S, Franceschini A, et al. 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Prion-specific and surrogate CSF biomarkers in Creutzfeldt-Jakob disease: diagnostic accuracy in relation to molecular 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lastRenderedPageBreak/>
        <w:t>subtypes and analysis of neuropathological correlates of p-tau and A</w:t>
      </w:r>
      <w:r w:rsidRPr="003204F4">
        <w:rPr>
          <w:rFonts w:ascii="Times New Roman" w:hAnsi="Times New Roman" w:cs="Times New Roman"/>
          <w:sz w:val="24"/>
          <w:szCs w:val="24"/>
        </w:rPr>
        <w:t>β</w:t>
      </w:r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42 levels. </w:t>
      </w:r>
      <w:r w:rsidRPr="003204F4">
        <w:rPr>
          <w:rFonts w:ascii="Times New Roman" w:hAnsi="Times New Roman" w:cs="Times New Roman"/>
          <w:sz w:val="24"/>
          <w:szCs w:val="24"/>
        </w:rPr>
        <w:t xml:space="preserve">Acta </w:t>
      </w:r>
      <w:proofErr w:type="spellStart"/>
      <w:r w:rsidRPr="003204F4">
        <w:rPr>
          <w:rFonts w:ascii="Times New Roman" w:hAnsi="Times New Roman" w:cs="Times New Roman"/>
          <w:sz w:val="24"/>
          <w:szCs w:val="24"/>
        </w:rPr>
        <w:t>Neuropathol</w:t>
      </w:r>
      <w:proofErr w:type="spellEnd"/>
      <w:r w:rsidRPr="003204F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204F4">
        <w:rPr>
          <w:rFonts w:ascii="Times New Roman" w:hAnsi="Times New Roman" w:cs="Times New Roman"/>
          <w:sz w:val="24"/>
          <w:szCs w:val="24"/>
        </w:rPr>
        <w:t>2017;133:559</w:t>
      </w:r>
      <w:proofErr w:type="gramEnd"/>
      <w:r w:rsidRPr="003204F4">
        <w:rPr>
          <w:rFonts w:ascii="Times New Roman" w:hAnsi="Times New Roman" w:cs="Times New Roman"/>
          <w:sz w:val="24"/>
          <w:szCs w:val="24"/>
        </w:rPr>
        <w:t>–578.</w:t>
      </w:r>
    </w:p>
    <w:p w14:paraId="72830577" w14:textId="2CBDD4D3" w:rsidR="00662E25" w:rsidRPr="003204F4" w:rsidRDefault="00662E25" w:rsidP="00572A52">
      <w:pPr>
        <w:pStyle w:val="Paragrafoelenco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04F4">
        <w:rPr>
          <w:rFonts w:ascii="Times New Roman" w:hAnsi="Times New Roman" w:cs="Times New Roman"/>
          <w:sz w:val="24"/>
          <w:szCs w:val="24"/>
          <w:lang w:val="en-US"/>
        </w:rPr>
        <w:t>Trojanowski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 JQ, </w:t>
      </w:r>
      <w:proofErr w:type="spellStart"/>
      <w:r w:rsidRPr="003204F4">
        <w:rPr>
          <w:rFonts w:ascii="Times New Roman" w:hAnsi="Times New Roman" w:cs="Times New Roman"/>
          <w:sz w:val="24"/>
          <w:szCs w:val="24"/>
          <w:lang w:val="en-US"/>
        </w:rPr>
        <w:t>Revesz</w:t>
      </w:r>
      <w:proofErr w:type="spellEnd"/>
      <w:r w:rsidRPr="003204F4">
        <w:rPr>
          <w:rFonts w:ascii="Times New Roman" w:hAnsi="Times New Roman" w:cs="Times New Roman"/>
          <w:sz w:val="24"/>
          <w:szCs w:val="24"/>
          <w:lang w:val="en-US"/>
        </w:rPr>
        <w:t xml:space="preserve"> T; Neuropathology Working Group on MSA. Proposed neuropathological criteria for the post mortem diagnosis of multiple system atrophy. </w:t>
      </w:r>
      <w:proofErr w:type="spellStart"/>
      <w:r w:rsidRPr="003204F4">
        <w:rPr>
          <w:rFonts w:ascii="Times New Roman" w:hAnsi="Times New Roman" w:cs="Times New Roman"/>
          <w:sz w:val="24"/>
          <w:szCs w:val="24"/>
        </w:rPr>
        <w:t>Neuropathol</w:t>
      </w:r>
      <w:proofErr w:type="spellEnd"/>
      <w:r w:rsidRPr="00320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4F4">
        <w:rPr>
          <w:rFonts w:ascii="Times New Roman" w:hAnsi="Times New Roman" w:cs="Times New Roman"/>
          <w:sz w:val="24"/>
          <w:szCs w:val="24"/>
        </w:rPr>
        <w:t>Appl</w:t>
      </w:r>
      <w:proofErr w:type="spellEnd"/>
      <w:r w:rsidRPr="00320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4F4">
        <w:rPr>
          <w:rFonts w:ascii="Times New Roman" w:hAnsi="Times New Roman" w:cs="Times New Roman"/>
          <w:sz w:val="24"/>
          <w:szCs w:val="24"/>
        </w:rPr>
        <w:t>Neurobiol</w:t>
      </w:r>
      <w:proofErr w:type="spellEnd"/>
      <w:r w:rsidRPr="003204F4">
        <w:rPr>
          <w:rFonts w:ascii="Times New Roman" w:hAnsi="Times New Roman" w:cs="Times New Roman"/>
          <w:sz w:val="24"/>
          <w:szCs w:val="24"/>
        </w:rPr>
        <w:t>. 2007;33(6):615-20.</w:t>
      </w:r>
    </w:p>
    <w:p w14:paraId="57951F06" w14:textId="77777777" w:rsidR="00C310ED" w:rsidRDefault="00C310ED"/>
    <w:sectPr w:rsidR="00C310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114E6"/>
    <w:multiLevelType w:val="hybridMultilevel"/>
    <w:tmpl w:val="18D053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A52"/>
    <w:rsid w:val="00000A98"/>
    <w:rsid w:val="000E3D02"/>
    <w:rsid w:val="00125DD6"/>
    <w:rsid w:val="00131D72"/>
    <w:rsid w:val="001552D3"/>
    <w:rsid w:val="00180409"/>
    <w:rsid w:val="00273AAB"/>
    <w:rsid w:val="00283911"/>
    <w:rsid w:val="002A1162"/>
    <w:rsid w:val="002A264C"/>
    <w:rsid w:val="002C1B61"/>
    <w:rsid w:val="002E3951"/>
    <w:rsid w:val="003204F4"/>
    <w:rsid w:val="003E43FA"/>
    <w:rsid w:val="003F7C4B"/>
    <w:rsid w:val="0043151E"/>
    <w:rsid w:val="00480212"/>
    <w:rsid w:val="004A6860"/>
    <w:rsid w:val="004B0D02"/>
    <w:rsid w:val="005240E8"/>
    <w:rsid w:val="00525831"/>
    <w:rsid w:val="005302DF"/>
    <w:rsid w:val="00572A52"/>
    <w:rsid w:val="005E70A6"/>
    <w:rsid w:val="005F5DAC"/>
    <w:rsid w:val="00634531"/>
    <w:rsid w:val="00653BDF"/>
    <w:rsid w:val="00662E25"/>
    <w:rsid w:val="00675DD9"/>
    <w:rsid w:val="007C6F17"/>
    <w:rsid w:val="007C7587"/>
    <w:rsid w:val="007D4EF8"/>
    <w:rsid w:val="0080526B"/>
    <w:rsid w:val="00845F31"/>
    <w:rsid w:val="00861195"/>
    <w:rsid w:val="008E19EB"/>
    <w:rsid w:val="008E44F9"/>
    <w:rsid w:val="008F3007"/>
    <w:rsid w:val="00936365"/>
    <w:rsid w:val="009528FE"/>
    <w:rsid w:val="009C4A25"/>
    <w:rsid w:val="00A167D4"/>
    <w:rsid w:val="00A61B6E"/>
    <w:rsid w:val="00A70926"/>
    <w:rsid w:val="00AA06EF"/>
    <w:rsid w:val="00AB4EF7"/>
    <w:rsid w:val="00AC6C0B"/>
    <w:rsid w:val="00B036E3"/>
    <w:rsid w:val="00B637C6"/>
    <w:rsid w:val="00B67701"/>
    <w:rsid w:val="00B82825"/>
    <w:rsid w:val="00BA4794"/>
    <w:rsid w:val="00C21D6A"/>
    <w:rsid w:val="00C307CE"/>
    <w:rsid w:val="00C310ED"/>
    <w:rsid w:val="00C33793"/>
    <w:rsid w:val="00CB63BB"/>
    <w:rsid w:val="00D03B60"/>
    <w:rsid w:val="00DA4FAF"/>
    <w:rsid w:val="00E034BB"/>
    <w:rsid w:val="00E04419"/>
    <w:rsid w:val="00E10995"/>
    <w:rsid w:val="00E521CE"/>
    <w:rsid w:val="00E6175D"/>
    <w:rsid w:val="00E94D5F"/>
    <w:rsid w:val="00EF1E85"/>
    <w:rsid w:val="00F05EB5"/>
    <w:rsid w:val="00F5220B"/>
    <w:rsid w:val="00F97857"/>
    <w:rsid w:val="00FB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91873"/>
  <w15:docId w15:val="{C4FF984D-66C9-4A69-9906-34F3BC06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72A52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stonormale">
    <w:name w:val="Plain Text"/>
    <w:basedOn w:val="Normale"/>
    <w:link w:val="TestonormaleCarattere"/>
    <w:uiPriority w:val="99"/>
    <w:unhideWhenUsed/>
    <w:rsid w:val="002C1B61"/>
    <w:rPr>
      <w:rFonts w:ascii="Calibri" w:hAnsi="Calibri" w:cs="Calibr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C1B61"/>
    <w:rPr>
      <w:rFonts w:ascii="Calibri" w:eastAsia="Times New Roman" w:hAnsi="Calibri" w:cs="Calibri"/>
      <w:szCs w:val="21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167D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167D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167D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167D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167D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67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67D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1534</Words>
  <Characters>9230</Characters>
  <Application>Microsoft Office Word</Application>
  <DocSecurity>0</DocSecurity>
  <Lines>133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Rossi</dc:creator>
  <cp:lastModifiedBy>Piero Parchi</cp:lastModifiedBy>
  <cp:revision>3</cp:revision>
  <dcterms:created xsi:type="dcterms:W3CDTF">2025-07-17T11:39:00Z</dcterms:created>
  <dcterms:modified xsi:type="dcterms:W3CDTF">2025-07-17T11:44:00Z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a8880eb0-d0ce-47d3-b21d-95d74214fcc9</vt:lpwstr>
  </property>
</Properties>
</file>