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970106" w14:textId="368B48BB" w:rsidR="00C50070" w:rsidRPr="00622F49" w:rsidRDefault="00C50070" w:rsidP="00C50070">
      <w:pPr>
        <w:spacing w:line="360" w:lineRule="auto"/>
        <w:jc w:val="center"/>
        <w:rPr>
          <w:rFonts w:ascii="Times New Roman" w:hAnsi="Times New Roman" w:cs="Times New Roman"/>
          <w:b/>
          <w:bCs/>
          <w:sz w:val="20"/>
          <w:szCs w:val="20"/>
          <w:lang w:val="en-GB"/>
        </w:rPr>
      </w:pPr>
      <w:r w:rsidRPr="00622F49">
        <w:rPr>
          <w:rFonts w:ascii="Times New Roman" w:hAnsi="Times New Roman" w:cs="Times New Roman"/>
          <w:b/>
          <w:bCs/>
          <w:sz w:val="20"/>
          <w:szCs w:val="20"/>
          <w:lang w:val="en-GB"/>
        </w:rPr>
        <w:t>Prevalence of vestibulo-ocular reflex dysfunction in people with neurological disorders:</w:t>
      </w:r>
      <w:r w:rsidR="00BD19F7" w:rsidRPr="00622F49">
        <w:rPr>
          <w:rFonts w:ascii="Times New Roman" w:hAnsi="Times New Roman" w:cs="Times New Roman"/>
          <w:b/>
          <w:bCs/>
          <w:sz w:val="20"/>
          <w:szCs w:val="20"/>
          <w:lang w:val="en-GB"/>
        </w:rPr>
        <w:br/>
      </w:r>
      <w:r w:rsidRPr="00622F49">
        <w:rPr>
          <w:rFonts w:ascii="Times New Roman" w:hAnsi="Times New Roman" w:cs="Times New Roman"/>
          <w:b/>
          <w:bCs/>
          <w:sz w:val="20"/>
          <w:szCs w:val="20"/>
          <w:lang w:val="en-GB"/>
        </w:rPr>
        <w:t>A systematic review and meta-analysis</w:t>
      </w:r>
    </w:p>
    <w:p w14:paraId="0CE16315" w14:textId="77777777" w:rsidR="00C50070" w:rsidRPr="00622F49" w:rsidRDefault="00C50070" w:rsidP="00C50070">
      <w:pPr>
        <w:spacing w:line="360" w:lineRule="auto"/>
        <w:rPr>
          <w:rFonts w:ascii="Times New Roman" w:hAnsi="Times New Roman" w:cs="Times New Roman"/>
          <w:b/>
          <w:bCs/>
          <w:sz w:val="20"/>
          <w:szCs w:val="20"/>
        </w:rPr>
      </w:pPr>
    </w:p>
    <w:p w14:paraId="3FBE0C4A" w14:textId="4E1F28DB" w:rsidR="00C50070" w:rsidRPr="00622F49" w:rsidRDefault="00C50070" w:rsidP="00C50070">
      <w:pPr>
        <w:spacing w:line="360" w:lineRule="auto"/>
        <w:rPr>
          <w:rFonts w:ascii="Times New Roman" w:hAnsi="Times New Roman" w:cs="Times New Roman"/>
          <w:b/>
          <w:bCs/>
          <w:sz w:val="20"/>
          <w:szCs w:val="20"/>
        </w:rPr>
      </w:pPr>
    </w:p>
    <w:p w14:paraId="08683940" w14:textId="77777777" w:rsidR="00C50070" w:rsidRDefault="00C50070" w:rsidP="00C50070">
      <w:pPr>
        <w:spacing w:line="360" w:lineRule="auto"/>
        <w:rPr>
          <w:rFonts w:ascii="Times New Roman" w:hAnsi="Times New Roman" w:cs="Times New Roman"/>
          <w:b/>
          <w:bCs/>
          <w:sz w:val="20"/>
          <w:szCs w:val="20"/>
        </w:rPr>
      </w:pPr>
    </w:p>
    <w:p w14:paraId="72DE7B21" w14:textId="77777777" w:rsidR="00622F49" w:rsidRDefault="00622F49" w:rsidP="00C50070">
      <w:pPr>
        <w:spacing w:line="360" w:lineRule="auto"/>
        <w:rPr>
          <w:rFonts w:ascii="Times New Roman" w:hAnsi="Times New Roman" w:cs="Times New Roman"/>
          <w:b/>
          <w:bCs/>
          <w:sz w:val="20"/>
          <w:szCs w:val="20"/>
        </w:rPr>
      </w:pPr>
    </w:p>
    <w:p w14:paraId="4E50C596" w14:textId="77777777" w:rsidR="00622F49" w:rsidRDefault="00622F49" w:rsidP="00C50070">
      <w:pPr>
        <w:spacing w:line="360" w:lineRule="auto"/>
        <w:rPr>
          <w:rFonts w:ascii="Times New Roman" w:hAnsi="Times New Roman" w:cs="Times New Roman"/>
          <w:b/>
          <w:bCs/>
          <w:sz w:val="20"/>
          <w:szCs w:val="20"/>
        </w:rPr>
      </w:pPr>
    </w:p>
    <w:p w14:paraId="4EFAE2C9" w14:textId="77777777" w:rsidR="00622F49" w:rsidRPr="00622F49" w:rsidRDefault="00622F49" w:rsidP="00C50070">
      <w:pPr>
        <w:spacing w:line="360" w:lineRule="auto"/>
        <w:rPr>
          <w:rFonts w:ascii="Times New Roman" w:hAnsi="Times New Roman" w:cs="Times New Roman"/>
          <w:b/>
          <w:bCs/>
          <w:sz w:val="20"/>
          <w:szCs w:val="20"/>
        </w:rPr>
      </w:pPr>
    </w:p>
    <w:p w14:paraId="5264088C" w14:textId="77777777" w:rsidR="00C50070" w:rsidRPr="00622F49" w:rsidRDefault="00C50070" w:rsidP="00C50070">
      <w:pPr>
        <w:spacing w:line="360" w:lineRule="auto"/>
        <w:rPr>
          <w:rFonts w:ascii="Times New Roman" w:hAnsi="Times New Roman" w:cs="Times New Roman"/>
          <w:b/>
          <w:bCs/>
          <w:sz w:val="20"/>
          <w:szCs w:val="20"/>
        </w:rPr>
      </w:pPr>
    </w:p>
    <w:p w14:paraId="7D845A65" w14:textId="77777777" w:rsidR="00C50070" w:rsidRPr="00622F49" w:rsidRDefault="00C50070" w:rsidP="00C50070">
      <w:pPr>
        <w:spacing w:line="360" w:lineRule="auto"/>
        <w:rPr>
          <w:rFonts w:ascii="Times New Roman" w:hAnsi="Times New Roman" w:cs="Times New Roman"/>
          <w:b/>
          <w:bCs/>
          <w:sz w:val="20"/>
          <w:szCs w:val="20"/>
        </w:rPr>
      </w:pPr>
    </w:p>
    <w:p w14:paraId="0B12440B" w14:textId="77777777" w:rsidR="00C50070" w:rsidRPr="00622F49" w:rsidRDefault="00C50070" w:rsidP="00C50070">
      <w:pPr>
        <w:spacing w:line="360" w:lineRule="auto"/>
        <w:rPr>
          <w:rFonts w:ascii="Times New Roman" w:hAnsi="Times New Roman" w:cs="Times New Roman"/>
          <w:b/>
          <w:bCs/>
          <w:sz w:val="20"/>
          <w:szCs w:val="20"/>
        </w:rPr>
      </w:pPr>
    </w:p>
    <w:p w14:paraId="79675484" w14:textId="38F1FD5A" w:rsidR="00C50070" w:rsidRPr="00622F49" w:rsidRDefault="00622F49" w:rsidP="00C50070">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Supplementary material</w:t>
      </w:r>
    </w:p>
    <w:p w14:paraId="1395F587" w14:textId="77777777" w:rsidR="00C50070" w:rsidRPr="00622F49" w:rsidRDefault="00C50070" w:rsidP="00C50070">
      <w:pPr>
        <w:spacing w:line="360" w:lineRule="auto"/>
        <w:jc w:val="center"/>
        <w:rPr>
          <w:rFonts w:ascii="Times New Roman" w:hAnsi="Times New Roman" w:cs="Times New Roman"/>
          <w:b/>
          <w:bCs/>
          <w:sz w:val="20"/>
          <w:szCs w:val="20"/>
        </w:rPr>
      </w:pPr>
    </w:p>
    <w:p w14:paraId="3E98C9FE" w14:textId="77777777" w:rsidR="00C50070" w:rsidRPr="00622F49" w:rsidRDefault="00C50070" w:rsidP="00C50070">
      <w:pPr>
        <w:spacing w:line="360" w:lineRule="auto"/>
        <w:jc w:val="center"/>
        <w:rPr>
          <w:rFonts w:ascii="Times New Roman" w:hAnsi="Times New Roman" w:cs="Times New Roman"/>
          <w:b/>
          <w:bCs/>
          <w:sz w:val="20"/>
          <w:szCs w:val="20"/>
        </w:rPr>
      </w:pPr>
    </w:p>
    <w:p w14:paraId="744B0158" w14:textId="77777777" w:rsidR="00C50070" w:rsidRPr="00622F49" w:rsidRDefault="00C50070" w:rsidP="00C50070">
      <w:pPr>
        <w:spacing w:line="360" w:lineRule="auto"/>
        <w:jc w:val="center"/>
        <w:rPr>
          <w:rFonts w:ascii="Times New Roman" w:hAnsi="Times New Roman" w:cs="Times New Roman"/>
          <w:b/>
          <w:bCs/>
          <w:sz w:val="20"/>
          <w:szCs w:val="20"/>
        </w:rPr>
      </w:pPr>
    </w:p>
    <w:p w14:paraId="410A88C1" w14:textId="77777777" w:rsidR="00C50070" w:rsidRPr="00622F49" w:rsidRDefault="00C50070" w:rsidP="00C50070">
      <w:pPr>
        <w:spacing w:line="360" w:lineRule="auto"/>
        <w:jc w:val="center"/>
        <w:rPr>
          <w:rFonts w:ascii="Times New Roman" w:hAnsi="Times New Roman" w:cs="Times New Roman"/>
          <w:b/>
          <w:bCs/>
          <w:sz w:val="20"/>
          <w:szCs w:val="20"/>
        </w:rPr>
      </w:pPr>
    </w:p>
    <w:p w14:paraId="7ADE8B9B" w14:textId="77777777" w:rsidR="00C50070" w:rsidRPr="00622F49" w:rsidRDefault="00C50070" w:rsidP="00C50070">
      <w:pPr>
        <w:spacing w:line="360" w:lineRule="auto"/>
        <w:jc w:val="center"/>
        <w:rPr>
          <w:rFonts w:ascii="Times New Roman" w:hAnsi="Times New Roman" w:cs="Times New Roman"/>
          <w:b/>
          <w:bCs/>
          <w:sz w:val="20"/>
          <w:szCs w:val="20"/>
        </w:rPr>
      </w:pPr>
    </w:p>
    <w:p w14:paraId="4F8247E4" w14:textId="77777777" w:rsidR="00C50070" w:rsidRPr="00622F49" w:rsidRDefault="00C50070" w:rsidP="00C50070">
      <w:pPr>
        <w:spacing w:line="360" w:lineRule="auto"/>
        <w:jc w:val="center"/>
        <w:rPr>
          <w:rFonts w:ascii="Times New Roman" w:hAnsi="Times New Roman" w:cs="Times New Roman"/>
          <w:b/>
          <w:bCs/>
          <w:sz w:val="20"/>
          <w:szCs w:val="20"/>
        </w:rPr>
      </w:pPr>
    </w:p>
    <w:p w14:paraId="0CB82B94" w14:textId="77777777" w:rsidR="00C50070" w:rsidRPr="00622F49" w:rsidRDefault="00C50070" w:rsidP="00C50070">
      <w:pPr>
        <w:spacing w:line="360" w:lineRule="auto"/>
        <w:jc w:val="center"/>
        <w:rPr>
          <w:rFonts w:ascii="Times New Roman" w:hAnsi="Times New Roman" w:cs="Times New Roman"/>
          <w:b/>
          <w:bCs/>
          <w:sz w:val="20"/>
          <w:szCs w:val="20"/>
        </w:rPr>
      </w:pPr>
    </w:p>
    <w:p w14:paraId="2DBCF97B" w14:textId="77777777" w:rsidR="00C50070" w:rsidRPr="00622F49" w:rsidRDefault="00C50070" w:rsidP="00C50070">
      <w:pPr>
        <w:spacing w:line="360" w:lineRule="auto"/>
        <w:jc w:val="center"/>
        <w:rPr>
          <w:rFonts w:ascii="Times New Roman" w:hAnsi="Times New Roman" w:cs="Times New Roman"/>
          <w:b/>
          <w:bCs/>
          <w:sz w:val="20"/>
          <w:szCs w:val="20"/>
        </w:rPr>
      </w:pPr>
    </w:p>
    <w:p w14:paraId="4CD8C112" w14:textId="77777777" w:rsidR="00C50070" w:rsidRPr="00622F49" w:rsidRDefault="00C50070" w:rsidP="00C50070">
      <w:pPr>
        <w:spacing w:line="360" w:lineRule="auto"/>
        <w:jc w:val="center"/>
        <w:rPr>
          <w:rFonts w:ascii="Times New Roman" w:hAnsi="Times New Roman" w:cs="Times New Roman"/>
          <w:b/>
          <w:bCs/>
          <w:sz w:val="20"/>
          <w:szCs w:val="20"/>
        </w:rPr>
      </w:pPr>
    </w:p>
    <w:p w14:paraId="1883B371" w14:textId="77777777" w:rsidR="00C50070" w:rsidRPr="00622F49" w:rsidRDefault="00C50070" w:rsidP="00C50070">
      <w:pPr>
        <w:spacing w:line="360" w:lineRule="auto"/>
        <w:jc w:val="center"/>
        <w:rPr>
          <w:rFonts w:ascii="Times New Roman" w:hAnsi="Times New Roman" w:cs="Times New Roman"/>
          <w:b/>
          <w:bCs/>
          <w:sz w:val="20"/>
          <w:szCs w:val="20"/>
        </w:rPr>
      </w:pPr>
    </w:p>
    <w:p w14:paraId="63B303E0" w14:textId="77777777" w:rsidR="00C50070" w:rsidRPr="00622F49" w:rsidRDefault="00C50070" w:rsidP="00C50070">
      <w:pPr>
        <w:spacing w:line="360" w:lineRule="auto"/>
        <w:jc w:val="center"/>
        <w:rPr>
          <w:rFonts w:ascii="Times New Roman" w:hAnsi="Times New Roman" w:cs="Times New Roman"/>
          <w:b/>
          <w:bCs/>
          <w:sz w:val="20"/>
          <w:szCs w:val="20"/>
        </w:rPr>
      </w:pPr>
    </w:p>
    <w:p w14:paraId="0F6F88F0" w14:textId="77777777" w:rsidR="00C50070" w:rsidRDefault="00C50070" w:rsidP="00C50070">
      <w:pPr>
        <w:spacing w:line="360" w:lineRule="auto"/>
        <w:jc w:val="center"/>
        <w:rPr>
          <w:rFonts w:ascii="Times New Roman" w:hAnsi="Times New Roman" w:cs="Times New Roman"/>
          <w:b/>
          <w:bCs/>
          <w:sz w:val="20"/>
          <w:szCs w:val="20"/>
        </w:rPr>
      </w:pPr>
    </w:p>
    <w:p w14:paraId="7D98586E" w14:textId="77777777" w:rsidR="00622F49" w:rsidRDefault="00622F49" w:rsidP="00C50070">
      <w:pPr>
        <w:spacing w:line="360" w:lineRule="auto"/>
        <w:jc w:val="center"/>
        <w:rPr>
          <w:rFonts w:ascii="Times New Roman" w:hAnsi="Times New Roman" w:cs="Times New Roman"/>
          <w:b/>
          <w:bCs/>
          <w:sz w:val="20"/>
          <w:szCs w:val="20"/>
        </w:rPr>
      </w:pPr>
    </w:p>
    <w:p w14:paraId="10CF3791" w14:textId="77777777" w:rsidR="00622F49" w:rsidRDefault="00622F49" w:rsidP="00C50070">
      <w:pPr>
        <w:spacing w:line="360" w:lineRule="auto"/>
        <w:jc w:val="center"/>
        <w:rPr>
          <w:rFonts w:ascii="Times New Roman" w:hAnsi="Times New Roman" w:cs="Times New Roman"/>
          <w:b/>
          <w:bCs/>
          <w:sz w:val="20"/>
          <w:szCs w:val="20"/>
        </w:rPr>
      </w:pPr>
    </w:p>
    <w:p w14:paraId="48FC7CF0" w14:textId="77777777" w:rsidR="00622F49" w:rsidRPr="00622F49" w:rsidRDefault="00622F49" w:rsidP="00C50070">
      <w:pPr>
        <w:spacing w:line="360" w:lineRule="auto"/>
        <w:jc w:val="center"/>
        <w:rPr>
          <w:rFonts w:ascii="Times New Roman" w:hAnsi="Times New Roman" w:cs="Times New Roman"/>
          <w:b/>
          <w:bCs/>
          <w:sz w:val="20"/>
          <w:szCs w:val="20"/>
        </w:rPr>
      </w:pPr>
    </w:p>
    <w:p w14:paraId="21F301FA" w14:textId="77777777" w:rsidR="00C50070" w:rsidRPr="00622F49" w:rsidRDefault="00C50070" w:rsidP="00C50070">
      <w:pPr>
        <w:spacing w:line="360" w:lineRule="auto"/>
        <w:jc w:val="center"/>
        <w:rPr>
          <w:rFonts w:ascii="Times New Roman" w:hAnsi="Times New Roman" w:cs="Times New Roman"/>
          <w:b/>
          <w:bCs/>
          <w:sz w:val="20"/>
          <w:szCs w:val="20"/>
        </w:rPr>
      </w:pPr>
    </w:p>
    <w:p w14:paraId="7A4EA5AE" w14:textId="43F00FF9" w:rsidR="000720E3" w:rsidRPr="00622F49" w:rsidRDefault="00622F49" w:rsidP="00C50070">
      <w:pPr>
        <w:spacing w:line="360" w:lineRule="auto"/>
        <w:rPr>
          <w:rFonts w:ascii="Times New Roman" w:hAnsi="Times New Roman" w:cs="Times New Roman"/>
          <w:b/>
          <w:bCs/>
          <w:sz w:val="20"/>
          <w:szCs w:val="20"/>
        </w:rPr>
      </w:pPr>
      <w:r w:rsidRPr="00622F49">
        <w:rPr>
          <w:rFonts w:ascii="Times New Roman" w:hAnsi="Times New Roman" w:cs="Times New Roman"/>
          <w:b/>
          <w:bCs/>
          <w:sz w:val="20"/>
          <w:szCs w:val="20"/>
        </w:rPr>
        <w:lastRenderedPageBreak/>
        <w:t>eMethods</w:t>
      </w:r>
      <w:r w:rsidR="00C50070" w:rsidRPr="00622F49">
        <w:rPr>
          <w:rFonts w:ascii="Times New Roman" w:hAnsi="Times New Roman" w:cs="Times New Roman"/>
          <w:b/>
          <w:bCs/>
          <w:sz w:val="20"/>
          <w:szCs w:val="20"/>
        </w:rPr>
        <w:t xml:space="preserve"> 1</w:t>
      </w:r>
      <w:r w:rsidR="000720E3" w:rsidRPr="00622F49">
        <w:rPr>
          <w:rFonts w:ascii="Times New Roman" w:hAnsi="Times New Roman" w:cs="Times New Roman"/>
          <w:b/>
          <w:bCs/>
          <w:sz w:val="20"/>
          <w:szCs w:val="20"/>
        </w:rPr>
        <w:t xml:space="preserve">. </w:t>
      </w:r>
      <w:r w:rsidR="000720E3" w:rsidRPr="00622F49">
        <w:rPr>
          <w:rFonts w:ascii="Times New Roman" w:hAnsi="Times New Roman" w:cs="Times New Roman"/>
          <w:sz w:val="20"/>
          <w:szCs w:val="20"/>
        </w:rPr>
        <w:t>Complete search strategy</w:t>
      </w:r>
    </w:p>
    <w:p w14:paraId="11E6E36D" w14:textId="0E528B61" w:rsidR="000720E3" w:rsidRPr="00622F49" w:rsidRDefault="007F367A" w:rsidP="00C50070">
      <w:pPr>
        <w:spacing w:line="360" w:lineRule="auto"/>
        <w:rPr>
          <w:rFonts w:ascii="Times New Roman" w:hAnsi="Times New Roman" w:cs="Times New Roman"/>
          <w:i/>
          <w:iCs/>
          <w:sz w:val="20"/>
          <w:szCs w:val="20"/>
        </w:rPr>
      </w:pPr>
      <w:r w:rsidRPr="00622F49">
        <w:rPr>
          <w:rFonts w:ascii="Times New Roman" w:hAnsi="Times New Roman" w:cs="Times New Roman"/>
          <w:i/>
          <w:iCs/>
          <w:sz w:val="20"/>
          <w:szCs w:val="20"/>
        </w:rPr>
        <w:t>Pubmed/MEDLINE</w:t>
      </w:r>
    </w:p>
    <w:p w14:paraId="125D24C9" w14:textId="72B00102" w:rsidR="007F367A" w:rsidRPr="00622F49" w:rsidRDefault="007F367A" w:rsidP="00C50070">
      <w:pPr>
        <w:spacing w:line="360" w:lineRule="auto"/>
        <w:rPr>
          <w:rFonts w:ascii="Times New Roman" w:hAnsi="Times New Roman" w:cs="Times New Roman"/>
          <w:sz w:val="20"/>
          <w:szCs w:val="20"/>
        </w:rPr>
      </w:pPr>
      <w:r w:rsidRPr="00622F49">
        <w:rPr>
          <w:rFonts w:ascii="Times New Roman" w:hAnsi="Times New Roman" w:cs="Times New Roman"/>
          <w:sz w:val="20"/>
          <w:szCs w:val="20"/>
        </w:rPr>
        <w:t>(("Stroke"[Title/Abstract] OR "Stroke"[MeSH Terms] OR "Multiple Sclerosis"[Title/Abstract] OR "Multiple Sclerosis"[MeSH Terms] OR "Parkinson"[Title/Abstract] OR "parkinson disease"[MeSH Terms] OR "traumatic brain injur*"[Title/Abstract] OR "brain injuries, traumatic"[MeSH Terms] OR "central nervous system"[Title/Abstract] OR "central nervous system diseases"[MeSH Terms]) AND ("video head impulse test"[Title/Abstract] OR "vHIT"[Title/Abstract] OR "head impulse test"[MeSH Terms])) AND (2009:3000/12/12[pdat])</w:t>
      </w:r>
    </w:p>
    <w:p w14:paraId="5BB706D7" w14:textId="02E6756B" w:rsidR="007F367A" w:rsidRPr="00622F49" w:rsidRDefault="007F367A" w:rsidP="00C50070">
      <w:pPr>
        <w:spacing w:line="360" w:lineRule="auto"/>
        <w:rPr>
          <w:rFonts w:ascii="Times New Roman" w:hAnsi="Times New Roman" w:cs="Times New Roman"/>
          <w:i/>
          <w:iCs/>
          <w:sz w:val="20"/>
          <w:szCs w:val="20"/>
        </w:rPr>
      </w:pPr>
      <w:r w:rsidRPr="00622F49">
        <w:rPr>
          <w:rFonts w:ascii="Times New Roman" w:hAnsi="Times New Roman" w:cs="Times New Roman"/>
          <w:i/>
          <w:iCs/>
          <w:sz w:val="20"/>
          <w:szCs w:val="20"/>
        </w:rPr>
        <w:t>CENTRAL</w:t>
      </w:r>
    </w:p>
    <w:p w14:paraId="6DBCDCE7" w14:textId="4A11251A" w:rsidR="007F367A" w:rsidRPr="00622F49" w:rsidRDefault="007F367A" w:rsidP="007F367A">
      <w:pPr>
        <w:spacing w:line="276" w:lineRule="auto"/>
        <w:rPr>
          <w:rFonts w:ascii="Times New Roman" w:hAnsi="Times New Roman" w:cs="Times New Roman"/>
          <w:sz w:val="20"/>
          <w:szCs w:val="20"/>
        </w:rPr>
      </w:pPr>
      <w:r w:rsidRPr="00622F49">
        <w:rPr>
          <w:rFonts w:ascii="Times New Roman" w:hAnsi="Times New Roman" w:cs="Times New Roman"/>
          <w:sz w:val="20"/>
          <w:szCs w:val="20"/>
        </w:rPr>
        <w:t>#1</w:t>
      </w:r>
      <w:r w:rsidRPr="00622F49">
        <w:rPr>
          <w:rFonts w:ascii="Times New Roman" w:hAnsi="Times New Roman" w:cs="Times New Roman"/>
          <w:sz w:val="20"/>
          <w:szCs w:val="20"/>
        </w:rPr>
        <w:tab/>
        <w:t>(stroke):ti,ab,kw</w:t>
      </w:r>
      <w:r w:rsidRPr="00622F49">
        <w:rPr>
          <w:rFonts w:ascii="Times New Roman" w:hAnsi="Times New Roman" w:cs="Times New Roman"/>
          <w:sz w:val="20"/>
          <w:szCs w:val="20"/>
        </w:rPr>
        <w:br/>
        <w:t>#2</w:t>
      </w:r>
      <w:r w:rsidRPr="00622F49">
        <w:rPr>
          <w:rFonts w:ascii="Times New Roman" w:hAnsi="Times New Roman" w:cs="Times New Roman"/>
          <w:sz w:val="20"/>
          <w:szCs w:val="20"/>
        </w:rPr>
        <w:tab/>
        <w:t>MeSH descriptor: [Stroke] explode all trees</w:t>
      </w:r>
      <w:r w:rsidRPr="00622F49">
        <w:rPr>
          <w:rFonts w:ascii="Times New Roman" w:hAnsi="Times New Roman" w:cs="Times New Roman"/>
          <w:sz w:val="20"/>
          <w:szCs w:val="20"/>
        </w:rPr>
        <w:br/>
        <w:t>#3</w:t>
      </w:r>
      <w:r w:rsidRPr="00622F49">
        <w:rPr>
          <w:rFonts w:ascii="Times New Roman" w:hAnsi="Times New Roman" w:cs="Times New Roman"/>
          <w:sz w:val="20"/>
          <w:szCs w:val="20"/>
        </w:rPr>
        <w:tab/>
        <w:t>(multiple sclerosis):ti,ab,kw</w:t>
      </w:r>
      <w:r w:rsidRPr="00622F49">
        <w:rPr>
          <w:rFonts w:ascii="Times New Roman" w:hAnsi="Times New Roman" w:cs="Times New Roman"/>
          <w:sz w:val="20"/>
          <w:szCs w:val="20"/>
        </w:rPr>
        <w:br/>
        <w:t>#4</w:t>
      </w:r>
      <w:r w:rsidRPr="00622F49">
        <w:rPr>
          <w:rFonts w:ascii="Times New Roman" w:hAnsi="Times New Roman" w:cs="Times New Roman"/>
          <w:sz w:val="20"/>
          <w:szCs w:val="20"/>
        </w:rPr>
        <w:tab/>
        <w:t>MeSH descriptor: [Multiple Sclerosis] explode all trees</w:t>
      </w:r>
      <w:r w:rsidRPr="00622F49">
        <w:rPr>
          <w:rFonts w:ascii="Times New Roman" w:hAnsi="Times New Roman" w:cs="Times New Roman"/>
          <w:sz w:val="20"/>
          <w:szCs w:val="20"/>
        </w:rPr>
        <w:br/>
        <w:t>#5</w:t>
      </w:r>
      <w:r w:rsidRPr="00622F49">
        <w:rPr>
          <w:rFonts w:ascii="Times New Roman" w:hAnsi="Times New Roman" w:cs="Times New Roman"/>
          <w:sz w:val="20"/>
          <w:szCs w:val="20"/>
        </w:rPr>
        <w:tab/>
        <w:t>("Parkinson"):ti,ab,kw</w:t>
      </w:r>
      <w:r w:rsidRPr="00622F49">
        <w:rPr>
          <w:rFonts w:ascii="Times New Roman" w:hAnsi="Times New Roman" w:cs="Times New Roman"/>
          <w:sz w:val="20"/>
          <w:szCs w:val="20"/>
        </w:rPr>
        <w:br/>
        <w:t>#6</w:t>
      </w:r>
      <w:r w:rsidRPr="00622F49">
        <w:rPr>
          <w:rFonts w:ascii="Times New Roman" w:hAnsi="Times New Roman" w:cs="Times New Roman"/>
          <w:sz w:val="20"/>
          <w:szCs w:val="20"/>
        </w:rPr>
        <w:tab/>
        <w:t>MeSH descriptor: [Parkinson Disease] explode all trees</w:t>
      </w:r>
      <w:r w:rsidRPr="00622F49">
        <w:rPr>
          <w:rFonts w:ascii="Times New Roman" w:hAnsi="Times New Roman" w:cs="Times New Roman"/>
          <w:sz w:val="20"/>
          <w:szCs w:val="20"/>
        </w:rPr>
        <w:br/>
        <w:t>#7</w:t>
      </w:r>
      <w:r w:rsidRPr="00622F49">
        <w:rPr>
          <w:rFonts w:ascii="Times New Roman" w:hAnsi="Times New Roman" w:cs="Times New Roman"/>
          <w:sz w:val="20"/>
          <w:szCs w:val="20"/>
        </w:rPr>
        <w:tab/>
        <w:t>("traumatic brain injury"):ti,ab,kw</w:t>
      </w:r>
      <w:r w:rsidRPr="00622F49">
        <w:rPr>
          <w:rFonts w:ascii="Times New Roman" w:hAnsi="Times New Roman" w:cs="Times New Roman"/>
          <w:sz w:val="20"/>
          <w:szCs w:val="20"/>
        </w:rPr>
        <w:br/>
        <w:t>#8</w:t>
      </w:r>
      <w:r w:rsidRPr="00622F49">
        <w:rPr>
          <w:rFonts w:ascii="Times New Roman" w:hAnsi="Times New Roman" w:cs="Times New Roman"/>
          <w:sz w:val="20"/>
          <w:szCs w:val="20"/>
        </w:rPr>
        <w:tab/>
        <w:t>MeSH descriptor: [Brain Injuries, Traumatic] explode all trees</w:t>
      </w:r>
      <w:r w:rsidRPr="00622F49">
        <w:rPr>
          <w:rFonts w:ascii="Times New Roman" w:hAnsi="Times New Roman" w:cs="Times New Roman"/>
          <w:sz w:val="20"/>
          <w:szCs w:val="20"/>
        </w:rPr>
        <w:br/>
        <w:t>#9</w:t>
      </w:r>
      <w:r w:rsidRPr="00622F49">
        <w:rPr>
          <w:rFonts w:ascii="Times New Roman" w:hAnsi="Times New Roman" w:cs="Times New Roman"/>
          <w:sz w:val="20"/>
          <w:szCs w:val="20"/>
        </w:rPr>
        <w:tab/>
        <w:t>(central nervous system):ti,ab,kw</w:t>
      </w:r>
      <w:r w:rsidRPr="00622F49">
        <w:rPr>
          <w:rFonts w:ascii="Times New Roman" w:hAnsi="Times New Roman" w:cs="Times New Roman"/>
          <w:sz w:val="20"/>
          <w:szCs w:val="20"/>
        </w:rPr>
        <w:br/>
        <w:t>#10</w:t>
      </w:r>
      <w:r w:rsidRPr="00622F49">
        <w:rPr>
          <w:rFonts w:ascii="Times New Roman" w:hAnsi="Times New Roman" w:cs="Times New Roman"/>
          <w:sz w:val="20"/>
          <w:szCs w:val="20"/>
        </w:rPr>
        <w:tab/>
        <w:t>MeSH descriptor: [Central Nervous System] explode all trees</w:t>
      </w:r>
      <w:r w:rsidRPr="00622F49">
        <w:rPr>
          <w:rFonts w:ascii="Times New Roman" w:hAnsi="Times New Roman" w:cs="Times New Roman"/>
          <w:sz w:val="20"/>
          <w:szCs w:val="20"/>
        </w:rPr>
        <w:br/>
        <w:t>#11</w:t>
      </w:r>
      <w:r w:rsidRPr="00622F49">
        <w:rPr>
          <w:rFonts w:ascii="Times New Roman" w:hAnsi="Times New Roman" w:cs="Times New Roman"/>
          <w:sz w:val="20"/>
          <w:szCs w:val="20"/>
        </w:rPr>
        <w:tab/>
        <w:t>(video head impulse test):ti,ab,kw</w:t>
      </w:r>
      <w:r w:rsidRPr="00622F49">
        <w:rPr>
          <w:rFonts w:ascii="Times New Roman" w:hAnsi="Times New Roman" w:cs="Times New Roman"/>
          <w:sz w:val="20"/>
          <w:szCs w:val="20"/>
        </w:rPr>
        <w:br/>
        <w:t>#12</w:t>
      </w:r>
      <w:r w:rsidRPr="00622F49">
        <w:rPr>
          <w:rFonts w:ascii="Times New Roman" w:hAnsi="Times New Roman" w:cs="Times New Roman"/>
          <w:sz w:val="20"/>
          <w:szCs w:val="20"/>
        </w:rPr>
        <w:tab/>
        <w:t>(vHIT):ti,ab,kw</w:t>
      </w:r>
      <w:r w:rsidRPr="00622F49">
        <w:rPr>
          <w:rFonts w:ascii="Times New Roman" w:hAnsi="Times New Roman" w:cs="Times New Roman"/>
          <w:sz w:val="20"/>
          <w:szCs w:val="20"/>
        </w:rPr>
        <w:br/>
        <w:t>#13</w:t>
      </w:r>
      <w:r w:rsidRPr="00622F49">
        <w:rPr>
          <w:rFonts w:ascii="Times New Roman" w:hAnsi="Times New Roman" w:cs="Times New Roman"/>
          <w:sz w:val="20"/>
          <w:szCs w:val="20"/>
        </w:rPr>
        <w:tab/>
        <w:t>MeSH descriptor: [Head Impulse Test] explode all trees</w:t>
      </w:r>
      <w:r w:rsidRPr="00622F49">
        <w:rPr>
          <w:rFonts w:ascii="Times New Roman" w:hAnsi="Times New Roman" w:cs="Times New Roman"/>
          <w:sz w:val="20"/>
          <w:szCs w:val="20"/>
        </w:rPr>
        <w:br/>
        <w:t>#14</w:t>
      </w:r>
      <w:r w:rsidRPr="00622F49">
        <w:rPr>
          <w:rFonts w:ascii="Times New Roman" w:hAnsi="Times New Roman" w:cs="Times New Roman"/>
          <w:sz w:val="20"/>
          <w:szCs w:val="20"/>
        </w:rPr>
        <w:tab/>
        <w:t>(#1 OR #2 OR #3 OR #4 OR #5 OR #6 OR #7 OR #8 OR #9 OR #10) AND (#11 OR #12 OR #13)</w:t>
      </w:r>
    </w:p>
    <w:p w14:paraId="5992D811" w14:textId="03D5ACD7" w:rsidR="007F367A" w:rsidRPr="00622F49" w:rsidRDefault="007F367A" w:rsidP="007F367A">
      <w:pPr>
        <w:spacing w:line="360" w:lineRule="auto"/>
        <w:rPr>
          <w:rFonts w:ascii="Times New Roman" w:hAnsi="Times New Roman" w:cs="Times New Roman"/>
          <w:i/>
          <w:iCs/>
          <w:sz w:val="20"/>
          <w:szCs w:val="20"/>
        </w:rPr>
      </w:pPr>
      <w:r w:rsidRPr="00622F49">
        <w:rPr>
          <w:rFonts w:ascii="Times New Roman" w:hAnsi="Times New Roman" w:cs="Times New Roman"/>
          <w:i/>
          <w:iCs/>
          <w:sz w:val="20"/>
          <w:szCs w:val="20"/>
        </w:rPr>
        <w:t>CINAHL</w:t>
      </w:r>
    </w:p>
    <w:p w14:paraId="776A1AF7" w14:textId="2FF70145" w:rsidR="007F367A" w:rsidRPr="00622F49" w:rsidRDefault="007F367A" w:rsidP="007F367A">
      <w:pPr>
        <w:spacing w:line="276" w:lineRule="auto"/>
        <w:rPr>
          <w:rFonts w:ascii="Times New Roman" w:hAnsi="Times New Roman" w:cs="Times New Roman"/>
          <w:sz w:val="20"/>
          <w:szCs w:val="20"/>
        </w:rPr>
      </w:pPr>
      <w:r w:rsidRPr="00622F49">
        <w:rPr>
          <w:rFonts w:ascii="Times New Roman" w:hAnsi="Times New Roman" w:cs="Times New Roman"/>
          <w:sz w:val="20"/>
          <w:szCs w:val="20"/>
        </w:rPr>
        <w:t>S1</w:t>
      </w:r>
      <w:r w:rsidRPr="00622F49">
        <w:rPr>
          <w:rFonts w:ascii="Times New Roman" w:hAnsi="Times New Roman" w:cs="Times New Roman"/>
          <w:sz w:val="20"/>
          <w:szCs w:val="20"/>
        </w:rPr>
        <w:tab/>
        <w:t>stroke</w:t>
      </w:r>
      <w:r w:rsidRPr="00622F49">
        <w:rPr>
          <w:rFonts w:ascii="Times New Roman" w:hAnsi="Times New Roman" w:cs="Times New Roman"/>
          <w:sz w:val="20"/>
          <w:szCs w:val="20"/>
        </w:rPr>
        <w:br/>
        <w:t>S2</w:t>
      </w:r>
      <w:r w:rsidRPr="00622F49">
        <w:rPr>
          <w:rFonts w:ascii="Times New Roman" w:hAnsi="Times New Roman" w:cs="Times New Roman"/>
          <w:sz w:val="20"/>
          <w:szCs w:val="20"/>
        </w:rPr>
        <w:tab/>
        <w:t>multiple sclerosis</w:t>
      </w:r>
      <w:r w:rsidRPr="00622F49">
        <w:rPr>
          <w:rFonts w:ascii="Times New Roman" w:hAnsi="Times New Roman" w:cs="Times New Roman"/>
          <w:sz w:val="20"/>
          <w:szCs w:val="20"/>
        </w:rPr>
        <w:br/>
        <w:t>S3</w:t>
      </w:r>
      <w:r w:rsidRPr="00622F49">
        <w:rPr>
          <w:rFonts w:ascii="Times New Roman" w:hAnsi="Times New Roman" w:cs="Times New Roman"/>
          <w:sz w:val="20"/>
          <w:szCs w:val="20"/>
        </w:rPr>
        <w:tab/>
        <w:t>parkinson</w:t>
      </w:r>
      <w:r w:rsidRPr="00622F49">
        <w:rPr>
          <w:rFonts w:ascii="Times New Roman" w:hAnsi="Times New Roman" w:cs="Times New Roman"/>
          <w:sz w:val="20"/>
          <w:szCs w:val="20"/>
        </w:rPr>
        <w:br/>
        <w:t>S4</w:t>
      </w:r>
      <w:r w:rsidRPr="00622F49">
        <w:rPr>
          <w:rFonts w:ascii="Times New Roman" w:hAnsi="Times New Roman" w:cs="Times New Roman"/>
          <w:sz w:val="20"/>
          <w:szCs w:val="20"/>
        </w:rPr>
        <w:tab/>
        <w:t>traumatic brain injury</w:t>
      </w:r>
      <w:r w:rsidRPr="00622F49">
        <w:rPr>
          <w:rFonts w:ascii="Times New Roman" w:hAnsi="Times New Roman" w:cs="Times New Roman"/>
          <w:sz w:val="20"/>
          <w:szCs w:val="20"/>
        </w:rPr>
        <w:br/>
        <w:t>S5</w:t>
      </w:r>
      <w:r w:rsidRPr="00622F49">
        <w:rPr>
          <w:rFonts w:ascii="Times New Roman" w:hAnsi="Times New Roman" w:cs="Times New Roman"/>
          <w:sz w:val="20"/>
          <w:szCs w:val="20"/>
        </w:rPr>
        <w:tab/>
        <w:t>central nervous system</w:t>
      </w:r>
      <w:r w:rsidRPr="00622F49">
        <w:rPr>
          <w:rFonts w:ascii="Times New Roman" w:hAnsi="Times New Roman" w:cs="Times New Roman"/>
          <w:sz w:val="20"/>
          <w:szCs w:val="20"/>
        </w:rPr>
        <w:br/>
        <w:t>S6</w:t>
      </w:r>
      <w:r w:rsidRPr="00622F49">
        <w:rPr>
          <w:rFonts w:ascii="Times New Roman" w:hAnsi="Times New Roman" w:cs="Times New Roman"/>
          <w:sz w:val="20"/>
          <w:szCs w:val="20"/>
        </w:rPr>
        <w:tab/>
        <w:t>video head impulse test</w:t>
      </w:r>
      <w:r w:rsidRPr="00622F49">
        <w:rPr>
          <w:rFonts w:ascii="Times New Roman" w:hAnsi="Times New Roman" w:cs="Times New Roman"/>
          <w:sz w:val="20"/>
          <w:szCs w:val="20"/>
        </w:rPr>
        <w:br/>
        <w:t>S7</w:t>
      </w:r>
      <w:r w:rsidRPr="00622F49">
        <w:rPr>
          <w:rFonts w:ascii="Times New Roman" w:hAnsi="Times New Roman" w:cs="Times New Roman"/>
          <w:sz w:val="20"/>
          <w:szCs w:val="20"/>
        </w:rPr>
        <w:tab/>
        <w:t>vHIT</w:t>
      </w:r>
      <w:r w:rsidRPr="00622F49">
        <w:rPr>
          <w:rFonts w:ascii="Times New Roman" w:hAnsi="Times New Roman" w:cs="Times New Roman"/>
          <w:sz w:val="20"/>
          <w:szCs w:val="20"/>
        </w:rPr>
        <w:br/>
        <w:t>S8</w:t>
      </w:r>
      <w:r w:rsidRPr="00622F49">
        <w:rPr>
          <w:rFonts w:ascii="Times New Roman" w:hAnsi="Times New Roman" w:cs="Times New Roman"/>
          <w:sz w:val="20"/>
          <w:szCs w:val="20"/>
        </w:rPr>
        <w:tab/>
        <w:t>(S1 OR S2 OR S3 OR S4 OR S5)</w:t>
      </w:r>
      <w:r w:rsidRPr="00622F49">
        <w:rPr>
          <w:rFonts w:ascii="Times New Roman" w:hAnsi="Times New Roman" w:cs="Times New Roman"/>
          <w:sz w:val="20"/>
          <w:szCs w:val="20"/>
        </w:rPr>
        <w:br/>
        <w:t>S9</w:t>
      </w:r>
      <w:r w:rsidRPr="00622F49">
        <w:rPr>
          <w:rFonts w:ascii="Times New Roman" w:hAnsi="Times New Roman" w:cs="Times New Roman"/>
          <w:sz w:val="20"/>
          <w:szCs w:val="20"/>
        </w:rPr>
        <w:tab/>
        <w:t>S6 OR S7</w:t>
      </w:r>
      <w:r w:rsidRPr="00622F49">
        <w:rPr>
          <w:rFonts w:ascii="Times New Roman" w:hAnsi="Times New Roman" w:cs="Times New Roman"/>
          <w:sz w:val="20"/>
          <w:szCs w:val="20"/>
        </w:rPr>
        <w:br/>
        <w:t>S10</w:t>
      </w:r>
      <w:r w:rsidRPr="00622F49">
        <w:rPr>
          <w:rFonts w:ascii="Times New Roman" w:hAnsi="Times New Roman" w:cs="Times New Roman"/>
          <w:sz w:val="20"/>
          <w:szCs w:val="20"/>
        </w:rPr>
        <w:tab/>
        <w:t>S8 AND S9</w:t>
      </w:r>
      <w:r w:rsidRPr="00622F49">
        <w:rPr>
          <w:rFonts w:ascii="Times New Roman" w:hAnsi="Times New Roman" w:cs="Times New Roman"/>
          <w:sz w:val="20"/>
          <w:szCs w:val="20"/>
        </w:rPr>
        <w:br/>
        <w:t>S11</w:t>
      </w:r>
      <w:r w:rsidRPr="00622F49">
        <w:rPr>
          <w:rFonts w:ascii="Times New Roman" w:hAnsi="Times New Roman" w:cs="Times New Roman"/>
          <w:sz w:val="20"/>
          <w:szCs w:val="20"/>
        </w:rPr>
        <w:tab/>
        <w:t>S8 AND S9 (Limiters – Publication Date: 20090101-20250926</w:t>
      </w:r>
    </w:p>
    <w:p w14:paraId="22C2C47F" w14:textId="0A24CCB1" w:rsidR="007F367A" w:rsidRPr="00622F49" w:rsidRDefault="007F367A" w:rsidP="007F367A">
      <w:pPr>
        <w:spacing w:line="360" w:lineRule="auto"/>
        <w:rPr>
          <w:rFonts w:ascii="Times New Roman" w:hAnsi="Times New Roman" w:cs="Times New Roman"/>
          <w:i/>
          <w:iCs/>
          <w:sz w:val="20"/>
          <w:szCs w:val="20"/>
        </w:rPr>
      </w:pPr>
      <w:r w:rsidRPr="00622F49">
        <w:rPr>
          <w:rFonts w:ascii="Times New Roman" w:hAnsi="Times New Roman" w:cs="Times New Roman"/>
          <w:i/>
          <w:iCs/>
          <w:sz w:val="20"/>
          <w:szCs w:val="20"/>
        </w:rPr>
        <w:t>Scopus</w:t>
      </w:r>
    </w:p>
    <w:p w14:paraId="200D28B8" w14:textId="114BAE3E" w:rsidR="007F367A" w:rsidRPr="00622F49" w:rsidRDefault="007F367A" w:rsidP="007F367A">
      <w:pPr>
        <w:spacing w:line="360" w:lineRule="auto"/>
        <w:rPr>
          <w:rFonts w:ascii="Times New Roman" w:hAnsi="Times New Roman" w:cs="Times New Roman"/>
          <w:sz w:val="20"/>
          <w:szCs w:val="20"/>
        </w:rPr>
      </w:pPr>
      <w:r w:rsidRPr="00622F49">
        <w:rPr>
          <w:rFonts w:ascii="Times New Roman" w:hAnsi="Times New Roman" w:cs="Times New Roman"/>
          <w:sz w:val="20"/>
          <w:szCs w:val="20"/>
        </w:rPr>
        <w:t>( ( TITLE-ABS-KEY ( stroke ) ) OR ( TITLE-ABS-KEY ( multiple AND sclerosis ) ) OR ( TITLE-ABS-KEY ( parkinson ) ) OR ( TITLE-ABS-KEY ( traumatic AND brain AND injury ) ) OR ( TITLE-ABS-KEY ( central AND nervous AND system ) ) ) AND ( ( TITLE-ABS-KEY ( video AND head AND impulse AND test ) ) OR ( TITLE-ABS-KEY ( vhit ) ) ) AND PUBYEAR &gt; 2008 AND PUBYEAR &lt; 2025</w:t>
      </w:r>
    </w:p>
    <w:p w14:paraId="3BFF91D6" w14:textId="77777777" w:rsidR="007F367A" w:rsidRDefault="007F367A" w:rsidP="007F367A">
      <w:pPr>
        <w:spacing w:line="360" w:lineRule="auto"/>
        <w:rPr>
          <w:rFonts w:ascii="Times New Roman" w:hAnsi="Times New Roman" w:cs="Times New Roman"/>
          <w:sz w:val="20"/>
          <w:szCs w:val="20"/>
        </w:rPr>
      </w:pPr>
    </w:p>
    <w:p w14:paraId="328F4931" w14:textId="77777777" w:rsidR="00622F49" w:rsidRPr="00622F49" w:rsidRDefault="00622F49" w:rsidP="007F367A">
      <w:pPr>
        <w:spacing w:line="360" w:lineRule="auto"/>
        <w:rPr>
          <w:rFonts w:ascii="Times New Roman" w:hAnsi="Times New Roman" w:cs="Times New Roman"/>
          <w:sz w:val="20"/>
          <w:szCs w:val="20"/>
        </w:rPr>
      </w:pPr>
    </w:p>
    <w:p w14:paraId="1A6DBC6B" w14:textId="77777777" w:rsidR="007F367A" w:rsidRPr="00622F49" w:rsidRDefault="007F367A" w:rsidP="007F367A">
      <w:pPr>
        <w:spacing w:line="360" w:lineRule="auto"/>
        <w:rPr>
          <w:rFonts w:ascii="Times New Roman" w:hAnsi="Times New Roman" w:cs="Times New Roman"/>
          <w:sz w:val="20"/>
          <w:szCs w:val="20"/>
        </w:rPr>
      </w:pPr>
    </w:p>
    <w:p w14:paraId="4080EED7" w14:textId="2CCF14CF" w:rsidR="007F367A" w:rsidRPr="00622F49" w:rsidRDefault="00622F49" w:rsidP="007F367A">
      <w:pPr>
        <w:spacing w:line="360" w:lineRule="auto"/>
        <w:rPr>
          <w:rFonts w:ascii="Times New Roman" w:hAnsi="Times New Roman" w:cs="Times New Roman"/>
          <w:b/>
          <w:bCs/>
          <w:sz w:val="20"/>
          <w:szCs w:val="20"/>
        </w:rPr>
      </w:pPr>
      <w:r>
        <w:rPr>
          <w:rFonts w:ascii="Times New Roman" w:hAnsi="Times New Roman" w:cs="Times New Roman"/>
          <w:b/>
          <w:bCs/>
          <w:sz w:val="20"/>
          <w:szCs w:val="20"/>
        </w:rPr>
        <w:lastRenderedPageBreak/>
        <w:t>eMethods</w:t>
      </w:r>
      <w:r w:rsidR="007F367A" w:rsidRPr="00622F49">
        <w:rPr>
          <w:rFonts w:ascii="Times New Roman" w:hAnsi="Times New Roman" w:cs="Times New Roman"/>
          <w:b/>
          <w:bCs/>
          <w:sz w:val="20"/>
          <w:szCs w:val="20"/>
        </w:rPr>
        <w:t xml:space="preserve"> 2. </w:t>
      </w:r>
      <w:r w:rsidR="007F367A" w:rsidRPr="00622F49">
        <w:rPr>
          <w:rFonts w:ascii="Times New Roman" w:hAnsi="Times New Roman" w:cs="Times New Roman"/>
          <w:sz w:val="20"/>
          <w:szCs w:val="20"/>
        </w:rPr>
        <w:t>List of excluded full texts with reasons</w:t>
      </w:r>
    </w:p>
    <w:p w14:paraId="1E325981" w14:textId="274E09AF" w:rsidR="007F367A" w:rsidRPr="00622F49" w:rsidRDefault="007F367A" w:rsidP="007F367A">
      <w:pPr>
        <w:spacing w:line="360" w:lineRule="auto"/>
        <w:rPr>
          <w:rFonts w:ascii="Times New Roman" w:hAnsi="Times New Roman" w:cs="Times New Roman"/>
          <w:i/>
          <w:iCs/>
          <w:sz w:val="20"/>
          <w:szCs w:val="20"/>
        </w:rPr>
      </w:pPr>
      <w:r w:rsidRPr="00622F49">
        <w:rPr>
          <w:rFonts w:ascii="Times New Roman" w:hAnsi="Times New Roman" w:cs="Times New Roman"/>
          <w:i/>
          <w:iCs/>
          <w:sz w:val="20"/>
          <w:szCs w:val="20"/>
        </w:rPr>
        <w:t>Wrong setting (n = 28)</w:t>
      </w:r>
    </w:p>
    <w:p w14:paraId="1390AFB5" w14:textId="7B9F8017" w:rsidR="007F367A" w:rsidRPr="00622F49" w:rsidRDefault="007F367A"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Lee JY, Kim CH, Park JS, Kim MB. Peripheral Vestibulopathy Presenting as Acute Vertigo and Spontaneous Nystagmus with Negative Video Head Impulse Test. Otolaryngol Head Neck Surg. 2019 May;160(5):894-901. doi: 10.1177/0194599818825458. Epub 2019 Jan 22. PMID: 30665325.</w:t>
      </w:r>
    </w:p>
    <w:p w14:paraId="65A698BE" w14:textId="42A85D9A" w:rsidR="007F367A" w:rsidRPr="00622F49" w:rsidRDefault="007F367A"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Tamás TL, Garai T, Király I, Mike A, Nagy C, Paukovics Á, Schmidt P, Szatmári F, Tompos T, Vadvári Á, Szirmai Á. Az akut vestibularis szindróma sürgősségi diagnosztikájával szerzett tapasztalatok [Emergency diagnosis of the acute vestibular syndrome]. Orv Hetil. 2017 Dec;158(51):2029-2040. Hungarian. doi: 10.1556/650.2017.30886. PMID: 29250967.</w:t>
      </w:r>
    </w:p>
    <w:p w14:paraId="74BD89F0" w14:textId="2B2365E3" w:rsidR="007F367A" w:rsidRPr="00622F49" w:rsidRDefault="00873F60"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Bery AK, Chang TP. Positive horizontal-canal head impulse test is not a benign sign for acute vestibular syndrome with hearing loss. Front Neurol. 2022 Sep 26;13:941909. doi: 10.3389/fneur.2022.941909. PMID: 36226090; PMCID: PMC9549073.</w:t>
      </w:r>
    </w:p>
    <w:p w14:paraId="324C327E" w14:textId="35C08930" w:rsidR="00873F60" w:rsidRPr="00622F49" w:rsidRDefault="00873F60"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Calic Z, Nham B, Bradshaw AP, Young AS, Bhaskar S, D'Souza M, Anderson CS, Cappelen-Smith C, Cordato D, Welgampola MS. Separating posterior-circulation stroke from vestibular neuritis with quantitative vestibular testing. Clin Neurophysiol. 2020 Aug;131(8):2047-2055. doi: 10.1016/j.clinph.2020.04.173. Epub 2020 Jun 8. PMID: 32600960.</w:t>
      </w:r>
    </w:p>
    <w:p w14:paraId="2E8F6098" w14:textId="55502503" w:rsidR="00873F60" w:rsidRPr="00622F49" w:rsidRDefault="00873F60"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Guler A, Karbek Akarca F, Eraslan C, Tarhan C, Bilgen C, Kirazli T, Celebisoy N. Clinical and video head impulse test in the diagnosis of posterior circulation stroke presenting as acute vestibular syndrome in the emergency department. J Vestib Res. 2017;27(4):233-242. doi: 10.3233/VES-170620. PMID: 29081427.</w:t>
      </w:r>
    </w:p>
    <w:p w14:paraId="2F5C18A9" w14:textId="390D1077" w:rsidR="00873F60" w:rsidRPr="00622F49" w:rsidRDefault="00873F60"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Ha SH, Lee DK, Park G, Kim BJ, Chang JY, Kang DW, Kwon SU, Kim JS, Park HJ, Lee EJ. Prospective analysis of video head impulse tests in patients with acute posterior circulation stroke. Front Neurol. 2023 Sep 22;14:1256826. doi: 10.3389/fneur.2023.1256826. PMID: 37808489; PMCID: PMC10557255.</w:t>
      </w:r>
    </w:p>
    <w:p w14:paraId="00522B22" w14:textId="203CEA87" w:rsidR="00873F60" w:rsidRPr="00622F49" w:rsidRDefault="00873F60"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Kim HS, Oh EH, Kim JY, Choi SY, Choi KD, Choi JH. Discordant vestibulo-ocular reflex function according to the frequency and mode of stimulation. J Neurol. 2022 Sep;269(9):4742-4752. doi: 10.1007/s00415-022-11105-y. Epub 2022 Apr 8. PMID: 35394171.</w:t>
      </w:r>
    </w:p>
    <w:p w14:paraId="29924DC1" w14:textId="6EEB5F32" w:rsidR="00873F60" w:rsidRPr="00622F49" w:rsidRDefault="00873F60"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Kim SH, Lee SU, Cho BH, Cho KH, Yu S, Kim BJ, Kim JS. Analyses of Head-Impulse Tests in Patients With Posterior Circulation Stroke and Vestibular Neuritis. Neurology. 2023 Jun 6;100(23):e2374-e2385. doi: 10.1212/WNL.0000000000207299. Epub 2023 Apr 19. PMID: 37076307; PMCID: PMC10256120.</w:t>
      </w:r>
    </w:p>
    <w:p w14:paraId="115FF48F" w14:textId="4A31F760" w:rsidR="00873F60" w:rsidRPr="00622F49" w:rsidRDefault="00873F60"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Korda A, Wimmer W, Wyss T, Michailidou E, Zamaro E, Wagner F, Caversaccio MD, Mantokoudis G. Artificial intelligence for early stroke diagnosis in acute vestibular syndrome. Front Neurol. 2022 Sep 8;13:919777. doi: 10.3389/fneur.2022.919777. PMID: 36158956; PMCID: PMC9492879.</w:t>
      </w:r>
    </w:p>
    <w:p w14:paraId="5DC81118" w14:textId="3EA5953A" w:rsidR="00873F60" w:rsidRPr="00622F49" w:rsidRDefault="00873F60"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Korda A, Wimmer W, Zamaro E, Wagner F, Sauter TC, Caversaccio MD, Mantokoudis G. Videooculography "HINTS" in Acute Vestibular Syndrome: A Prospective Study. Front Neurol. 2022 Jul 12;13:920357. doi: 10.3389/fneur.2022.920357. PMID: 35903121; PMCID: PMC9314570.</w:t>
      </w:r>
    </w:p>
    <w:p w14:paraId="1F55A345" w14:textId="47B4CAC6" w:rsidR="00873F60" w:rsidRPr="00622F49" w:rsidRDefault="00873F60"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Lee SH, Kim JM, Kim JT, Tarnutzer AA. Video head impulse testing in patients with isolated (hemi)nodular infarction. Front Neurol. 2023 Feb 6;14:1124217. doi: 10.3389/fneur.2023.1124217. PMID: 36814996; PMCID: PMC9939438.</w:t>
      </w:r>
    </w:p>
    <w:p w14:paraId="5D30FC88" w14:textId="7A9B446A" w:rsidR="00873F60" w:rsidRPr="00622F49" w:rsidRDefault="00873F60"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Lee SH, Kim JM, Schuknecht B, Tarnutzer AA. Vestibular and Ocular Motor Properties in Lateral Medullary Stroke Critically Depend on the Level of the Medullary Lesion. Front Neurol. 2020 Jun 5;11:390. doi: 10.3389/fneur.2020.00390. PMID: 32655466; PMCID: PMC7325917.</w:t>
      </w:r>
    </w:p>
    <w:p w14:paraId="48AE974E" w14:textId="50F56391" w:rsidR="00873F60" w:rsidRPr="00622F49" w:rsidRDefault="00873F60"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lastRenderedPageBreak/>
        <w:t>Machner B, Erber K, Choi JH, Trillenberg P, Sprenger A, Helmchen C. Usability of the head impulse test in routine clinical practice in the emergency department to differentiate vestibular neuritis from stroke. Eur J Neurol. 2021 May;28(5):1737-1744. doi: 10.1111/ene.14707. Epub 2021 Jan 15. PMID: 33382146.</w:t>
      </w:r>
    </w:p>
    <w:p w14:paraId="28BCB595" w14:textId="08BBF6D5" w:rsidR="00873F60" w:rsidRPr="00622F49" w:rsidRDefault="00E667DF"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Machner B, Erber K, Choi JH, Sprenger A, Helmchen C, Trillenberg P. A Simple Gain-Based Evaluation of the Video Head Impulse Test Reliably Detects Normal Vestibulo-Ocular Reflex Indicative of Stroke in Patients With Acute Vestibular Syndrome. Front Neurol. 2021 Oct 29;12:741859. doi: 10.3389/fneur.2021.741859. PMID: 34777209; PMCID: PMC8585749.</w:t>
      </w:r>
    </w:p>
    <w:p w14:paraId="786A2D53" w14:textId="05657667" w:rsidR="00E667DF" w:rsidRPr="00622F49" w:rsidRDefault="00E667DF"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Mantokoudis G, Saber Tehrani AS, Wozniak A, Eibenberger K, Kattah JC, Guede CI, Zee DS, Newman-Toker DE. Impact of artifacts on VOR gain measures by video-oculography in the acute vestibular syndrome. J Vestib Res. 2016 Nov 3;26(4):375-385. doi: 10.3233/VES-160587. PMID: 27814312; PMCID: PMC6054448.</w:t>
      </w:r>
    </w:p>
    <w:p w14:paraId="4B14AC27" w14:textId="336E1352" w:rsidR="00E667DF" w:rsidRPr="00622F49" w:rsidRDefault="00E667DF"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Mantokoudis G, Tehrani AS, Wozniak A, Eibenberger K, Kattah JC, Guede CI, Zee DS, Newman-Toker DE. VOR gain by head impulse video-oculography differentiates acute vestibular neuritis from stroke. Otol Neurotol. 2015 Mar;36(3):457-65. doi: 10.1097/MAO.0000000000000638. PMID: 25321888.</w:t>
      </w:r>
    </w:p>
    <w:p w14:paraId="37681B71" w14:textId="29851491" w:rsidR="00E667DF" w:rsidRPr="00622F49" w:rsidRDefault="00E667DF"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Michailidou E, Korda A, Wyss T, Bardins S, Schneider E, Morrison M, Wagner F, Caversaccio MD, Mantokoudis G. The value of saccade metrics and VOR gain in detecting a vestibular stroke. J Vestib Res. 2024;34(1):49-61. doi: 10.3233/VES-230083. PMID: 38160379.</w:t>
      </w:r>
    </w:p>
    <w:p w14:paraId="5B01B26D" w14:textId="04F04132" w:rsidR="00E667DF" w:rsidRPr="00622F49" w:rsidRDefault="00E667DF"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Morrison M, Korda A, Zamaro E, Wagner F, Caversaccio MD, Sauter TC, Kalla R, Mantokoudis G. Paradigm shift in acute dizziness: is caloric testing obsolete? J Neurol. 2022 Feb;269(2):853-860. doi: 10.1007/s00415-021-10667-7. Epub 2021 Jun 30. PMID: 34191079; PMCID: PMC8782777.</w:t>
      </w:r>
    </w:p>
    <w:p w14:paraId="6953E018" w14:textId="21530D94" w:rsidR="00E667DF" w:rsidRPr="00622F49" w:rsidRDefault="00E667DF"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Nam GS, Shin HJ, Kang JJ, Lee NR, Oh SY. Clinical Implication of Corrective Saccades in the Video Head Impulse Test for the Diagnosis of Posterior Inferior Cerebellar Artery Infarction. Front Neurol. 2021 Feb 18;12:605040. doi: 10.3389/fneur.2021.605040. PMID: 33679578; PMCID: PMC7930369.</w:t>
      </w:r>
    </w:p>
    <w:p w14:paraId="46546B2B" w14:textId="231D84E8" w:rsidR="00E667DF" w:rsidRPr="00622F49" w:rsidRDefault="00E667DF"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Newman-Toker DE, Saber Tehrani AS, Mantokoudis G, Pula JH, Guede CI, Kerber KA, Blitz A, Ying SH, Hsieh YH, Rothman RE, Hanley DF, Zee DS, Kattah JC. Quantitative video-oculography to help diagnose stroke in acute vertigo and dizziness: toward an ECG for the eyes. Stroke. 2013 Apr;44(4):1158-61. doi: 10.1161/STROKEAHA.111.000033. Epub 2013 Mar 5. PMID: 23463752; PMCID: PMC8448203.</w:t>
      </w:r>
    </w:p>
    <w:p w14:paraId="15DC7358" w14:textId="45D5CEC9" w:rsidR="00E667DF" w:rsidRPr="00622F49" w:rsidRDefault="00E667DF"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Nham B, Wang C, Reid N, Calic Z, Kwok BYC, Black DA, Bradshaw A, Halmagyi G, Welgampola MS. Modern vestibular tests can accurately separate stroke and vestibular neuritis. J Neurol. 2023 Apr;270(4):2031-2041. doi: 10.1007/s00415-022-11473-5. Epub 2022 Dec 24. PMID: 36566345.</w:t>
      </w:r>
    </w:p>
    <w:p w14:paraId="4C0A5268" w14:textId="7B021928" w:rsidR="00E667DF" w:rsidRPr="00622F49" w:rsidRDefault="00E667DF"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Nham B, Reid N, Bein K, Bradshaw AP, McGarvie LA, Argaet EC, Young AS, Watson SR, Halmagyi GM, Black DA, Welgampola MS. Capturing vertigo in the emergency room: three tools to double the rate of diagnosis. J Neurol. 2022 Jan;269(1):294-306. doi: 10.1007/s00415-021-10627-1. Epub 2021 Aug 16. PMID: 34398269.</w:t>
      </w:r>
    </w:p>
    <w:p w14:paraId="13CD1849" w14:textId="49099798" w:rsidR="00E667DF" w:rsidRPr="00622F49" w:rsidRDefault="00E667DF"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Olivecrona E, Zborayova K, Barrenäs ML, Salzer J. Comparison Between the Video Head Impulse Test and Caloric Irrigation During Acute Vertigo. Indian J Otolaryngol Head Neck Surg. 2022 Dec;74(Suppl 3):4475-4482. doi: 10.1007/s12070-022-03123-z. Epub 2022 Aug 1. PMID: 36742615; PMCID: PMC9895590.</w:t>
      </w:r>
    </w:p>
    <w:p w14:paraId="2737A193" w14:textId="669BF2A0" w:rsidR="00E667DF" w:rsidRPr="00622F49" w:rsidRDefault="00E667DF"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Park JY, Choi JH, Kwon JH, Weon YC, Lee SM, Kim HJ, Choi SY, Oh EH, Kim HA, Lee H, Kim JS, Choi KD. Incidence, characteristics, and neuroanatomical substrates of vestibular symptoms in supratentorial stroke. J Neurol. 2023 Apr;270(4):2174-2183. doi: 10.1007/s00415-023-11566-9. Epub 2023 Jan 12. PMID: 36633670.</w:t>
      </w:r>
    </w:p>
    <w:p w14:paraId="4CFC544B" w14:textId="22038E1B" w:rsidR="00E667DF" w:rsidRPr="00622F49" w:rsidRDefault="00E667DF"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lastRenderedPageBreak/>
        <w:t>Siepmann T, Gruener C, Simon E, Sedghi A, Kitzler HH, Pallesen LP, Barlinn J, Reichmann H, Puetz V, Barlinn K. Video-Oculography-Assisted Head Impulse Test and Caloric Testing for Detecting Stroke in Acute Vertigo Patients via Modified HINTS Plus. J Clin Med. 2021 Sep 28;10(19):4471. doi: 10.3390/jcm10194471. PMID: 34640489; PMCID: PMC8509535.</w:t>
      </w:r>
    </w:p>
    <w:p w14:paraId="734762A5" w14:textId="261DDB78" w:rsidR="00E667DF" w:rsidRPr="00622F49" w:rsidRDefault="00E667DF" w:rsidP="007F367A">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Thomas JO, Sharobeam A, Venkat A, Blair C, Ozalp N, Calic Z, Wyllie P, Middleton PM, Welgampola M, Cordato D, Cappelen-Smith C. Video head impulse testing to differentiate vestibular neuritis from posterior circulation stroke in the emergency department: a prospective observational study. BMJ Neurol Open. 2022 May 3;4(1):e000284. doi: 10.1136/bmjno-2022-000284. PMID: 35571585; PMCID: PMC9066478.</w:t>
      </w:r>
    </w:p>
    <w:p w14:paraId="38CD413A" w14:textId="77777777" w:rsidR="00E667DF" w:rsidRPr="00622F49" w:rsidRDefault="00E667DF" w:rsidP="00E667DF">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von Martial R, Leinweber C, Hubert N, Rambold H, Haberl RL, Hubert GJ, Müller-Barna P. Feasibility of Telemedical HINTS (Head Impulse-Nystagmus-Test of Skew) Evaluation in Patients With Acute Dizziness or Vertigo in the Emergency Department of Primary Care Hospitals. Front Neurol. 2022 Feb 11;12:768460. doi: 10.3389/fneur.2021.768460. PMID: 35222226; PMCID: PMC8873087.</w:t>
      </w:r>
    </w:p>
    <w:p w14:paraId="4992792C" w14:textId="585EF1B4" w:rsidR="00036734" w:rsidRPr="00622F49" w:rsidRDefault="00036734" w:rsidP="00036734">
      <w:pPr>
        <w:pStyle w:val="ListParagraph"/>
        <w:numPr>
          <w:ilvl w:val="0"/>
          <w:numId w:val="1"/>
        </w:numPr>
        <w:spacing w:line="360" w:lineRule="auto"/>
        <w:rPr>
          <w:rFonts w:ascii="Times New Roman" w:hAnsi="Times New Roman" w:cs="Times New Roman"/>
          <w:sz w:val="20"/>
          <w:szCs w:val="20"/>
        </w:rPr>
      </w:pPr>
      <w:r w:rsidRPr="00622F49">
        <w:rPr>
          <w:rFonts w:ascii="Times New Roman" w:hAnsi="Times New Roman" w:cs="Times New Roman"/>
          <w:sz w:val="20"/>
          <w:szCs w:val="20"/>
        </w:rPr>
        <w:t>Zhang Y, Chen S, Zhong Z, Chen L, Wu Y, Zhao G, Liu Y. [Preliminary application of video head impulse test in the diagnosis of vertigo]. Lin Chuang Er Bi Yan Hou Tou Jing Wai Ke Za Zhi. 2015 Jun;29(12):1053-8. Chinese. PMID: 26513989.</w:t>
      </w:r>
    </w:p>
    <w:p w14:paraId="5C1A6DA9" w14:textId="578CA816" w:rsidR="00E667DF" w:rsidRPr="00622F49" w:rsidRDefault="00E667DF" w:rsidP="00E667DF">
      <w:pPr>
        <w:spacing w:line="360" w:lineRule="auto"/>
        <w:rPr>
          <w:rFonts w:ascii="Times New Roman" w:hAnsi="Times New Roman" w:cs="Times New Roman"/>
          <w:i/>
          <w:iCs/>
          <w:sz w:val="20"/>
          <w:szCs w:val="20"/>
        </w:rPr>
      </w:pPr>
      <w:r w:rsidRPr="00622F49">
        <w:rPr>
          <w:rFonts w:ascii="Times New Roman" w:hAnsi="Times New Roman" w:cs="Times New Roman"/>
          <w:i/>
          <w:iCs/>
          <w:sz w:val="20"/>
          <w:szCs w:val="20"/>
        </w:rPr>
        <w:t>Wrong study design (n = 7)</w:t>
      </w:r>
    </w:p>
    <w:p w14:paraId="41E0A2FC" w14:textId="3C5552B0" w:rsidR="00E667DF" w:rsidRPr="00622F49" w:rsidRDefault="00B457A3" w:rsidP="00E667DF">
      <w:pPr>
        <w:pStyle w:val="ListParagraph"/>
        <w:numPr>
          <w:ilvl w:val="0"/>
          <w:numId w:val="3"/>
        </w:numPr>
        <w:spacing w:line="360" w:lineRule="auto"/>
        <w:rPr>
          <w:rFonts w:ascii="Times New Roman" w:hAnsi="Times New Roman" w:cs="Times New Roman"/>
          <w:sz w:val="20"/>
          <w:szCs w:val="20"/>
        </w:rPr>
      </w:pPr>
      <w:r w:rsidRPr="00622F49">
        <w:rPr>
          <w:rFonts w:ascii="Times New Roman" w:hAnsi="Times New Roman" w:cs="Times New Roman"/>
          <w:sz w:val="20"/>
          <w:szCs w:val="20"/>
        </w:rPr>
        <w:t>Koohi N, Mendis S, Lennox A, Whelan D, Kaski D. Video head impulse testing: Pitfalls in neurological patients. J Neurol Sci. 2022 Nov 15;442:120417. doi: 10.1016/j.jns.2022.120417. Epub 2022 Sep 17. PMID: 36209570.</w:t>
      </w:r>
    </w:p>
    <w:p w14:paraId="52A1BAE8" w14:textId="224CBEBD" w:rsidR="00B457A3" w:rsidRPr="00622F49" w:rsidRDefault="00B457A3" w:rsidP="00E667DF">
      <w:pPr>
        <w:pStyle w:val="ListParagraph"/>
        <w:numPr>
          <w:ilvl w:val="0"/>
          <w:numId w:val="3"/>
        </w:numPr>
        <w:spacing w:line="360" w:lineRule="auto"/>
        <w:rPr>
          <w:rFonts w:ascii="Times New Roman" w:hAnsi="Times New Roman" w:cs="Times New Roman"/>
          <w:sz w:val="20"/>
          <w:szCs w:val="20"/>
        </w:rPr>
      </w:pPr>
      <w:r w:rsidRPr="00622F49">
        <w:rPr>
          <w:rFonts w:ascii="Times New Roman" w:hAnsi="Times New Roman" w:cs="Times New Roman"/>
          <w:sz w:val="20"/>
          <w:szCs w:val="20"/>
          <w:lang w:val="it-IT"/>
        </w:rPr>
        <w:t xml:space="preserve">Evangelista ASL, Diniz Júnior J, Costa APM, Dourado Júnior MET, Mantello EB. </w:t>
      </w:r>
      <w:r w:rsidRPr="00622F49">
        <w:rPr>
          <w:rFonts w:ascii="Times New Roman" w:hAnsi="Times New Roman" w:cs="Times New Roman"/>
          <w:sz w:val="20"/>
          <w:szCs w:val="20"/>
        </w:rPr>
        <w:t>Neurological and vestibular findings in three cases of Multiple Sclerosis. Codas. 2023 Nov 20;35(6):e20210153. doi: 10.1590/2317-1782/20232021153pt. PMID: 37991027; PMCID: PMC10702714.</w:t>
      </w:r>
    </w:p>
    <w:p w14:paraId="1E6BE488" w14:textId="555AAB2A" w:rsidR="00B457A3" w:rsidRPr="00622F49" w:rsidRDefault="00B457A3" w:rsidP="00E667DF">
      <w:pPr>
        <w:pStyle w:val="ListParagraph"/>
        <w:numPr>
          <w:ilvl w:val="0"/>
          <w:numId w:val="3"/>
        </w:numPr>
        <w:spacing w:line="360" w:lineRule="auto"/>
        <w:rPr>
          <w:rFonts w:ascii="Times New Roman" w:hAnsi="Times New Roman" w:cs="Times New Roman"/>
          <w:sz w:val="20"/>
          <w:szCs w:val="20"/>
        </w:rPr>
      </w:pPr>
      <w:r w:rsidRPr="00622F49">
        <w:rPr>
          <w:rFonts w:ascii="Times New Roman" w:hAnsi="Times New Roman" w:cs="Times New Roman"/>
          <w:sz w:val="20"/>
          <w:szCs w:val="20"/>
        </w:rPr>
        <w:t>Moreno-Ajona D, Álvarez-Gómez L, Manrique-Huarte R, Rivas E, Martínez-Vila E, Pérez-Fernández N. VEMPs and Dysautonomia Assessment in Definite Cerebellar Ataxia, Neuropathy, Vestibular Areflexia Syndrome (CANVAS): a Case Series Study. Cerebellum. 2021 Oct;20(5):717-723. doi: 10.1007/s12311-019-01061-1. PMID: 31414248.</w:t>
      </w:r>
    </w:p>
    <w:p w14:paraId="6B3898E0" w14:textId="5DFF3F83" w:rsidR="00B457A3" w:rsidRPr="00622F49" w:rsidRDefault="00B457A3" w:rsidP="00E667DF">
      <w:pPr>
        <w:pStyle w:val="ListParagraph"/>
        <w:numPr>
          <w:ilvl w:val="0"/>
          <w:numId w:val="3"/>
        </w:numPr>
        <w:spacing w:line="360" w:lineRule="auto"/>
        <w:rPr>
          <w:rFonts w:ascii="Times New Roman" w:hAnsi="Times New Roman" w:cs="Times New Roman"/>
          <w:sz w:val="20"/>
          <w:szCs w:val="20"/>
        </w:rPr>
      </w:pPr>
      <w:r w:rsidRPr="00622F49">
        <w:rPr>
          <w:rFonts w:ascii="Times New Roman" w:hAnsi="Times New Roman" w:cs="Times New Roman"/>
          <w:sz w:val="20"/>
          <w:szCs w:val="20"/>
        </w:rPr>
        <w:t>Parker TM, Farrell N, Otero-Millan J, Kheradmand A, McClenney A, Newman-Toker DE. Proof of Concept for an "eyePhone" App to Measure Video Head Impulses. Digit Biomark. 2020 Dec 30;5(1):1-8. doi: 10.1159/000511287. PMID: 33615116; PMCID: PMC7879263.</w:t>
      </w:r>
    </w:p>
    <w:p w14:paraId="7BDC2A8D" w14:textId="63977FFD" w:rsidR="00036734" w:rsidRPr="00622F49" w:rsidRDefault="00036734" w:rsidP="00A144DA">
      <w:pPr>
        <w:pStyle w:val="ListParagraph"/>
        <w:numPr>
          <w:ilvl w:val="0"/>
          <w:numId w:val="3"/>
        </w:numPr>
        <w:spacing w:line="360" w:lineRule="auto"/>
        <w:rPr>
          <w:rFonts w:ascii="Times New Roman" w:hAnsi="Times New Roman" w:cs="Times New Roman"/>
          <w:sz w:val="20"/>
          <w:szCs w:val="20"/>
        </w:rPr>
      </w:pPr>
      <w:r w:rsidRPr="00622F49">
        <w:rPr>
          <w:rFonts w:ascii="Times New Roman" w:hAnsi="Times New Roman" w:cs="Times New Roman"/>
          <w:sz w:val="20"/>
          <w:szCs w:val="20"/>
        </w:rPr>
        <w:t>Kim JM, Nam TS, Choi SM, Kim BC, Lee SH. Clinical value of vestibulo-ocular reflex in the differentiation of spinocerebellar ataxias. Sci Rep. 2023 Sep 7;13(1):14783. doi: 10.1038/s41598-023-41924-6. PMID: 37679515; PMCID: PMC10485070.</w:t>
      </w:r>
    </w:p>
    <w:p w14:paraId="1FC49E54" w14:textId="77777777" w:rsidR="00A144DA" w:rsidRPr="00622F49" w:rsidRDefault="00A144DA" w:rsidP="00A144DA">
      <w:pPr>
        <w:pStyle w:val="ListParagraph"/>
        <w:numPr>
          <w:ilvl w:val="0"/>
          <w:numId w:val="3"/>
        </w:numPr>
        <w:spacing w:line="360" w:lineRule="auto"/>
        <w:rPr>
          <w:rFonts w:ascii="Times New Roman" w:hAnsi="Times New Roman" w:cs="Times New Roman"/>
          <w:sz w:val="20"/>
          <w:szCs w:val="20"/>
        </w:rPr>
      </w:pPr>
      <w:r w:rsidRPr="00622F49">
        <w:rPr>
          <w:rFonts w:ascii="Times New Roman" w:hAnsi="Times New Roman" w:cs="Times New Roman"/>
          <w:sz w:val="20"/>
          <w:szCs w:val="20"/>
        </w:rPr>
        <w:t>Mahfuz MM, Millar JL, Schubert MC. Repeated video head impulse testing in patients is a stable measure of the passive vestibulo-ocular reflex. J Otol. 2021 Jul;16(3):128-137. doi: 10.1016/j.joto.2020.12.002. Epub 2020 Dec 18. PMID: 34220981; PMCID: PMC8241694.</w:t>
      </w:r>
    </w:p>
    <w:p w14:paraId="5384DAF6" w14:textId="4DB96E20" w:rsidR="00A144DA" w:rsidRPr="00622F49" w:rsidRDefault="00A144DA" w:rsidP="00A144DA">
      <w:pPr>
        <w:pStyle w:val="ListParagraph"/>
        <w:numPr>
          <w:ilvl w:val="0"/>
          <w:numId w:val="3"/>
        </w:numPr>
        <w:spacing w:line="360" w:lineRule="auto"/>
        <w:rPr>
          <w:rFonts w:ascii="Times New Roman" w:hAnsi="Times New Roman" w:cs="Times New Roman"/>
          <w:sz w:val="20"/>
          <w:szCs w:val="20"/>
        </w:rPr>
      </w:pPr>
      <w:r w:rsidRPr="00622F49">
        <w:rPr>
          <w:rFonts w:ascii="Times New Roman" w:hAnsi="Times New Roman" w:cs="Times New Roman"/>
          <w:sz w:val="20"/>
          <w:szCs w:val="20"/>
        </w:rPr>
        <w:t>Hermann R, Robert C, Lagadec V, Dupre M, Pelisson D, Froment Tilikete C. Catch-Up Saccades in Vestibular Hypofunction: A Contribution of the Cerebellum? Cerebellum. 2024 Feb;23(1):136-143. doi: 10.1007/s12311-023-01512-w. Epub 2023 Jan 21. Erratum in: Cerebellum. 2024 Feb;23(1):144. doi: 10.1007/s12311-023-01530-8. PMID: 36680705; PMCID: PMC10864466.</w:t>
      </w:r>
    </w:p>
    <w:p w14:paraId="3BBCB10C" w14:textId="77777777" w:rsidR="00C55AD2" w:rsidRPr="00622F49" w:rsidRDefault="00C55AD2" w:rsidP="00E667DF">
      <w:pPr>
        <w:spacing w:line="360" w:lineRule="auto"/>
        <w:rPr>
          <w:rFonts w:ascii="Times New Roman" w:hAnsi="Times New Roman" w:cs="Times New Roman"/>
          <w:b/>
          <w:bCs/>
          <w:sz w:val="20"/>
          <w:szCs w:val="20"/>
        </w:rPr>
      </w:pPr>
    </w:p>
    <w:p w14:paraId="28A02C5D" w14:textId="7665D581" w:rsidR="00E667DF" w:rsidRPr="00622F49" w:rsidRDefault="00E667DF" w:rsidP="00E667DF">
      <w:pPr>
        <w:spacing w:line="360" w:lineRule="auto"/>
        <w:rPr>
          <w:rFonts w:ascii="Times New Roman" w:hAnsi="Times New Roman" w:cs="Times New Roman"/>
          <w:i/>
          <w:iCs/>
          <w:sz w:val="20"/>
          <w:szCs w:val="20"/>
        </w:rPr>
      </w:pPr>
      <w:r w:rsidRPr="00622F49">
        <w:rPr>
          <w:rFonts w:ascii="Times New Roman" w:hAnsi="Times New Roman" w:cs="Times New Roman"/>
          <w:i/>
          <w:iCs/>
          <w:sz w:val="20"/>
          <w:szCs w:val="20"/>
        </w:rPr>
        <w:lastRenderedPageBreak/>
        <w:t>Wrong population (n = 5)</w:t>
      </w:r>
    </w:p>
    <w:p w14:paraId="212442E1" w14:textId="7EA1AFB4" w:rsidR="00E667DF" w:rsidRPr="00622F49" w:rsidRDefault="00B457A3" w:rsidP="00A144DA">
      <w:pPr>
        <w:pStyle w:val="ListParagraph"/>
        <w:numPr>
          <w:ilvl w:val="0"/>
          <w:numId w:val="4"/>
        </w:numPr>
        <w:spacing w:line="360" w:lineRule="auto"/>
        <w:rPr>
          <w:rFonts w:ascii="Times New Roman" w:hAnsi="Times New Roman" w:cs="Times New Roman"/>
          <w:sz w:val="20"/>
          <w:szCs w:val="20"/>
        </w:rPr>
      </w:pPr>
      <w:r w:rsidRPr="00622F49">
        <w:rPr>
          <w:rFonts w:ascii="Times New Roman" w:hAnsi="Times New Roman" w:cs="Times New Roman"/>
          <w:sz w:val="20"/>
          <w:szCs w:val="20"/>
        </w:rPr>
        <w:t>Mantokoudis G, Saber Tehrani AS, Kattah JC, Eibenberger K, Guede CI, Zee DS, Newman-Toker DE. Quantifying the vestibulo-ocular reflex with video-oculography: nature and frequency of artifacts. Audiol Neurootol. 2015;20(1):39-50. doi: 10.1159/000362780. Epub 2014 Dec 9. PMID: 25501133.</w:t>
      </w:r>
    </w:p>
    <w:p w14:paraId="5CB360FC" w14:textId="77777777" w:rsidR="00A144DA" w:rsidRPr="00622F49" w:rsidRDefault="00A144DA" w:rsidP="00A144DA">
      <w:pPr>
        <w:pStyle w:val="ListParagraph"/>
        <w:numPr>
          <w:ilvl w:val="0"/>
          <w:numId w:val="4"/>
        </w:numPr>
        <w:spacing w:line="360" w:lineRule="auto"/>
        <w:rPr>
          <w:rFonts w:ascii="Times New Roman" w:hAnsi="Times New Roman" w:cs="Times New Roman"/>
          <w:sz w:val="20"/>
          <w:szCs w:val="20"/>
        </w:rPr>
      </w:pPr>
      <w:r w:rsidRPr="00622F49">
        <w:rPr>
          <w:rFonts w:ascii="Times New Roman" w:hAnsi="Times New Roman" w:cs="Times New Roman"/>
          <w:sz w:val="20"/>
          <w:szCs w:val="20"/>
        </w:rPr>
        <w:t>Hansson A, Salzer J. Normative video head impulse test data in subjects with and without vascular risk factors. Eur Arch Otorhinolaryngol. 2021 Jul;278(7):2619-2624. doi: 10.1007/s00405-020-06332-w. Epub 2020 Sep 10. PMID: 32914256; PMCID: PMC8165054.</w:t>
      </w:r>
    </w:p>
    <w:p w14:paraId="798EF1CA" w14:textId="6C62A21D" w:rsidR="00B457A3" w:rsidRPr="00622F49" w:rsidRDefault="00A144DA" w:rsidP="00A144DA">
      <w:pPr>
        <w:pStyle w:val="ListParagraph"/>
        <w:numPr>
          <w:ilvl w:val="0"/>
          <w:numId w:val="4"/>
        </w:numPr>
        <w:spacing w:line="360" w:lineRule="auto"/>
        <w:rPr>
          <w:rFonts w:ascii="Times New Roman" w:hAnsi="Times New Roman" w:cs="Times New Roman"/>
          <w:sz w:val="20"/>
          <w:szCs w:val="20"/>
        </w:rPr>
      </w:pPr>
      <w:r w:rsidRPr="00622F49">
        <w:rPr>
          <w:rFonts w:ascii="Times New Roman" w:hAnsi="Times New Roman" w:cs="Times New Roman"/>
          <w:sz w:val="20"/>
          <w:szCs w:val="20"/>
        </w:rPr>
        <w:t>Leng Y, Zhao Y, Zhou H, Ling X, Wang X, Zhao G, Zhang W. The vestibular and oculomotor dysfunction in Fabry disease: a cohort study in China. Ann Med. 2025 Dec;57(1):2453626. doi: 10.1080/07853890.2025.2453626. Epub 2025 Jan 25. PMID: 39862133; PMCID: PMC11770862.</w:t>
      </w:r>
    </w:p>
    <w:p w14:paraId="52EB47A5" w14:textId="477F9128" w:rsidR="00A144DA" w:rsidRPr="00622F49" w:rsidRDefault="00A144DA" w:rsidP="00A144DA">
      <w:pPr>
        <w:pStyle w:val="ListParagraph"/>
        <w:numPr>
          <w:ilvl w:val="0"/>
          <w:numId w:val="4"/>
        </w:numPr>
        <w:spacing w:line="360" w:lineRule="auto"/>
        <w:rPr>
          <w:rFonts w:ascii="Times New Roman" w:hAnsi="Times New Roman" w:cs="Times New Roman"/>
          <w:sz w:val="20"/>
          <w:szCs w:val="20"/>
        </w:rPr>
      </w:pPr>
      <w:r w:rsidRPr="00622F49">
        <w:rPr>
          <w:rFonts w:ascii="Times New Roman" w:hAnsi="Times New Roman" w:cs="Times New Roman"/>
          <w:sz w:val="20"/>
          <w:szCs w:val="20"/>
        </w:rPr>
        <w:t>Dupré M, Hermann R, Vidoni L, Quadrio I, Latour P, Subtil F, Froment Tilikete C. Impact of the intronic RFC1 expansion size in CANVAS phenotype: an oculomotor study. J Neurol. 2025 Jun 3;272(6):442. doi: 10.1007/s00415-025-13150-9. PMID: 40461673; PMCID: PMC12134041.</w:t>
      </w:r>
    </w:p>
    <w:p w14:paraId="6577F2FF" w14:textId="178DED0F" w:rsidR="00A144DA" w:rsidRPr="00622F49" w:rsidRDefault="00A144DA" w:rsidP="00A144DA">
      <w:pPr>
        <w:pStyle w:val="ListParagraph"/>
        <w:numPr>
          <w:ilvl w:val="0"/>
          <w:numId w:val="4"/>
        </w:numPr>
        <w:spacing w:line="360" w:lineRule="auto"/>
        <w:rPr>
          <w:rFonts w:ascii="Times New Roman" w:hAnsi="Times New Roman" w:cs="Times New Roman"/>
          <w:sz w:val="20"/>
          <w:szCs w:val="20"/>
        </w:rPr>
      </w:pPr>
      <w:r w:rsidRPr="00622F49">
        <w:rPr>
          <w:rFonts w:ascii="Times New Roman" w:hAnsi="Times New Roman" w:cs="Times New Roman"/>
          <w:sz w:val="20"/>
          <w:szCs w:val="20"/>
        </w:rPr>
        <w:t>Micarelli A, Viziano A, Della-Morte D, Augimeri I, Alessandrini M. Degree of Functional Impairment Associated With Vestibular Hypofunction Among Older Adults With Cognitive Decline. Otol Neurotol. 2018 Jun;39(5):e392-e400. doi: 10.1097/MAO.0000000000001746. PMID: 29547458.</w:t>
      </w:r>
    </w:p>
    <w:p w14:paraId="1509CE05" w14:textId="5348CE6D" w:rsidR="00E667DF" w:rsidRPr="00622F49" w:rsidRDefault="00E667DF" w:rsidP="00E667DF">
      <w:pPr>
        <w:spacing w:line="360" w:lineRule="auto"/>
        <w:rPr>
          <w:rFonts w:ascii="Times New Roman" w:hAnsi="Times New Roman" w:cs="Times New Roman"/>
          <w:i/>
          <w:iCs/>
          <w:sz w:val="20"/>
          <w:szCs w:val="20"/>
        </w:rPr>
      </w:pPr>
      <w:r w:rsidRPr="00622F49">
        <w:rPr>
          <w:rFonts w:ascii="Times New Roman" w:hAnsi="Times New Roman" w:cs="Times New Roman"/>
          <w:i/>
          <w:iCs/>
          <w:sz w:val="20"/>
          <w:szCs w:val="20"/>
        </w:rPr>
        <w:t>Wrong publication type (n = 1)</w:t>
      </w:r>
    </w:p>
    <w:p w14:paraId="1F02D619" w14:textId="5D7AA270" w:rsidR="00E667DF" w:rsidRPr="00622F49" w:rsidRDefault="00B457A3" w:rsidP="00B457A3">
      <w:pPr>
        <w:pStyle w:val="ListParagraph"/>
        <w:numPr>
          <w:ilvl w:val="0"/>
          <w:numId w:val="5"/>
        </w:numPr>
        <w:spacing w:line="360" w:lineRule="auto"/>
        <w:rPr>
          <w:rFonts w:ascii="Times New Roman" w:hAnsi="Times New Roman" w:cs="Times New Roman"/>
          <w:sz w:val="20"/>
          <w:szCs w:val="20"/>
        </w:rPr>
      </w:pPr>
      <w:r w:rsidRPr="00622F49">
        <w:rPr>
          <w:rFonts w:ascii="Times New Roman" w:hAnsi="Times New Roman" w:cs="Times New Roman"/>
          <w:sz w:val="20"/>
          <w:szCs w:val="20"/>
        </w:rPr>
        <w:t xml:space="preserve">Siepmann T, Gruener C, Simon E, Winzer S, Sedghi A, Pallesen L‐P, Barlinn J, Puetz V, Barlinn K. Caloric testing combined with assessment of nystagmus, skew and hearing loss outperforms conventional and videooculography supported hints-plus in detecting stroke presenting as acute vestibular syndrome. </w:t>
      </w:r>
      <w:r w:rsidRPr="00622F49">
        <w:rPr>
          <w:rFonts w:ascii="Times New Roman" w:hAnsi="Times New Roman" w:cs="Times New Roman" w:hint="eastAsia"/>
          <w:sz w:val="20"/>
          <w:szCs w:val="20"/>
        </w:rPr>
        <w:t>European stroke journal, 2021, 6(1 SUPPL), 177</w:t>
      </w:r>
      <w:r w:rsidRPr="00622F49">
        <w:rPr>
          <w:rFonts w:ascii="Times New Roman" w:hAnsi="Times New Roman" w:cs="Times New Roman" w:hint="eastAsia"/>
          <w:sz w:val="20"/>
          <w:szCs w:val="20"/>
        </w:rPr>
        <w:t>‐</w:t>
      </w:r>
      <w:r w:rsidRPr="00622F49">
        <w:rPr>
          <w:rFonts w:ascii="Times New Roman" w:hAnsi="Times New Roman" w:cs="Times New Roman" w:hint="eastAsia"/>
          <w:sz w:val="20"/>
          <w:szCs w:val="20"/>
        </w:rPr>
        <w:t>178</w:t>
      </w:r>
      <w:r w:rsidRPr="00622F49">
        <w:rPr>
          <w:rFonts w:ascii="Times New Roman" w:hAnsi="Times New Roman" w:cs="Times New Roman"/>
          <w:sz w:val="20"/>
          <w:szCs w:val="20"/>
        </w:rPr>
        <w:t>. doi: 10.1177/23969873211034932.</w:t>
      </w:r>
    </w:p>
    <w:p w14:paraId="66B93DA8" w14:textId="0BF98D6C" w:rsidR="00E667DF" w:rsidRPr="00622F49" w:rsidRDefault="00E667DF" w:rsidP="00E667DF">
      <w:pPr>
        <w:spacing w:line="360" w:lineRule="auto"/>
        <w:rPr>
          <w:rFonts w:ascii="Times New Roman" w:hAnsi="Times New Roman" w:cs="Times New Roman"/>
          <w:i/>
          <w:iCs/>
          <w:sz w:val="20"/>
          <w:szCs w:val="20"/>
        </w:rPr>
      </w:pPr>
      <w:r w:rsidRPr="00622F49">
        <w:rPr>
          <w:rFonts w:ascii="Times New Roman" w:hAnsi="Times New Roman" w:cs="Times New Roman"/>
          <w:i/>
          <w:iCs/>
          <w:sz w:val="20"/>
          <w:szCs w:val="20"/>
        </w:rPr>
        <w:t>Wrong outcome (n = 1)</w:t>
      </w:r>
    </w:p>
    <w:p w14:paraId="15E47F29" w14:textId="299927F6" w:rsidR="00E667DF" w:rsidRPr="00622F49" w:rsidRDefault="00B457A3" w:rsidP="00B457A3">
      <w:pPr>
        <w:pStyle w:val="ListParagraph"/>
        <w:numPr>
          <w:ilvl w:val="0"/>
          <w:numId w:val="6"/>
        </w:numPr>
        <w:spacing w:line="360" w:lineRule="auto"/>
        <w:rPr>
          <w:rFonts w:ascii="Times New Roman" w:hAnsi="Times New Roman" w:cs="Times New Roman"/>
          <w:sz w:val="20"/>
          <w:szCs w:val="20"/>
        </w:rPr>
      </w:pPr>
      <w:r w:rsidRPr="00622F49">
        <w:rPr>
          <w:rFonts w:ascii="Times New Roman" w:hAnsi="Times New Roman" w:cs="Times New Roman"/>
          <w:sz w:val="20"/>
          <w:szCs w:val="20"/>
        </w:rPr>
        <w:t>Misale P, Hassannia F, Dabiri S, Brandstaetter T, Rutka J. Post-traumatic peripheral vestibular disorders (excluding positional vertigo) in workers following head injury. Sci Rep. 2021 Dec 6;11(1):23436. doi: 10.1038/s41598-021-02987-5. PMID: 34873257; PMCID: PMC8648866.</w:t>
      </w:r>
    </w:p>
    <w:p w14:paraId="332831E3" w14:textId="51A0A4EF" w:rsidR="00E667DF" w:rsidRPr="00622F49" w:rsidRDefault="00E667DF" w:rsidP="00E667DF">
      <w:pPr>
        <w:spacing w:line="360" w:lineRule="auto"/>
        <w:rPr>
          <w:rFonts w:ascii="Times New Roman" w:hAnsi="Times New Roman" w:cs="Times New Roman"/>
          <w:i/>
          <w:iCs/>
          <w:sz w:val="20"/>
          <w:szCs w:val="20"/>
        </w:rPr>
      </w:pPr>
      <w:r w:rsidRPr="00622F49">
        <w:rPr>
          <w:rFonts w:ascii="Times New Roman" w:hAnsi="Times New Roman" w:cs="Times New Roman"/>
          <w:i/>
          <w:iCs/>
          <w:sz w:val="20"/>
          <w:szCs w:val="20"/>
        </w:rPr>
        <w:t>Wrong intervention (n = 1)</w:t>
      </w:r>
    </w:p>
    <w:p w14:paraId="43333B30" w14:textId="44B268B7" w:rsidR="00E667DF" w:rsidRPr="00622F49" w:rsidRDefault="00B457A3" w:rsidP="00B457A3">
      <w:pPr>
        <w:pStyle w:val="ListParagraph"/>
        <w:numPr>
          <w:ilvl w:val="0"/>
          <w:numId w:val="7"/>
        </w:numPr>
        <w:spacing w:line="360" w:lineRule="auto"/>
        <w:rPr>
          <w:rFonts w:ascii="Times New Roman" w:hAnsi="Times New Roman" w:cs="Times New Roman"/>
          <w:sz w:val="20"/>
          <w:szCs w:val="20"/>
        </w:rPr>
      </w:pPr>
      <w:r w:rsidRPr="00622F49">
        <w:rPr>
          <w:rFonts w:ascii="Times New Roman" w:hAnsi="Times New Roman" w:cs="Times New Roman"/>
          <w:sz w:val="20"/>
          <w:szCs w:val="20"/>
        </w:rPr>
        <w:t>Asquier-Khati A, Mauhin W, Michel G, Gendre A, Durant C, Lavigne C, Maillard H, Lacombe D, Willems M, Lidove O, Masseau A. Cochleovestibular involvement in patients with Fabry disease: data from the multicenter cohort FFABRY. Eur Arch Otorhinolaryngol. 2022 Mar;279(3):1639-1644. doi: 10.1007/s00405-021-07173-x. Epub 2021 Nov 26. PMID: 34825971.</w:t>
      </w:r>
    </w:p>
    <w:p w14:paraId="3A55F736" w14:textId="77777777" w:rsidR="00B90FC8" w:rsidRPr="00622F49" w:rsidRDefault="00B90FC8" w:rsidP="00B90FC8">
      <w:pPr>
        <w:spacing w:line="360" w:lineRule="auto"/>
        <w:rPr>
          <w:rFonts w:ascii="Times New Roman" w:hAnsi="Times New Roman" w:cs="Times New Roman"/>
          <w:sz w:val="20"/>
          <w:szCs w:val="20"/>
        </w:rPr>
      </w:pPr>
    </w:p>
    <w:p w14:paraId="1A775481" w14:textId="77777777" w:rsidR="00B90FC8" w:rsidRPr="00622F49" w:rsidRDefault="00B90FC8" w:rsidP="00B90FC8">
      <w:pPr>
        <w:spacing w:line="360" w:lineRule="auto"/>
        <w:rPr>
          <w:rFonts w:ascii="Times New Roman" w:hAnsi="Times New Roman" w:cs="Times New Roman"/>
          <w:sz w:val="20"/>
          <w:szCs w:val="20"/>
        </w:rPr>
      </w:pPr>
    </w:p>
    <w:p w14:paraId="44624E9D" w14:textId="77777777" w:rsidR="00B90FC8" w:rsidRPr="00622F49" w:rsidRDefault="00B90FC8" w:rsidP="00B90FC8">
      <w:pPr>
        <w:spacing w:line="360" w:lineRule="auto"/>
        <w:rPr>
          <w:rFonts w:ascii="Times New Roman" w:hAnsi="Times New Roman" w:cs="Times New Roman"/>
          <w:sz w:val="20"/>
          <w:szCs w:val="20"/>
        </w:rPr>
      </w:pPr>
    </w:p>
    <w:p w14:paraId="5339CEC1" w14:textId="77777777" w:rsidR="00B90FC8" w:rsidRPr="00622F49" w:rsidRDefault="00B90FC8" w:rsidP="00B90FC8">
      <w:pPr>
        <w:spacing w:line="360" w:lineRule="auto"/>
        <w:rPr>
          <w:rFonts w:ascii="Times New Roman" w:hAnsi="Times New Roman" w:cs="Times New Roman"/>
          <w:sz w:val="20"/>
          <w:szCs w:val="20"/>
        </w:rPr>
      </w:pPr>
    </w:p>
    <w:p w14:paraId="663C987B" w14:textId="77777777" w:rsidR="00B90FC8" w:rsidRPr="00622F49" w:rsidRDefault="00B90FC8" w:rsidP="00B90FC8">
      <w:pPr>
        <w:spacing w:line="360" w:lineRule="auto"/>
        <w:rPr>
          <w:rFonts w:ascii="Times New Roman" w:hAnsi="Times New Roman" w:cs="Times New Roman"/>
          <w:sz w:val="20"/>
          <w:szCs w:val="20"/>
        </w:rPr>
      </w:pPr>
    </w:p>
    <w:p w14:paraId="218F5457" w14:textId="22E28612" w:rsidR="00B90FC8" w:rsidRPr="00622F49" w:rsidRDefault="00622F49" w:rsidP="00B90FC8">
      <w:pPr>
        <w:spacing w:line="360" w:lineRule="auto"/>
        <w:rPr>
          <w:rFonts w:ascii="Times New Roman" w:hAnsi="Times New Roman" w:cs="Times New Roman"/>
          <w:b/>
          <w:bCs/>
          <w:sz w:val="20"/>
          <w:szCs w:val="20"/>
        </w:rPr>
      </w:pPr>
      <w:r>
        <w:rPr>
          <w:rFonts w:ascii="Times New Roman" w:hAnsi="Times New Roman" w:cs="Times New Roman"/>
          <w:b/>
          <w:bCs/>
          <w:sz w:val="20"/>
          <w:szCs w:val="20"/>
        </w:rPr>
        <w:lastRenderedPageBreak/>
        <w:t>eMethods</w:t>
      </w:r>
      <w:r w:rsidR="00B90FC8" w:rsidRPr="00622F49">
        <w:rPr>
          <w:rFonts w:ascii="Times New Roman" w:hAnsi="Times New Roman" w:cs="Times New Roman"/>
          <w:b/>
          <w:bCs/>
          <w:sz w:val="20"/>
          <w:szCs w:val="20"/>
        </w:rPr>
        <w:t xml:space="preserve"> 3. </w:t>
      </w:r>
      <w:r w:rsidR="00B90FC8" w:rsidRPr="00622F49">
        <w:rPr>
          <w:rFonts w:ascii="Times New Roman" w:hAnsi="Times New Roman" w:cs="Times New Roman"/>
          <w:sz w:val="20"/>
          <w:szCs w:val="20"/>
        </w:rPr>
        <w:t>Quality of studies included</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4"/>
        <w:gridCol w:w="712"/>
        <w:gridCol w:w="709"/>
        <w:gridCol w:w="709"/>
        <w:gridCol w:w="850"/>
        <w:gridCol w:w="709"/>
        <w:gridCol w:w="709"/>
        <w:gridCol w:w="707"/>
        <w:gridCol w:w="596"/>
        <w:gridCol w:w="813"/>
      </w:tblGrid>
      <w:tr w:rsidR="00B90FC8" w:rsidRPr="00622F49" w14:paraId="1D42A76C" w14:textId="77777777" w:rsidTr="00407C03">
        <w:tc>
          <w:tcPr>
            <w:tcW w:w="1620" w:type="pct"/>
            <w:tcBorders>
              <w:top w:val="single" w:sz="4" w:space="0" w:color="auto"/>
              <w:bottom w:val="single" w:sz="4" w:space="0" w:color="auto"/>
            </w:tcBorders>
          </w:tcPr>
          <w:p w14:paraId="207251E4" w14:textId="77777777" w:rsidR="00B90FC8" w:rsidRPr="00622F49" w:rsidRDefault="00B90FC8" w:rsidP="00407C03">
            <w:pPr>
              <w:rPr>
                <w:rFonts w:cstheme="minorHAnsi"/>
                <w:sz w:val="20"/>
                <w:szCs w:val="20"/>
              </w:rPr>
            </w:pPr>
          </w:p>
        </w:tc>
        <w:tc>
          <w:tcPr>
            <w:tcW w:w="369" w:type="pct"/>
            <w:tcBorders>
              <w:top w:val="single" w:sz="4" w:space="0" w:color="auto"/>
              <w:bottom w:val="single" w:sz="4" w:space="0" w:color="auto"/>
            </w:tcBorders>
          </w:tcPr>
          <w:p w14:paraId="5CBC6C59" w14:textId="77777777" w:rsidR="00B90FC8" w:rsidRPr="00622F49" w:rsidRDefault="00B90FC8" w:rsidP="00407C03">
            <w:pPr>
              <w:rPr>
                <w:rFonts w:cstheme="minorHAnsi"/>
                <w:b/>
                <w:bCs/>
                <w:sz w:val="20"/>
                <w:szCs w:val="20"/>
              </w:rPr>
            </w:pPr>
            <w:r w:rsidRPr="00622F49">
              <w:rPr>
                <w:rFonts w:cstheme="minorHAnsi"/>
                <w:b/>
                <w:bCs/>
                <w:sz w:val="20"/>
                <w:szCs w:val="20"/>
              </w:rPr>
              <w:t>Q1</w:t>
            </w:r>
          </w:p>
        </w:tc>
        <w:tc>
          <w:tcPr>
            <w:tcW w:w="368" w:type="pct"/>
            <w:tcBorders>
              <w:top w:val="single" w:sz="4" w:space="0" w:color="auto"/>
              <w:bottom w:val="single" w:sz="4" w:space="0" w:color="auto"/>
            </w:tcBorders>
          </w:tcPr>
          <w:p w14:paraId="439567FA" w14:textId="77777777" w:rsidR="00B90FC8" w:rsidRPr="00622F49" w:rsidRDefault="00B90FC8" w:rsidP="00407C03">
            <w:pPr>
              <w:rPr>
                <w:rFonts w:cstheme="minorHAnsi"/>
                <w:b/>
                <w:bCs/>
                <w:sz w:val="20"/>
                <w:szCs w:val="20"/>
              </w:rPr>
            </w:pPr>
            <w:r w:rsidRPr="00622F49">
              <w:rPr>
                <w:rFonts w:cstheme="minorHAnsi"/>
                <w:b/>
                <w:bCs/>
                <w:sz w:val="20"/>
                <w:szCs w:val="20"/>
              </w:rPr>
              <w:t>Q2</w:t>
            </w:r>
          </w:p>
        </w:tc>
        <w:tc>
          <w:tcPr>
            <w:tcW w:w="368" w:type="pct"/>
            <w:tcBorders>
              <w:top w:val="single" w:sz="4" w:space="0" w:color="auto"/>
              <w:bottom w:val="single" w:sz="4" w:space="0" w:color="auto"/>
            </w:tcBorders>
          </w:tcPr>
          <w:p w14:paraId="55C2ACE6" w14:textId="77777777" w:rsidR="00B90FC8" w:rsidRPr="00622F49" w:rsidRDefault="00B90FC8" w:rsidP="00407C03">
            <w:pPr>
              <w:rPr>
                <w:rFonts w:cstheme="minorHAnsi"/>
                <w:b/>
                <w:bCs/>
                <w:sz w:val="20"/>
                <w:szCs w:val="20"/>
              </w:rPr>
            </w:pPr>
            <w:r w:rsidRPr="00622F49">
              <w:rPr>
                <w:rFonts w:cstheme="minorHAnsi"/>
                <w:b/>
                <w:bCs/>
                <w:sz w:val="20"/>
                <w:szCs w:val="20"/>
              </w:rPr>
              <w:t>Q3</w:t>
            </w:r>
          </w:p>
        </w:tc>
        <w:tc>
          <w:tcPr>
            <w:tcW w:w="441" w:type="pct"/>
            <w:tcBorders>
              <w:top w:val="single" w:sz="4" w:space="0" w:color="auto"/>
              <w:bottom w:val="single" w:sz="4" w:space="0" w:color="auto"/>
            </w:tcBorders>
          </w:tcPr>
          <w:p w14:paraId="286FCD8C" w14:textId="77777777" w:rsidR="00B90FC8" w:rsidRPr="00622F49" w:rsidRDefault="00B90FC8" w:rsidP="00407C03">
            <w:pPr>
              <w:rPr>
                <w:rFonts w:cstheme="minorHAnsi"/>
                <w:b/>
                <w:bCs/>
                <w:sz w:val="20"/>
                <w:szCs w:val="20"/>
              </w:rPr>
            </w:pPr>
            <w:r w:rsidRPr="00622F49">
              <w:rPr>
                <w:rFonts w:cstheme="minorHAnsi"/>
                <w:b/>
                <w:bCs/>
                <w:sz w:val="20"/>
                <w:szCs w:val="20"/>
              </w:rPr>
              <w:t>Q4</w:t>
            </w:r>
          </w:p>
        </w:tc>
        <w:tc>
          <w:tcPr>
            <w:tcW w:w="368" w:type="pct"/>
            <w:tcBorders>
              <w:top w:val="single" w:sz="4" w:space="0" w:color="auto"/>
              <w:bottom w:val="single" w:sz="4" w:space="0" w:color="auto"/>
            </w:tcBorders>
          </w:tcPr>
          <w:p w14:paraId="642D2D1A" w14:textId="77777777" w:rsidR="00B90FC8" w:rsidRPr="00622F49" w:rsidRDefault="00B90FC8" w:rsidP="00407C03">
            <w:pPr>
              <w:rPr>
                <w:rFonts w:cstheme="minorHAnsi"/>
                <w:b/>
                <w:bCs/>
                <w:sz w:val="20"/>
                <w:szCs w:val="20"/>
              </w:rPr>
            </w:pPr>
            <w:r w:rsidRPr="00622F49">
              <w:rPr>
                <w:rFonts w:cstheme="minorHAnsi"/>
                <w:b/>
                <w:bCs/>
                <w:sz w:val="20"/>
                <w:szCs w:val="20"/>
              </w:rPr>
              <w:t>Q5</w:t>
            </w:r>
          </w:p>
        </w:tc>
        <w:tc>
          <w:tcPr>
            <w:tcW w:w="368" w:type="pct"/>
            <w:tcBorders>
              <w:top w:val="single" w:sz="4" w:space="0" w:color="auto"/>
              <w:bottom w:val="single" w:sz="4" w:space="0" w:color="auto"/>
            </w:tcBorders>
          </w:tcPr>
          <w:p w14:paraId="342835F5" w14:textId="77777777" w:rsidR="00B90FC8" w:rsidRPr="00622F49" w:rsidRDefault="00B90FC8" w:rsidP="00407C03">
            <w:pPr>
              <w:rPr>
                <w:rFonts w:cstheme="minorHAnsi"/>
                <w:b/>
                <w:bCs/>
                <w:sz w:val="20"/>
                <w:szCs w:val="20"/>
              </w:rPr>
            </w:pPr>
            <w:r w:rsidRPr="00622F49">
              <w:rPr>
                <w:rFonts w:cstheme="minorHAnsi"/>
                <w:b/>
                <w:bCs/>
                <w:sz w:val="20"/>
                <w:szCs w:val="20"/>
              </w:rPr>
              <w:t>Q6</w:t>
            </w:r>
          </w:p>
        </w:tc>
        <w:tc>
          <w:tcPr>
            <w:tcW w:w="367" w:type="pct"/>
            <w:tcBorders>
              <w:top w:val="single" w:sz="4" w:space="0" w:color="auto"/>
              <w:bottom w:val="single" w:sz="4" w:space="0" w:color="auto"/>
            </w:tcBorders>
          </w:tcPr>
          <w:p w14:paraId="05AAC6FB" w14:textId="77777777" w:rsidR="00B90FC8" w:rsidRPr="00622F49" w:rsidRDefault="00B90FC8" w:rsidP="00407C03">
            <w:pPr>
              <w:rPr>
                <w:rFonts w:cstheme="minorHAnsi"/>
                <w:b/>
                <w:bCs/>
                <w:sz w:val="20"/>
                <w:szCs w:val="20"/>
              </w:rPr>
            </w:pPr>
            <w:r w:rsidRPr="00622F49">
              <w:rPr>
                <w:rFonts w:cstheme="minorHAnsi"/>
                <w:b/>
                <w:bCs/>
                <w:sz w:val="20"/>
                <w:szCs w:val="20"/>
              </w:rPr>
              <w:t>Q7</w:t>
            </w:r>
          </w:p>
        </w:tc>
        <w:tc>
          <w:tcPr>
            <w:tcW w:w="309" w:type="pct"/>
            <w:tcBorders>
              <w:top w:val="single" w:sz="4" w:space="0" w:color="auto"/>
              <w:bottom w:val="single" w:sz="4" w:space="0" w:color="auto"/>
            </w:tcBorders>
          </w:tcPr>
          <w:p w14:paraId="03A04FE6" w14:textId="77777777" w:rsidR="00B90FC8" w:rsidRPr="00622F49" w:rsidRDefault="00B90FC8" w:rsidP="00407C03">
            <w:pPr>
              <w:rPr>
                <w:rFonts w:cstheme="minorHAnsi"/>
                <w:b/>
                <w:bCs/>
                <w:sz w:val="20"/>
                <w:szCs w:val="20"/>
              </w:rPr>
            </w:pPr>
            <w:r w:rsidRPr="00622F49">
              <w:rPr>
                <w:rFonts w:cstheme="minorHAnsi"/>
                <w:b/>
                <w:bCs/>
                <w:sz w:val="20"/>
                <w:szCs w:val="20"/>
              </w:rPr>
              <w:t>Q8</w:t>
            </w:r>
          </w:p>
        </w:tc>
        <w:tc>
          <w:tcPr>
            <w:tcW w:w="423" w:type="pct"/>
            <w:tcBorders>
              <w:top w:val="single" w:sz="4" w:space="0" w:color="auto"/>
              <w:bottom w:val="single" w:sz="4" w:space="0" w:color="auto"/>
            </w:tcBorders>
          </w:tcPr>
          <w:p w14:paraId="3825CD52" w14:textId="77777777" w:rsidR="00B90FC8" w:rsidRPr="00622F49" w:rsidRDefault="00B90FC8" w:rsidP="00407C03">
            <w:pPr>
              <w:rPr>
                <w:rFonts w:cstheme="minorHAnsi"/>
                <w:b/>
                <w:bCs/>
                <w:sz w:val="20"/>
                <w:szCs w:val="20"/>
              </w:rPr>
            </w:pPr>
            <w:r w:rsidRPr="00622F49">
              <w:rPr>
                <w:rFonts w:cstheme="minorHAnsi"/>
                <w:b/>
                <w:bCs/>
                <w:sz w:val="20"/>
                <w:szCs w:val="20"/>
              </w:rPr>
              <w:t>Q9</w:t>
            </w:r>
          </w:p>
        </w:tc>
      </w:tr>
      <w:tr w:rsidR="00B90FC8" w:rsidRPr="00622F49" w14:paraId="54DB8633" w14:textId="77777777" w:rsidTr="00407C03">
        <w:tc>
          <w:tcPr>
            <w:tcW w:w="1620" w:type="pct"/>
            <w:tcBorders>
              <w:top w:val="single" w:sz="4" w:space="0" w:color="auto"/>
            </w:tcBorders>
            <w:vAlign w:val="bottom"/>
          </w:tcPr>
          <w:p w14:paraId="211D8B8A" w14:textId="77777777" w:rsidR="00B90FC8" w:rsidRPr="00622F49" w:rsidRDefault="00B90FC8" w:rsidP="00407C03">
            <w:pPr>
              <w:rPr>
                <w:rFonts w:cstheme="minorHAnsi"/>
                <w:sz w:val="20"/>
                <w:szCs w:val="20"/>
              </w:rPr>
            </w:pPr>
            <w:r w:rsidRPr="00622F49">
              <w:rPr>
                <w:rFonts w:cstheme="minorHAnsi"/>
                <w:sz w:val="20"/>
                <w:szCs w:val="20"/>
                <w:lang w:val="en-GB"/>
              </w:rPr>
              <w:t>Alshehri et al. 2016</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{"citationID":"WSKp6q6V","properties":{"formattedCitation":"\\super 19\\nosupersub{}","plainCitation":"19","noteIndex":0},"citationItems":[{"id":11297,"uris":["http://zotero.org/users/8059477/items/QRDHZR4E"],"itemData":{"id":11297,"type":"article-journal","abstract":"OBJECTIVE: Dizziness after concussion have been reported in both youths and adults. It is not clear if the dizziness experienced post-concussion is from peripheral or central etiology. New technology has been developed to quickly and easily quantify the magnitude of peripheral vestibular disorders that is non-invasive and acceptable to youths and adults. The purpose of this study was to determine if youths and adults' post-concussion have evidence of decreased horizontal semicircular canal vestibulo-ocular reflex (VOR) gains as measured with the video head impulse test (vHIT), which would indicate a peripheral vestibular disorder. An additional purpose was to determine if VOR gain scores correlate with functional performance measures.\nDESIGN: Descriptive cross sectional.\nSETTING: Large medical center out-patient concussion program.\nPARTICIPANTS: Fifty-six subjects with concussion.\nMAIN OUTCOMES/MEASURES: Subjects completed the vHIT testing, the Dizziness Handicap Inventory (DHI), the Vestibular Activities and Participation (VAP) scale, the Pediatric Vestibular Symptom Questionnaire, gait speed assessment, the Dynamic Gait Index (DGI) and a verbal analog scale of symptom provocation before and after the vHIT testing.\nRESULTS: There were no abnormal vHIT findings in any subject. Headaches, dizziness and nausea were significantly worse post vHIT testing (p &lt; 0.05). Youths had better DGI and DHI scores than subjects older than 20 (p &lt; 0.05).\nCONCLUSION: The vHIT did not detect horizontal semicircular canal weakness in any of the subjects tested. In addition, older adults reported more activity and participation limitations than the younger subjects with concussion.","container-title":"Journal of Vestibular Research: Equilibrium &amp; Orientation","DOI":"10.3233/VES-160598","ISSN":"1878-6464","issue":"5-6","journalAbbreviation":"J Vestib Res","language":"eng","note":"PMID: 28262647","page":"439-446","source":"PubMed","title":"The usefulness of the video head impulse test in children and adults post-concussion","volume":"26","author":[{"family":"Alshehri","given":"Mohammed M."},{"family":"Sparto","given":"Patrick J."},{"family":"Furman","given":"Joseph M."},{"family":"Fedor","given":"Sheri"},{"family":"Mucha","given":"Anne"},{"family":"Henry","given":"Luke C."},{"family":"Whitney","given":"Susan L."}],"issued":{"date-parts":[["2016"]]}}}],"schema":"https://github.com/citation-style-language/schema/raw/master/csl-citation.json"}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19</w:t>
            </w:r>
            <w:r w:rsidRPr="00622F49">
              <w:rPr>
                <w:rFonts w:cstheme="minorHAnsi"/>
                <w:sz w:val="20"/>
                <w:szCs w:val="20"/>
                <w:lang w:val="en-GB"/>
              </w:rPr>
              <w:fldChar w:fldCharType="end"/>
            </w:r>
          </w:p>
        </w:tc>
        <w:tc>
          <w:tcPr>
            <w:tcW w:w="369" w:type="pct"/>
            <w:tcBorders>
              <w:top w:val="single" w:sz="4" w:space="0" w:color="auto"/>
            </w:tcBorders>
          </w:tcPr>
          <w:p w14:paraId="057EF48B"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Borders>
              <w:top w:val="single" w:sz="4" w:space="0" w:color="auto"/>
            </w:tcBorders>
          </w:tcPr>
          <w:p w14:paraId="72782FF1"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Borders>
              <w:top w:val="single" w:sz="4" w:space="0" w:color="auto"/>
            </w:tcBorders>
          </w:tcPr>
          <w:p w14:paraId="07D41A4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Borders>
              <w:top w:val="single" w:sz="4" w:space="0" w:color="auto"/>
            </w:tcBorders>
          </w:tcPr>
          <w:p w14:paraId="6F00D4A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Borders>
              <w:top w:val="single" w:sz="4" w:space="0" w:color="auto"/>
            </w:tcBorders>
          </w:tcPr>
          <w:p w14:paraId="0DEB1A1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Borders>
              <w:top w:val="single" w:sz="4" w:space="0" w:color="auto"/>
            </w:tcBorders>
          </w:tcPr>
          <w:p w14:paraId="0F54649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Borders>
              <w:top w:val="single" w:sz="4" w:space="0" w:color="auto"/>
            </w:tcBorders>
          </w:tcPr>
          <w:p w14:paraId="33A3708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Borders>
              <w:top w:val="single" w:sz="4" w:space="0" w:color="auto"/>
            </w:tcBorders>
          </w:tcPr>
          <w:p w14:paraId="202016E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Borders>
              <w:top w:val="single" w:sz="4" w:space="0" w:color="auto"/>
            </w:tcBorders>
          </w:tcPr>
          <w:p w14:paraId="0A1B5012"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r>
      <w:tr w:rsidR="00B90FC8" w:rsidRPr="00622F49" w14:paraId="681C1045" w14:textId="77777777" w:rsidTr="00407C03">
        <w:tc>
          <w:tcPr>
            <w:tcW w:w="1620" w:type="pct"/>
            <w:vAlign w:val="bottom"/>
          </w:tcPr>
          <w:p w14:paraId="04B82D32" w14:textId="77777777" w:rsidR="00B90FC8" w:rsidRPr="00622F49" w:rsidRDefault="00B90FC8" w:rsidP="00407C03">
            <w:pPr>
              <w:rPr>
                <w:rFonts w:cstheme="minorHAnsi"/>
                <w:sz w:val="20"/>
                <w:szCs w:val="20"/>
              </w:rPr>
            </w:pPr>
            <w:r w:rsidRPr="00622F49">
              <w:rPr>
                <w:rFonts w:cstheme="minorHAnsi"/>
                <w:sz w:val="20"/>
                <w:szCs w:val="20"/>
                <w:lang w:val="en-GB"/>
              </w:rPr>
              <w:t>Anagnostou et al. 2019</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{"citationID":"4M0qUkmj","properties":{"formattedCitation":"\\super 20\\nosupersub{}","plainCitation":"20","noteIndex":0},"citationItems":[{"id":11299,"uris":["http://zotero.org/users/8059477/items/5ENC3HHE"],"itemData":{"id":11299,"type":"article-journal","abstract":"Spinal and bulbar muscular atrophy (Kennedy's disease) has been associated with balance dysfunction and falls. However, postural control has not been studied quantitatively. Here, we quantified upright stance and aimed to disentangle the role of vestibular, proprioceptive and oculomotor deficits. Static balance was assessed in Kennedy patients (n = 7) during quiet stance on a force platform under different visual and proprioceptive feedback conditions. Vestibular function was assessed with the video head impulse test. Sural nerve neurography was employed to evaluate the severity of peripheral neuropathy. Also, horizontal saccades were recorded and quantified by the main sequence relationship. Posturographic analyses revealed significantly increased body sway, more pronounced in conditions with closed eyes, which was also reflected in the calculated Romberg indices. Horizontal vestibulo-ocular reflex gains were normal, i.e. &gt; 0.75. In contrast, compound sensory nerve action potentials were markedly decreased in all patients (mean = 2.4 μV). Two patients showed slow saccades with increased exponential main sequence constants. We conclude that Kennedy patients exhibit severe deficits in quiet stance. Postural instability is greatest in conditions of absent vision with reduced proprioception being the main determinant of unsteadiness. Some patients show slowed saccadic eye movements suggesting a nuclear abducens neuronopathy.","container-title":"Neuroscience Letters","DOI":"10.1016/j.neulet.2019.04.044","ISSN":"1872-7972","journalAbbreviation":"Neurosci Lett","language":"eng","note":"PMID: 31026532","page":"94-98","source":"PubMed","title":"Disentangling balance impairments in spinal and bulbar muscular atrophy","volume":"705","author":[{"family":"Anagnostou","given":"E."},{"family":"Zachou","given":"A."},{"family":"Breza","given":"M."},{"family":"Kladi","given":"A."},{"family":"Karadima","given":"G."},{"family":"Koutsis","given":"G."}],"issued":{"date-parts":[["2019",7,13]]}}}],"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20</w:t>
            </w:r>
            <w:r w:rsidRPr="00622F49">
              <w:rPr>
                <w:rFonts w:cstheme="minorHAnsi"/>
                <w:sz w:val="20"/>
                <w:szCs w:val="20"/>
                <w:lang w:val="en-GB"/>
              </w:rPr>
              <w:fldChar w:fldCharType="end"/>
            </w:r>
          </w:p>
        </w:tc>
        <w:tc>
          <w:tcPr>
            <w:tcW w:w="369" w:type="pct"/>
          </w:tcPr>
          <w:p w14:paraId="28AA826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059557A"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Pr>
          <w:p w14:paraId="6E30FBA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68339A7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EBAF02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049BBED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65F6150D"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2C927BB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0AA1468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705389B3" w14:textId="77777777" w:rsidTr="00407C03">
        <w:tc>
          <w:tcPr>
            <w:tcW w:w="1620" w:type="pct"/>
            <w:vAlign w:val="bottom"/>
          </w:tcPr>
          <w:p w14:paraId="17A915BD" w14:textId="77777777" w:rsidR="00B90FC8" w:rsidRPr="00622F49" w:rsidRDefault="00B90FC8" w:rsidP="00407C03">
            <w:pPr>
              <w:rPr>
                <w:rFonts w:cstheme="minorHAnsi"/>
                <w:sz w:val="20"/>
                <w:szCs w:val="20"/>
                <w:lang w:val="en-GB"/>
              </w:rPr>
            </w:pPr>
            <w:r w:rsidRPr="00622F49">
              <w:rPr>
                <w:rFonts w:cstheme="minorHAnsi"/>
                <w:sz w:val="20"/>
                <w:szCs w:val="20"/>
                <w:lang w:val="en-GB"/>
              </w:rPr>
              <w:t>Ariello et al. 2025</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{"citationID":"Wfbu8xxY","properties":{"formattedCitation":"\\super 59\\nosupersub{}","plainCitation":"59","noteIndex":0},"citationItems":[{"id":12054,"uris":["http://zotero.org/users/8059477/items/TX6GFVB5"],"itemData":{"id":12054,"type":"article-journal","abstract":"Spinocerebellar ataxia type 27B (SCA27B), caused by GAA repeat expansions in FGF14, is an increasingly recognized form of late-onset cerebellar ataxia. However, early diagnosis remains challenging due to mild or absent cerebellar motor signs and often normal brain magnetic resonance imaging (MRI). Oculovestibular abnormalities, although prevalent, are frequently overlooked and not captured by standard clinical scales such as the Scale for the Assessment and Rating of Ataxia (SARA). This study aimed to perform a detailed and dedicated evaluation of vestibulo-ocular function in patients with SCA27B, and to develop a practical diagnostic framework that highlights the most prevalent findings and their anatomical correlates. We retrospectively analyzed 20 patients with genetically confirmed SCA27B who underwent structured bedside and quantitative neuro-visual assessments, including video-oculography (VOG) and video head impulse testing (vHIT). As a comparison group, we included patients with genetically confirmed SCA1, SCA2, SCA3, SCA6, and SCA8, who had undergone the same VOG protocol at our center. All SCA27B patients exhibited cerebellar ocular motor abnormalities, including downbeat, gaze-evoked, and rebound nystagmus. Compared to other SCAs, spontaneous and positional downbeat nystagmus was significantly more frequent in SCA27B (p &lt; 0.001), whereas gaze-evoked and rebound nystagmus and impaired smooth pursuit occurred at similar rates, particularly in SCA6, which showed a partially overlapping profile. Quantitative vHIT revealed bilateral vestibular hypofunction, with lower vestibular-ocular reflex (VOR) gain most pronounced in the posterior canals (mean VOR gain: 0.44), followed by anterior (0.54) and horizontal canals (0.83; p &lt; 0.001). Brain MRI was normal in two-thirds of patients, and SARA scores indicated only mild ataxia, underscoring the diagnostic limitations of conventional tools. Our results emphasize the value of oculovestibular evaluation as a sensitive disease marker and support its integration into future composite diagnostic scales for cerebellar ataxias.Trial Registration Information: Not applicable (retrospective study).","container-title":"Cerebellum (London, England)","DOI":"10.1007/s12311-025-01906-y","ISSN":"1473-4230","issue":"5","journalAbbreviation":"Cerebellum","language":"eng","note":"PMID: 40906330","page":"149","source":"PubMed","title":"Ocular Motor and Vestibular Profile in Spinocerebellar Ataxia Type 27B: Toward a Practical Bedside Diagnostic Framework","title-short":"Ocular Motor and Vestibular Profile in Spinocerebellar Ataxia Type 27B","volume":"24","author":[{"family":"Ariello","given":"Leonardo Eleuterio"},{"family":"Gold","given":"Daniel R."},{"family":"Mu","given":"Weiyi"},{"family":"Schubert","given":"Michael C."},{"family":"Allen","given":"Claire"},{"family":"Paul","given":"Ashley"},{"family":"Rastall","given":"David P. W."}],"issued":{"date-parts":[["2025",9,4]]}}}],"schema":"https://github.com/citation-style-language/schema/raw/master/csl-citation.json"}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59</w:t>
            </w:r>
            <w:r w:rsidRPr="00622F49">
              <w:rPr>
                <w:rFonts w:cstheme="minorHAnsi"/>
                <w:sz w:val="20"/>
                <w:szCs w:val="20"/>
                <w:lang w:val="en-GB"/>
              </w:rPr>
              <w:fldChar w:fldCharType="end"/>
            </w:r>
          </w:p>
        </w:tc>
        <w:tc>
          <w:tcPr>
            <w:tcW w:w="369" w:type="pct"/>
          </w:tcPr>
          <w:p w14:paraId="4CB3B200"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24C088A3"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Pr>
          <w:p w14:paraId="09469881" w14:textId="77777777" w:rsidR="00B90FC8" w:rsidRPr="00622F49" w:rsidRDefault="00B90FC8" w:rsidP="00407C03">
            <w:pPr>
              <w:rPr>
                <w:rFonts w:ascii="Segoe UI Emoji" w:hAnsi="Segoe UI Emoji" w:cs="Segoe UI Emoj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441" w:type="pct"/>
          </w:tcPr>
          <w:p w14:paraId="745544AF"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0638D3C8" w14:textId="77777777" w:rsidR="00B90FC8" w:rsidRPr="00622F49" w:rsidRDefault="00B90FC8" w:rsidP="00407C03">
            <w:pPr>
              <w:rPr>
                <w:rFonts w:ascii="Segoe UI Emoji" w:hAnsi="Segoe UI Emoji" w:cs="Segoe UI Emoj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Pr>
          <w:p w14:paraId="4D2149D7"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7" w:type="pct"/>
          </w:tcPr>
          <w:p w14:paraId="111AA11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45A1A220"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423" w:type="pct"/>
          </w:tcPr>
          <w:p w14:paraId="64D5921F" w14:textId="77777777" w:rsidR="00B90FC8" w:rsidRPr="00622F49" w:rsidRDefault="00B90FC8" w:rsidP="00407C03">
            <w:pPr>
              <w:rPr>
                <w:rFonts w:ascii="Segoe UI Emoji" w:hAnsi="Segoe UI Emoji" w:cs="Segoe UI Emoj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r>
      <w:tr w:rsidR="00B90FC8" w:rsidRPr="00622F49" w14:paraId="1946D956" w14:textId="77777777" w:rsidTr="00407C03">
        <w:tc>
          <w:tcPr>
            <w:tcW w:w="1620" w:type="pct"/>
            <w:vAlign w:val="bottom"/>
          </w:tcPr>
          <w:p w14:paraId="4FD67B15" w14:textId="77777777" w:rsidR="00B90FC8" w:rsidRPr="00622F49" w:rsidRDefault="00B90FC8" w:rsidP="00407C03">
            <w:pPr>
              <w:rPr>
                <w:rFonts w:cstheme="minorHAnsi"/>
                <w:sz w:val="20"/>
                <w:szCs w:val="20"/>
              </w:rPr>
            </w:pPr>
            <w:r w:rsidRPr="00622F49">
              <w:rPr>
                <w:rFonts w:cstheme="minorHAnsi"/>
                <w:sz w:val="20"/>
                <w:szCs w:val="20"/>
                <w:lang w:val="en-GB"/>
              </w:rPr>
              <w:t>Aydin Canturk et al. 2023</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{"citationID":"C852vWAx","properties":{"formattedCitation":"\\super 22\\nosupersub{}","plainCitation":"22","noteIndex":0},"citationItems":[{"id":11301,"uris":["http://zotero.org/users/8059477/items/LTLURK4R"],"itemData":{"id":11301,"type":"article-journal","abstract":"INTRODUCTION: Multiple sclerosis (MS) is an autoimmune disease that can affect balance, gait, and improve fall risk. The aim of this study was to investigate peripheral vestibular system involvement in MS and associations with the disease severity.\nMETHODS: Thirty-five adult patients with MS and 14 age- and gender-matched healthy controls were evaluated using video head impulse test (v-HIT), cervical vestibular evoked myogenic potential (c-VEMP), ocular vestibular evoked myogenic potentials (o-VEMPs), and sensory organization test (SOT) of computerized dynamic posturography (CDP). The results of both groups were compared, and association with EDSS scores was evaluated.\nRESULTS: There was no significant difference between the groups regarding v-HIT and c-VEMP results (p &gt; 0.05). There was no association of the v-HIT, c-VEMP, and o-VEMP results with EDSS scores (p &gt; 0.05). There was no significant difference between the o-VEMP results of the groups (p &gt; 0.05) except for N1-P1 amplitudes (p = 0.01). The amplitudes of N1-P1 were significantly lower in the patients compared to controls (p = 0.01). There was no significant difference between the SOT results of the groups (p &gt; 0.05). However, significant differences were found within and between groups when the patients were categorized according to their EDSS scores with a cutoff point of 3 (p &lt; 0.05). There were negative correlations between the EDSS scores and composite (r = -396, p = 0.02) and somatosensory (SOM) scores (r = -487, p = 0.04) of CDP in the MS group.\nCONCLUSION: Although central and peripheral balance-related systems are affected in MS, the impact of disease on the peripheral vestibular end organ is subtle. In particular, the v-HIT, which was mentioned previously as a detector of brainstem dysfunction could not be a reliable tool in the detection of brainstem pathologies in MS patients. The o-VEMP amplitudes may be affected in the early stages of the disease, possibly due to the crossed ventral tegmental tract, oculomotor nuclei, or interstitial nucleus of Cajal involvements. An EDSS score &gt;3 seems a cutoff level indicating abnormalities in balance integration.","container-title":"ORL; journal for oto-rhino-laryngology and its related specialties","DOI":"10.1159/000529579","ISSN":"1423-0275","issue":"3","journalAbbreviation":"ORL J Otorhinolaryngol Relat Spec","language":"eng","note":"PMID: 36907176","page":"150-155","source":"PubMed","title":"Peripheral Vestibular System Involvement in Multiple Sclerosis and Associations with the Disease Severity","volume":"85","author":[{"family":"Aydın Cantürk","given":"İlknur"},{"family":"Mutlu","given":"Berna Özge"},{"family":"Yılmaz","given":"Oğuz"},{"family":"Bayazıt","given":"Yıldırım Ahmet"}],"issued":{"date-parts":[["2023"]]}}}],"schema":"https://github.com/citation-style-language/schema/raw/master/csl-citation.json"}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22</w:t>
            </w:r>
            <w:r w:rsidRPr="00622F49">
              <w:rPr>
                <w:rFonts w:cstheme="minorHAnsi"/>
                <w:sz w:val="20"/>
                <w:szCs w:val="20"/>
                <w:lang w:val="en-GB"/>
              </w:rPr>
              <w:fldChar w:fldCharType="end"/>
            </w:r>
          </w:p>
        </w:tc>
        <w:tc>
          <w:tcPr>
            <w:tcW w:w="369" w:type="pct"/>
          </w:tcPr>
          <w:p w14:paraId="723CB38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DC17A79"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Pr>
          <w:p w14:paraId="228441C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46DD7179"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8570F8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7EFC002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249E4B35"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09" w:type="pct"/>
          </w:tcPr>
          <w:p w14:paraId="67B7F9E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17FB285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3E9AC828" w14:textId="77777777" w:rsidTr="00407C03">
        <w:tc>
          <w:tcPr>
            <w:tcW w:w="1620" w:type="pct"/>
            <w:vAlign w:val="bottom"/>
          </w:tcPr>
          <w:p w14:paraId="4E0C8245" w14:textId="77777777" w:rsidR="00B90FC8" w:rsidRPr="00622F49" w:rsidRDefault="00B90FC8" w:rsidP="00407C03">
            <w:pPr>
              <w:rPr>
                <w:rFonts w:cstheme="minorHAnsi"/>
                <w:sz w:val="20"/>
                <w:szCs w:val="20"/>
              </w:rPr>
            </w:pPr>
            <w:r w:rsidRPr="00622F49">
              <w:rPr>
                <w:rFonts w:cstheme="minorHAnsi"/>
                <w:sz w:val="20"/>
                <w:szCs w:val="20"/>
                <w:lang w:val="en-GB"/>
              </w:rPr>
              <w:t>Berkiten et al. 2023</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{"citationID":"aE9RmN0K","properties":{"formattedCitation":"\\super 21\\nosupersub{}","plainCitation":"21","noteIndex":0},"citationItems":[{"id":11303,"uris":["http://zotero.org/users/8059477/items/DKFYHPE8"],"itemData":{"id":11303,"type":"article-journal","abstract":"OBJECTIVES: To explore the usefulness of vestibular tests including \"vestibular evoked myogenic potentials\" (VEMPs) and the video head impulse test (vHIT) in the early diagnosis of \"idiopathic Parkinson's disease\" (PD).\nMATERIALS AND METHODS: The study involved 80 participants including 40 patients (24 males, 16 females; age average 63.20 ± 7.94 years) with PD and 40 healthy individuals (18 males and 22 females; age average of 60.36 ± 7.68 years). The Modified Hoehn and Yahr (H&amp;Y) scale was used to measure how Parkinson's symptoms progress and the level of disability. Patients with PD underwent cVEMPs, oVEMPs, and vHIT and the results were compared with those of 40 age-matched healthy control (HC) subjects. vHIT results and VEMP responses were registered in all patients and HCs.\nRESULTS: One-sided absent cVEMP responses were found in 6 (15%) patients with PD and 8 (20%) patients had bilaterally absent responses. Five (12.5%) patients had 1-sided absent oVEMP responses and it was bilateral in 6 (15%). Patients with PD had significantly shorter cVEMP P1, N1 latency, lower cVEMP amplitudes, and oVEMP amplitudes than the HC group. The cVEMP and oVEMP amplitude asymmetry ratio was significantly higher in the PD group (P &lt; .05). Evaluation of vHIT results and vestibular-ocular reflex (VOR) gain between the groups revealed that anterior canal and posterior canal VOR gains results were remarkably lower in the PD group than in the HCs (P &lt; .05). There was no difference in right and left lateral canal VOR gains between the groups (P &gt; .05).\nCONCLUSION: The results of this study suggest that cVEMP and vHIT can be used to evaluate the vestibular system in patients with early-stage Parkinson's disease.","container-title":"The Annals of Otology, Rhinology, and Laryngology","DOI":"10.1177/00034894211067838","ISSN":"1943-572X","issue":"1","journalAbbreviation":"Ann Otol Rhinol Laryngol","language":"eng","note":"PMID: 35114808","page":"41-49","source":"PubMed","title":"Assessment of the Clinical Use of Vestibular Evoked Myogenic Potentials and the Video Head Impulse Test in the Diagnosis of Early-Stage Parkinson's Disease","volume":"132","author":[{"family":"Berkiten","given":"Güler"},{"family":"Tutar","given":"Belgin"},{"family":"Atar","given":"Sevgi"},{"family":"Kumral","given":"Tolgar Lütfi"},{"family":"Saltürk","given":"Ziya"},{"family":"Akan","given":"Onur"},{"family":"Sari","given":"Hüseyin"},{"family":"Onaran","given":"Öykü"},{"family":"Biltekin Tuna","given":"Ömür"},{"family":"Uyar","given":"Yavuz"}],"issued":{"date-parts":[["2023",1]]}}}],"schema":"https://github.com/citation-style-language/schema/raw/master/csl-citation.json"}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21</w:t>
            </w:r>
            <w:r w:rsidRPr="00622F49">
              <w:rPr>
                <w:rFonts w:cstheme="minorHAnsi"/>
                <w:sz w:val="20"/>
                <w:szCs w:val="20"/>
                <w:lang w:val="en-GB"/>
              </w:rPr>
              <w:fldChar w:fldCharType="end"/>
            </w:r>
          </w:p>
        </w:tc>
        <w:tc>
          <w:tcPr>
            <w:tcW w:w="369" w:type="pct"/>
          </w:tcPr>
          <w:p w14:paraId="50EE7C9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82E796E"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Pr>
          <w:p w14:paraId="59F5633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35EC81F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4D43793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08CFBB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2BA11D5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5EEFF44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367B989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43A83B3B" w14:textId="77777777" w:rsidTr="00407C03">
        <w:tc>
          <w:tcPr>
            <w:tcW w:w="1620" w:type="pct"/>
            <w:vAlign w:val="bottom"/>
          </w:tcPr>
          <w:p w14:paraId="52FD6971" w14:textId="77777777" w:rsidR="00B90FC8" w:rsidRPr="00622F49" w:rsidRDefault="00B90FC8" w:rsidP="00407C03">
            <w:pPr>
              <w:rPr>
                <w:rFonts w:cstheme="minorHAnsi"/>
                <w:sz w:val="20"/>
                <w:szCs w:val="20"/>
              </w:rPr>
            </w:pPr>
            <w:r w:rsidRPr="00622F49">
              <w:rPr>
                <w:rFonts w:cstheme="minorHAnsi"/>
                <w:sz w:val="20"/>
                <w:szCs w:val="20"/>
                <w:lang w:val="en-GB"/>
              </w:rPr>
              <w:t>Borsche et al. 2023</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{"citationID":"V9hJTUx8","properties":{"formattedCitation":"\\super 23\\nosupersub{}","plainCitation":"23","noteIndex":0},"citationItems":[{"id":11305,"uris":["http://zotero.org/users/8059477/items/JT9XNQTD"],"itemData":{"id":11305,"type":"article-journal","abstract":"BACKGROUND: To investigate the association between disease duration and the severity of bilateral vestibulopathy in individuals with complete or incomplete CANVAS (Cerebellar Ataxia with Neuropathy and Vestibular Areflexia Syndrome) and biallelic RFC1 repeat expansions.\nMETHODS: Retrospective analysis of clinical data and the vestibulo-ocular reflex quantified by the video head impulse test in 20 patients with confirmed biallelic RFC1 repeat expansions.\nRESULTS: Vestibulo-ocular reflex gain at first admittance 6.9 ± 5.0 years after disease onset was 0.16 [0.15-0.31] (median [interquartile range]). Cross-sectional analysis revealed that gain reduction was associated with disease duration. Follow-up measurements were available for ten individuals: eight of them exhibited a progressive decrease of the vestibulo-ocular reflex gain over time. At the first visit, six of all patients (30%) did not show clinical signs of cerebellar ataxia.\nCONCLUSIONS: Our data suggest a pathological horizontal head impulse test, which can easily be obtained in many outpatient clinics, as a sign of bilateral vestibulopathy in genetically confirmed CANVAS that can precede clinically accessible cerebellar ataxia at least in a subset of patients. The presumably continuous decline over time possibly reflects the neurodegenerative character of the disease. Thus, genetic testing for RFC1 mutations in (isolated) bilateral vestibulopathy might allow disease detection before the onset of cerebellar signs. Further studies including a wider spectrum of vestibular function tests are warranted in a prospective design.","container-title":"Brain and Behavior","DOI":"10.1002/brb3.2546","ISSN":"2162-3279","issue":"6","journalAbbreviation":"Brain Behav","language":"eng","note":"PMID: 35502508\nPMCID: PMC9226818","page":"e32546","source":"PubMed","title":"Head impulse testing in bilateral vestibulopathy in patients with genetically defined CANVAS","volume":"12","author":[{"family":"Borsche","given":"Max"},{"family":"Tadic","given":"Vera"},{"family":"König","given":"Inke R."},{"family":"Lohmann","given":"Katja"},{"family":"Helmchen","given":"Christoph"},{"family":"Brüggemann","given":"Norbert"}],"issued":{"date-parts":[["2022",6]]}}}],"schema":"https://github.com/citation-style-language/schema/raw/master/csl-citation.json"}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23</w:t>
            </w:r>
            <w:r w:rsidRPr="00622F49">
              <w:rPr>
                <w:rFonts w:cstheme="minorHAnsi"/>
                <w:sz w:val="20"/>
                <w:szCs w:val="20"/>
                <w:lang w:val="en-GB"/>
              </w:rPr>
              <w:fldChar w:fldCharType="end"/>
            </w:r>
          </w:p>
        </w:tc>
        <w:tc>
          <w:tcPr>
            <w:tcW w:w="369" w:type="pct"/>
          </w:tcPr>
          <w:p w14:paraId="5EC2F5C1"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785AE7E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2801769"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170EE67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1AD575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1FBE60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17B4F42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1406A8C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5E85876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12817E37" w14:textId="77777777" w:rsidTr="00407C03">
        <w:tc>
          <w:tcPr>
            <w:tcW w:w="1620" w:type="pct"/>
            <w:vAlign w:val="bottom"/>
          </w:tcPr>
          <w:p w14:paraId="27F524D8" w14:textId="77777777" w:rsidR="00B90FC8" w:rsidRPr="00622F49" w:rsidRDefault="00B90FC8" w:rsidP="00407C03">
            <w:pPr>
              <w:rPr>
                <w:rFonts w:cstheme="minorHAnsi"/>
                <w:sz w:val="20"/>
                <w:szCs w:val="20"/>
              </w:rPr>
            </w:pPr>
            <w:r w:rsidRPr="00622F49">
              <w:rPr>
                <w:rFonts w:cstheme="minorHAnsi"/>
                <w:sz w:val="20"/>
                <w:szCs w:val="20"/>
                <w:lang w:val="en-GB"/>
              </w:rPr>
              <w:t>Bosmans et al. 2024</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{"citationID":"6y17xMHv","properties":{"formattedCitation":"\\super 24\\nosupersub{}","plainCitation":"24","noteIndex":0},"citationItems":[{"id":11307,"uris":["http://zotero.org/users/8059477/items/M9KIIMMU"],"itemData":{"id":11307,"type":"article-journal","abstract":"OBJECTIVES: Given the expected rise in dementia prevalence, early diagnosis is vital. As a growing body of literature has identified a potential association between vestibular function and cognition, vestibular assessment may aid in early screening. The aim of the study was to better comprehend the proposed association between vestibular function and Alzheimer's disease (AD) by comparing vestibular parameters (vestibular function testing and clinical balance measures) between a group with mild cognitive impairment (MCI), AD, and healthy controls with age-normal cognition.\nDESIGN: Cross-sectional analysis of the GECkO study, an ongoing prospective single-center longitudinal cohort study. This study included 100 older adults (55 to 84 years). A total of 33 participants with MCI, 17 participants with AD, and 50 participants of age, sex, and hearing-matched healthy controls were included.\nRESULTS: Participants with AD demonstrated a delayed latency of the p13 component measured by cervical vestibular-evoked myogenic potentials (cVEMP) compared with healthy controls and participants with MCI. Other measures including n23 latency, presence of intact responses, rectified amplitude, mean rectified voltage (measured by cVEMP) and lateral vestibulo-ocular reflex gain (measured by video Head Impulse Test [vHIT]) did not differ between groups. The Timed Up and Go (TUG), Performance-Oriented Mobility Assessment-Balance subscale (POMA-B), and Functional Gait Assessment (FGA) differed significantly between the three groups. Here, more cognitively impaired groups were associated with worse clinical balance scores.\nCONCLUSIONS: Vestibular and balance deficits were more prevalent in groups with increasing cognitive decline. Regarding vestibular function testing, p13 latency as measured by cVEMP was delayed in participants with AD. Other cVEMP or vHIT measures did not differ between groups. All three clinical balance assessments (TUG, POMA-B, and FGA) resulted in worse scores along the AD continuum. Future research integrating vestibular parameters that add value (including otolith function testing, balance, and spatial navigation) is recommended to validate the association between vestibular function and cognition while avoiding redundant testing.","container-title":"Ear and Hearing","DOI":"10.1097/AUD.0000000000001401","ISSN":"1538-4667","issue":"1","journalAbbreviation":"Ear Hear","language":"eng","note":"PMID: 37482637","page":"53-61","source":"PubMed","title":"Evidence of Vestibular and Balance Dysfunction in Patients With Mild Cognitive Impairment and Alzheimer's Disease","volume":"45","author":[{"family":"Bosmans","given":"Joyce"},{"family":"Gommeren","given":"Hanne"},{"family":"Gilles","given":"Annick"},{"family":"Mertens","given":"Griet"},{"family":"Van Ombergen","given":"Angelique"},{"family":"Cras","given":"Patrick"},{"family":"Engelborghs","given":"Sebastiaan"},{"family":"Vereeck","given":"Luc"},{"family":"Lammers","given":"Marc J. W."},{"family":"Van Rompaey","given":"Vincent"}],"issued":{"date-parts":[["2024",2,1]]}}}],"schema":"https://github.com/citation-style-language/schema/raw/master/csl-citation.json"}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24</w:t>
            </w:r>
            <w:r w:rsidRPr="00622F49">
              <w:rPr>
                <w:rFonts w:cstheme="minorHAnsi"/>
                <w:sz w:val="20"/>
                <w:szCs w:val="20"/>
                <w:lang w:val="en-GB"/>
              </w:rPr>
              <w:fldChar w:fldCharType="end"/>
            </w:r>
          </w:p>
        </w:tc>
        <w:tc>
          <w:tcPr>
            <w:tcW w:w="369" w:type="pct"/>
          </w:tcPr>
          <w:p w14:paraId="0293473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71FCD2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4A0EA957"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441" w:type="pct"/>
          </w:tcPr>
          <w:p w14:paraId="2F833A5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862A76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BBCD4F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7641CFB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55CA286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477C9C3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5486593C" w14:textId="77777777" w:rsidTr="00407C03">
        <w:tc>
          <w:tcPr>
            <w:tcW w:w="1620" w:type="pct"/>
            <w:vAlign w:val="bottom"/>
          </w:tcPr>
          <w:p w14:paraId="0CD3B91C" w14:textId="77777777" w:rsidR="00B90FC8" w:rsidRPr="00622F49" w:rsidRDefault="00B90FC8" w:rsidP="00407C03">
            <w:pPr>
              <w:rPr>
                <w:rFonts w:cstheme="minorHAnsi"/>
                <w:sz w:val="20"/>
                <w:szCs w:val="20"/>
              </w:rPr>
            </w:pPr>
            <w:r w:rsidRPr="00622F49">
              <w:rPr>
                <w:rFonts w:cstheme="minorHAnsi"/>
                <w:sz w:val="20"/>
                <w:szCs w:val="20"/>
                <w:lang w:val="en-GB"/>
              </w:rPr>
              <w:t>Bremova et al. 2016</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{"citationID":"xBcO9lpJ","properties":{"formattedCitation":"\\super 25\\nosupersub{}","plainCitation":"25","noteIndex":0},"citationItems":[{"id":11309,"uris":["http://zotero.org/users/8059477/items/GQVWY4T2"],"itemData":{"id":11309,"type":"article-journal","abstract":"We investigated whether vestibular dysfunction may cause or contribute to postural imbalance and falls in patients with Niemann-Pick type C disease (NP-C). Eight patients with NP-C disease and 20 healthy controls were examined using the video-based head impulse test (vHIT) and caloric irrigation to investigate horizontal canal function as well as ocular- and cervical vestibular evoked myogenic potentials (o- and cVEMP), and binocular subjective visual vertical estimation (SVV) for otolith function, and static posturography. There were no significant differences in vestibulo-ocular gain, caloric excitability, o-/cVEMP measures or SVV between the two groups. Posturographic total sway path (tSP) and root mean square (RMS) were significantly higher in NP-C than in controls in 3 out of 4 conditions. The Romberg quotient (RQ) to assess the amount of visual stabilization was significantly lower in the NP-C than in the HC group. In contrast to other inherited metabolic disorders, such as Morbus Gaucher type 3, we did not find any evidence for an impairment of canal or otolith function in patients with NP-C as their cause of postural imbalance. Since RQ was low in NP-C patients, indicating proper sensory input, the observed increased postural sway is most likely due to a cerebellar dysfunction in NP-C, which may therefore, explain postural imbalance.","container-title":"Journal of Neurology","DOI":"10.1007/s00415-016-8247-4","ISSN":"1432-1459","issue":"11","journalAbbreviation":"J Neurol","language":"eng","note":"PMID: 27544496","page":"2260-2270","source":"PubMed","title":"Vestibular function in patients with Niemann-Pick type C disease","volume":"263","author":[{"family":"Bremova","given":"Tatiana"},{"family":"Krafczyk","given":"Siegbert"},{"family":"Bardins","given":"Stanislavs"},{"family":"Reinke","given":"Jörg"},{"family":"Strupp","given":"Michael"}],"issued":{"date-parts":[["2016",11]]}}}],"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25</w:t>
            </w:r>
            <w:r w:rsidRPr="00622F49">
              <w:rPr>
                <w:rFonts w:cstheme="minorHAnsi"/>
                <w:sz w:val="20"/>
                <w:szCs w:val="20"/>
                <w:lang w:val="en-GB"/>
              </w:rPr>
              <w:fldChar w:fldCharType="end"/>
            </w:r>
          </w:p>
        </w:tc>
        <w:tc>
          <w:tcPr>
            <w:tcW w:w="369" w:type="pct"/>
          </w:tcPr>
          <w:p w14:paraId="3171125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9D9125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77A11D5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7AEFAA5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766785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123660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160D7B1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1E3756A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4C041AD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2F662C8F" w14:textId="77777777" w:rsidTr="00407C03">
        <w:tc>
          <w:tcPr>
            <w:tcW w:w="1620" w:type="pct"/>
            <w:vAlign w:val="bottom"/>
          </w:tcPr>
          <w:p w14:paraId="411A364D" w14:textId="77777777" w:rsidR="00B90FC8" w:rsidRPr="00622F49" w:rsidRDefault="00B90FC8" w:rsidP="00407C03">
            <w:pPr>
              <w:rPr>
                <w:rFonts w:cstheme="minorHAnsi"/>
                <w:sz w:val="20"/>
                <w:szCs w:val="20"/>
              </w:rPr>
            </w:pPr>
            <w:r w:rsidRPr="00622F49">
              <w:rPr>
                <w:rFonts w:cstheme="minorHAnsi"/>
                <w:sz w:val="20"/>
                <w:szCs w:val="20"/>
                <w:lang w:val="en-GB"/>
              </w:rPr>
              <w:t>Choi et al. 2024</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{"citationID":"DrPB3MMH","properties":{"formattedCitation":"\\super 26\\nosupersub{}","plainCitation":"26","noteIndex":0},"citationItems":[{"id":11311,"uris":["http://zotero.org/users/8059477/items/FJ7QFAZ7"],"itemData":{"id":11311,"type":"article-journal","abstract":"OBJECTIVE: This study aimed to correlate the symptoms and signs with the findings of laboratory vestibular function tests in patients with spinocerebellar ataxia (SCA).\nMETHOD: We retrospectively recruited 26 patients with SCA (9 men, median age: 52, age range: 21-67). Assessments included Dizziness Handicap Inventory, EuroQoL Five-Dimension, symptom questionnaires manifesting during walking in daily life, the Scale for the Assessment and Rating of Ataxia (SARA), and vestibular function tests including 3D video-oculography, video head impulse test, subjective visual vertical, and cervical and ocular vestibular evoked myogenic potentials (VEMP).\nRESULTS: Cross-analyses revealed that the patients with VEMP abnormalities showed higher SARA (p = 0.014) and prevalence of unpredictable falls (p = 0.046). The patients with SCA1 more frequently had unpredictable falls (75%, p = 0.038) and VEMP abnormalities (88%, p = 0.001) compared to SCA2 (29% falls, 17% VEMP abnormalities) and SCA6 (no falls or VEMP abnormalities).\nCONCLUSION: Abnormal VEMPs are strongly associated with unpredicted falls in patients with SCA, particularly in those with SCA1. Impaired processing of otolithic information may contribute to falls in SCAs, and VEMP may help identifying the patients with a risk for unpredicted falls and preventing fall-related injuries in SCA. Limited number of patients with lower SARA scores warrant further confirmatory studies.","container-title":"Journal of Neurology","DOI":"10.1007/s00415-024-12195-6","ISSN":"1432-1459","issue":"5","journalAbbreviation":"J Neurol","language":"eng","note":"PMID: 38278980\nPMCID: PMC11055768","page":"2539-2546","source":"PubMed","title":"Abnormal vestibular-evoked myogenic potentials as a risk factor for unpredicted falls in spinocerebellar ataxia: a preliminary study","title-short":"Abnormal vestibular-evoked myogenic potentials as a risk factor for unpredicted falls in spinocerebellar ataxia","volume":"271","author":[{"family":"Choi","given":"Seo-Young"},{"family":"Choi","given":"Kwang-Dong"},{"family":"Choi","given":"Jae-Hwan"},{"family":"Kim","given":"Ji-Soo"}],"issued":{"date-parts":[["2024",5]]}}}],"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26</w:t>
            </w:r>
            <w:r w:rsidRPr="00622F49">
              <w:rPr>
                <w:rFonts w:cstheme="minorHAnsi"/>
                <w:sz w:val="20"/>
                <w:szCs w:val="20"/>
                <w:lang w:val="en-GB"/>
              </w:rPr>
              <w:fldChar w:fldCharType="end"/>
            </w:r>
          </w:p>
        </w:tc>
        <w:tc>
          <w:tcPr>
            <w:tcW w:w="369" w:type="pct"/>
          </w:tcPr>
          <w:p w14:paraId="25A20A3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46E4BC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265CDCF1"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5394DB5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0B0B2D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5C9A81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044246D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7DA52AD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4469F19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634533F8" w14:textId="77777777" w:rsidTr="00407C03">
        <w:tc>
          <w:tcPr>
            <w:tcW w:w="1620" w:type="pct"/>
            <w:vAlign w:val="bottom"/>
          </w:tcPr>
          <w:p w14:paraId="7DC849B4" w14:textId="77777777" w:rsidR="00B90FC8" w:rsidRPr="00622F49" w:rsidRDefault="00B90FC8" w:rsidP="00407C03">
            <w:pPr>
              <w:rPr>
                <w:rFonts w:cstheme="minorHAnsi"/>
                <w:sz w:val="20"/>
                <w:szCs w:val="20"/>
              </w:rPr>
            </w:pPr>
            <w:r w:rsidRPr="00622F49">
              <w:rPr>
                <w:rFonts w:cstheme="minorHAnsi"/>
                <w:sz w:val="20"/>
                <w:szCs w:val="20"/>
                <w:lang w:val="en-GB"/>
              </w:rPr>
              <w:t>Dankova et al. 2021</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{"citationID":"DQ8hLT0A","properties":{"formattedCitation":"\\super 27\\nosupersub{}","plainCitation":"27","noteIndex":0},"citationItems":[{"id":11314,"uris":["http://zotero.org/users/8059477/items/963M37HU"],"itemData":{"id":11314,"type":"article-journal","abstract":"Deterioration of dynamic visual acuity (DVA) as a result of impaired vestibulo-ocular reflex (VOR) has been well described in peripheral vestibulopathies, however, changes in DVA in patients with degenerative cerebellar ataxias (CA) and its relation to VOR impairment in these patients has not yet been evaluated. Our aim was to assess the alterations of DVA in CA and to evaluate its relation to vestibular function. 32 patients with CA and 3 control groups: 13 patients with unilateral and 13 with bilateral vestibulopathy and 21 age matched healthy volunteers were examined by clinical DVA test, VOR was assessed by video Head Impulse Test and caloric irrigation. The severity of ataxia in CA was assessed by Scale for the assessment and rating of ataxia (SARA). Relationship between DVA and vestibular function in CA patients was examined by linear regressions. DVA impairment was highly prevalent in CA patients (84%) and its severity did not differ between CA and bilateral vestibulopathy patients. The severity of DVA impairment in CA was linked mainly to VOR impairment and only marginally to the degree of ataxia. However, DVA impairment was present also in CA patients without significant vestibular lesion showing that central mechanisms such as impairment of central adaptation of VOR are involved. We suggest that the evaluation of DVA should be a standard part of clinical evaluation in patients with progressive CA, as this information can help to target vestibular and oculomotor rehabilitation.","container-title":"PloS One","DOI":"10.1371/journal.pone.0255299","ISSN":"1932-6203","issue":"7","journalAbbreviation":"PLoS One","language":"eng","note":"PMID: 34324564\nPMCID: PMC8320895","page":"e0255299","source":"PubMed","title":"Clinical dynamic visual acuity in patients with cerebellar ataxia and vestibulopathy","volume":"16","author":[{"family":"Dankova","given":"Michaela"},{"family":"Jerabek","given":"Jaroslav"},{"family":"Jester","given":"Dylan J."},{"family":"Zumrova","given":"Alena"},{"family":"Paulasova Schwabova","given":"Jaroslava"},{"family":"Cerny","given":"Rudolf"},{"family":"Kmetonyova","given":"Silvia"},{"family":"Vyhnalek","given":"Martin"}],"issued":{"date-parts":[["2021"]]}}}],"schema":"https://github.com/citation-style-language/schema/raw/master/csl-citation.json"}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27</w:t>
            </w:r>
            <w:r w:rsidRPr="00622F49">
              <w:rPr>
                <w:rFonts w:cstheme="minorHAnsi"/>
                <w:sz w:val="20"/>
                <w:szCs w:val="20"/>
                <w:lang w:val="en-GB"/>
              </w:rPr>
              <w:fldChar w:fldCharType="end"/>
            </w:r>
          </w:p>
        </w:tc>
        <w:tc>
          <w:tcPr>
            <w:tcW w:w="369" w:type="pct"/>
          </w:tcPr>
          <w:p w14:paraId="07C083D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7F8E95E9"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C19FE70"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441" w:type="pct"/>
          </w:tcPr>
          <w:p w14:paraId="2C42CCA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9B204D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D6FEA8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2985B2C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092980A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183924C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3268BA15" w14:textId="77777777" w:rsidTr="00407C03">
        <w:tc>
          <w:tcPr>
            <w:tcW w:w="1620" w:type="pct"/>
            <w:vAlign w:val="bottom"/>
          </w:tcPr>
          <w:p w14:paraId="70E7A215" w14:textId="77777777" w:rsidR="00B90FC8" w:rsidRPr="00622F49" w:rsidRDefault="00B90FC8" w:rsidP="00407C03">
            <w:pPr>
              <w:rPr>
                <w:rFonts w:cstheme="minorHAnsi"/>
                <w:sz w:val="20"/>
                <w:szCs w:val="20"/>
              </w:rPr>
            </w:pPr>
            <w:r w:rsidRPr="00622F49">
              <w:rPr>
                <w:rFonts w:cstheme="minorHAnsi"/>
                <w:sz w:val="20"/>
                <w:szCs w:val="20"/>
                <w:lang w:val="en-GB"/>
              </w:rPr>
              <w:t>Demir et al. 2023</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{"citationID":"UkB9fra2","properties":{"formattedCitation":"\\super 28\\nosupersub{}","plainCitation":"28","noteIndex":0},"citationItems":[{"id":11317,"uris":["http://zotero.org/users/8059477/items/PG579XBU"],"itemData":{"id":11317,"type":"article-journal","abstract":"OBJECTIVE: Carbamazepine may cause clinical effects such as dizziness and nystagmus. This may depend on the duration of use. The aim of this study is to measure the effect of carbamazepine monotherapy on the vestibular system electrophysiologically by using Video Head Impulse Test (VHIT) and to compare the numerical and objective data obtained between the groups.\nPATIENTS AND METHODS: In this study, in which 55 people (110 ears) participated, Video Head Impulse Test (VHIT) was performed to evaluate the vestibulo-ocular reflex (VOR) in the epilepsy patients and a healthy control group consisting of healthy individuals. In addition, patients were analyzed in two groups to demonstrate the long-term effects of carbamazepine (&lt;10 years and &gt;10 years). Right/left lateral, anterior, posterior semi-circular canals (SCCs) VOR gains, lateral, left anterior right posterior, and right anterior right posterior gain asymmetries were measured between groups.\nRESULTS: Lateral SCCs VOR gains were 0.878±0.057 and 0.921±0.045 between the patient and healthy control groups, respectively (p=0.024). A decrease in the right and left lateral SCCs VOR gains (0.885±0.062 and 0.868±0.063) was detected in the patients (p=0.011 and p=0.001). Those using carbamazepine for &gt;10 years had a decrease in lateral SSCs VOR gains (0.843±0.055) compared to those using the drug for &lt;10 years (0.902±0.046) (p=0.008).\nCONCLUSIONS: A relative reduction in lateral (right/left) SCCs VOR gains was found in epilepsy patients using carbamazepine and in the group of patients using this drug for a long time (&gt;10 years).","container-title":"European Review for Medical and Pharmacological Sciences","DOI":"10.26355/eurrev_202309_33561","ISSN":"2284-0729","issue":"17","journalAbbreviation":"Eur Rev Med Pharmacol Sci","language":"eng","note":"PMID: 37750630","page":"8013-8018","source":"PubMed","title":"Assessment of vestibulo-ocular reflex with video head impulse test in epilepsy patients undergoing carbamazepine monotherapy","volume":"27","author":[{"family":"Demir","given":"I."},{"family":"Adiguzel","given":"A."}],"issued":{"date-parts":[["2023",9]]}}}],"schema":"https://github.com/citation-style-language/schema/raw/master/csl-citation.json"}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28</w:t>
            </w:r>
            <w:r w:rsidRPr="00622F49">
              <w:rPr>
                <w:rFonts w:cstheme="minorHAnsi"/>
                <w:sz w:val="20"/>
                <w:szCs w:val="20"/>
                <w:lang w:val="en-GB"/>
              </w:rPr>
              <w:fldChar w:fldCharType="end"/>
            </w:r>
          </w:p>
        </w:tc>
        <w:tc>
          <w:tcPr>
            <w:tcW w:w="369" w:type="pct"/>
          </w:tcPr>
          <w:p w14:paraId="0141FC8A"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Pr>
          <w:p w14:paraId="5B81E5D1"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Pr>
          <w:p w14:paraId="215A58C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220D4F32"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73A3F6C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743ED9F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2A3C3F2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6450A3F2"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04AE6BC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1BB5EC8D" w14:textId="77777777" w:rsidTr="00407C03">
        <w:tc>
          <w:tcPr>
            <w:tcW w:w="1620" w:type="pct"/>
            <w:vAlign w:val="bottom"/>
          </w:tcPr>
          <w:p w14:paraId="76B791D7" w14:textId="77777777" w:rsidR="00B90FC8" w:rsidRPr="00622F49" w:rsidRDefault="00B90FC8" w:rsidP="00407C03">
            <w:pPr>
              <w:rPr>
                <w:rFonts w:cstheme="minorHAnsi"/>
                <w:sz w:val="20"/>
                <w:szCs w:val="20"/>
              </w:rPr>
            </w:pPr>
            <w:r w:rsidRPr="00622F49">
              <w:rPr>
                <w:rFonts w:cstheme="minorHAnsi"/>
                <w:sz w:val="20"/>
                <w:szCs w:val="20"/>
                <w:lang w:val="en-GB"/>
              </w:rPr>
              <w:t>Egilmez et al. 2022</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{"citationID":"0NZb6Z99","properties":{"formattedCitation":"\\super 29\\nosupersub{}","plainCitation":"29","noteIndex":0},"citationItems":[{"id":11319,"uris":["http://zotero.org/users/8059477/items/QQZTIZNW"],"itemData":{"id":11319,"type":"article-journal","abstract":"BACKGROUND: Brainstem involvement (BSI) has been reported as a major predictive factor for future disability in Multiple Sclerosis (MS).\nAIMS/OBJECTIVES: To evaluate whether Cervical Vestibular Evoked Myogenic Potentials (cVEMPs) and Video Head Impulse Test (vHIT) can be used to detect demyelinating lesions in vestibular pathways in MS.\nMATERIAL AND METHODS: Fifty three people with MS and 40 controls were evaluated with Dizziness Handicap Inventory (DHI), vHIT and cVEMP.\nRESULTS: The median value of DHI in MS group was significantly higher than controls (p&lt;.001). According to vHIT results, while the results of horizontal canal vestibulo-ocular reflex gain in group with brain stem involvement (gBSI (+)) were significantly different from both controls and group without brain stem involvement (gBSI (-)) (p= .036 and .024, respectively), results of gBSI (-) were similar with controls (p= .858). When cVEMP results were examined, mean P1 wave latency in gBSI (+) was significantly longer than controls (p= .002), but difference between gBSI (-) and controls and gBSI (+) was not statistically significant (p= .104 and .279, respectively).\nCONCLUSIONS AND SIGNIFICANCE: vHIT and cVEMP can be used in diagnosis and follow-up of people with MS without demyelinating brainstem lesions on MRI.","container-title":"Acta Oto-Laryngologica","DOI":"10.1080/00016489.2022.2039759","ISSN":"1651-2251","issue":"2","journalAbbreviation":"Acta Otolaryngol","language":"eng","note":"PMID: 35200078","page":"168-174","source":"PubMed","title":"Cervical vestibular evoked myogenic potentials and video head impulse test studies: alternative methods for detecting brainstem involvement in multiple sclerosis","title-short":"Cervical vestibular evoked myogenic potentials and video head impulse test studies","volume":"142","author":[{"family":"Eğilmez","given":"Oğuz Kadir"},{"family":"Tunç","given":"Abdülkadir"},{"family":"Yılmaz","given":"Mahmut Sinan"},{"family":"Şahiner","given":"Büşra Gebeş"},{"family":"Koçoğlu","given":"Mehmet"},{"family":"Eryılmaz","given":"Halil Alper"},{"family":"Güven","given":"Mehmet"}],"issued":{"date-parts":[["2022",2]]}}}],"schema":"https://github.com/citation-style-language/schema/raw/master/csl-citation.json"}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29</w:t>
            </w:r>
            <w:r w:rsidRPr="00622F49">
              <w:rPr>
                <w:rFonts w:cstheme="minorHAnsi"/>
                <w:sz w:val="20"/>
                <w:szCs w:val="20"/>
                <w:lang w:val="en-GB"/>
              </w:rPr>
              <w:fldChar w:fldCharType="end"/>
            </w:r>
          </w:p>
        </w:tc>
        <w:tc>
          <w:tcPr>
            <w:tcW w:w="369" w:type="pct"/>
          </w:tcPr>
          <w:p w14:paraId="7B62D99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A436DA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27D143E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2226D84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4743C9B9"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Pr>
          <w:p w14:paraId="0E9EA55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77389F2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523E00F1"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2FB707E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768E2492" w14:textId="77777777" w:rsidTr="00407C03">
        <w:tc>
          <w:tcPr>
            <w:tcW w:w="1620" w:type="pct"/>
            <w:vAlign w:val="bottom"/>
          </w:tcPr>
          <w:p w14:paraId="2D409E56" w14:textId="77777777" w:rsidR="00B90FC8" w:rsidRPr="00622F49" w:rsidRDefault="00B90FC8" w:rsidP="00407C03">
            <w:pPr>
              <w:rPr>
                <w:rFonts w:cstheme="minorHAnsi"/>
                <w:sz w:val="20"/>
                <w:szCs w:val="20"/>
              </w:rPr>
            </w:pPr>
            <w:r w:rsidRPr="00622F49">
              <w:rPr>
                <w:rFonts w:cstheme="minorHAnsi"/>
                <w:sz w:val="20"/>
                <w:szCs w:val="20"/>
                <w:lang w:val="en-GB"/>
              </w:rPr>
              <w:t>Elyoseph et al. 2024</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{"citationID":"qZjIEJbc","properties":{"formattedCitation":"\\super 30\\nosupersub{}","plainCitation":"30","noteIndex":0},"citationItems":[{"id":11321,"uris":["http://zotero.org/users/8059477/items/TET6FVAR"],"itemData":{"id":11321,"type":"article-journal","abstract":"Because of the crucial importance of finding a useful biomarker for further clinical trials in Machado-Joseph disease (MJD), and based on our previous studies, we aimed to evaluate whether the horizontal vestibulo-ocular reflex (VOR) gain could be a reliable neurophysiological biomarker for the clinical onset, severity, and progression of the disease. Thirty-five MJD patients, 11 pre-symptomatic genetically confirmed MJD subjects, and 20 healthy controls underwent a detailed epidemiological and clinical neurological examination including the Scale for the Assessment and Rating of Ataxia (SARA). Their VOR gain was measured using the video Head Impulse Test system. Twenty of the MJD patients were re-tested after a period of 1-3 years. Horizontal VOR gain was abnormal in 92% of MJD, 54% pre-symptomatic, and 0% healthy controls. Horizontal VOR gain in the MJD group was significantly negatively correlated with SARA score in the first (r=0.66, p&lt;0.001) and second (r=0.61, p&lt;0.001) examinations. There was also a significant negative correlation between the percentage of change in horizontal VOR gain and the percentage of change in SARA score across both examinations (r=-0.54, p &lt; 0.05). A regression model of the SARA score with the horizontal VOR gain and disease duration as predictors demonstrated that both the horizontal VOR gain and the disease duration had an independent contribution to the prediction of the SARA score. The horizontal VOR gain seems to be a reliable biomarker for the clinical onset, severity, and progression of MJD and could be used in further clinical studies.","container-title":"Cerebellum (London, England)","DOI":"10.1007/s12311-023-01552-2","ISSN":"1473-4230","issue":"4","journalAbbreviation":"Cerebellum","language":"eng","note":"PMID: 36977930","page":"1273-1279","source":"PubMed","title":"Horizontal Vestibulo-Ocular Reflex Deficit as a Biomarker for Clinical Disease Onset, Severity, and Progression of Machado-Joseph Disease","volume":"23","author":[{"family":"Elyoseph","given":"Zohar"},{"family":"Geisinger","given":"Dario"},{"family":"Zaltzman","given":"Roy"},{"family":"Mintz","given":"Matti"},{"family":"Gordon","given":"Carlos R."}],"issued":{"date-parts":[["2024",8]]}}}],"schema":"https://github.com/citation-style-language/schema/raw/master/csl-citation.json"}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30</w:t>
            </w:r>
            <w:r w:rsidRPr="00622F49">
              <w:rPr>
                <w:rFonts w:cstheme="minorHAnsi"/>
                <w:sz w:val="20"/>
                <w:szCs w:val="20"/>
                <w:lang w:val="en-GB"/>
              </w:rPr>
              <w:fldChar w:fldCharType="end"/>
            </w:r>
          </w:p>
        </w:tc>
        <w:tc>
          <w:tcPr>
            <w:tcW w:w="369" w:type="pct"/>
          </w:tcPr>
          <w:p w14:paraId="23071D2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2F6988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2945EC0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7A7B92FD"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71C2EFB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E7235D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5E88392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2B060C1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220A0C7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2B0C1468" w14:textId="77777777" w:rsidTr="00407C03">
        <w:tc>
          <w:tcPr>
            <w:tcW w:w="1620" w:type="pct"/>
            <w:vAlign w:val="bottom"/>
          </w:tcPr>
          <w:p w14:paraId="461DFD55" w14:textId="77777777" w:rsidR="00B90FC8" w:rsidRPr="00622F49" w:rsidRDefault="00B90FC8" w:rsidP="00407C03">
            <w:pPr>
              <w:rPr>
                <w:rFonts w:cstheme="minorHAnsi"/>
                <w:sz w:val="20"/>
                <w:szCs w:val="20"/>
                <w:lang w:val="it-IT"/>
              </w:rPr>
            </w:pPr>
            <w:r w:rsidRPr="00622F49">
              <w:rPr>
                <w:rFonts w:cstheme="minorHAnsi"/>
                <w:sz w:val="20"/>
                <w:szCs w:val="20"/>
                <w:lang w:val="it-IT"/>
              </w:rPr>
              <w:t>Feller et al. 2024</w:t>
            </w:r>
            <w:r w:rsidRPr="00622F49">
              <w:rPr>
                <w:rFonts w:cstheme="minorHAnsi"/>
                <w:sz w:val="20"/>
                <w:szCs w:val="20"/>
                <w:lang w:val="it-IT"/>
              </w:rPr>
              <w:fldChar w:fldCharType="begin"/>
            </w:r>
            <w:r w:rsidRPr="00622F49">
              <w:rPr>
                <w:rFonts w:cstheme="minorHAnsi"/>
                <w:sz w:val="20"/>
                <w:szCs w:val="20"/>
                <w:lang w:val="it-IT"/>
              </w:rPr>
              <w:instrText xml:space="preserve"> ADDIN ZOTERO_ITEM CSL_CITATION {"citationID":"LOOotFqe","properties":{"formattedCitation":"\\super 63\\nosupersub{}","plainCitation":"63","noteIndex":0},"citationItems":[{"id":12062,"uris":["http://zotero.org/users/8059477/items/V3VG26PN"],"itemData":{"id":12062,"type":"article-journal","abstract":"PURPOSE: Traumatic brain injury (TBI) is a leading cause of death and disability among adults in the United States. There is evidence to suggest the peripheral vestibular system is vulnerable to damage in individuals with TBI. However, there are limited prospective studies that describe the type and frequency of vestibular impairment in individuals with chronic moderate-severe TBI (&gt; 6 months postinjury).\nMETHOD: Cervical and ocular vestibular evoked myogenic potentials (VEMPs) and video head impulse test (vHIT) were used to assess the function of otolith organ and horizontal semicircular canal (hSCC) pathways in adults with chronic moderate-severe TBI and in noninjured comparison (NC) participants. Self-report questionnaires were administered to participants with TBI to determine prevalence of vestibular symptoms and quality of life associated with those symptoms.\nRESULTS: Chronic moderate-severe TBI was associated with a greater degree of impairment in otolith organ, rather than hSCC, pathways. About 63% of participants with TBI had abnormal VEMP responses, compared to only ~10% with abnormal vHIT responses. The NC group had significantly less abnormal VEMP responses (~7%), while none of the NC participants had abnormal vHIT responses. As many as 80% of participants with TBI reported vestibular symptoms, and up to 36% reported that these symptoms negatively affected their quality of life.\nCONCLUSIONS: Adults with TBI reported vestibular symptoms and decreased quality of life related to those symptoms and had objective evidence of peripheral vestibular impairment. Vestibular testing for adults with chronic TBI who report persistent dizziness and imbalance may serve as a guide for treatment and rehabilitation in these individuals.","container-title":"American Journal of Audiology","DOI":"10.1044/2024_AJA-24-00058","ISSN":"1558-9137","issue":"4","journalAbbreviation":"Am J Audiol","language":"eng","note":"PMID: 39392912\nPMCID: PMC11622786","page":"1118-1134","source":"PubMed","title":"Evidence of Peripheral Vestibular Impairment Among Adults With Chronic Moderate-Severe Traumatic Brain Injury","volume":"33","author":[{"family":"Feller","given":"Jessica J."},{"family":"Duff","given":"Melissa C."},{"family":"Clough","given":"Sharice"},{"family":"Jacobson","given":"Gary P."},{"family":"Roberts","given":"Richard A."},{"family":"Romero","given":"Daniel J."}],"issued":{"date-parts":[["2024",12,2]]}}}],"schema":"https://github.com/citation-style-language/schema/raw/master/csl-citation.json"} </w:instrText>
            </w:r>
            <w:r w:rsidRPr="00622F49">
              <w:rPr>
                <w:rFonts w:cstheme="minorHAnsi"/>
                <w:sz w:val="20"/>
                <w:szCs w:val="20"/>
                <w:lang w:val="it-IT"/>
              </w:rPr>
              <w:fldChar w:fldCharType="separate"/>
            </w:r>
            <w:r w:rsidRPr="00622F49">
              <w:rPr>
                <w:rFonts w:ascii="Calibri" w:hAnsi="Calibri" w:cs="Calibri"/>
                <w:kern w:val="0"/>
                <w:sz w:val="20"/>
                <w:szCs w:val="20"/>
                <w:vertAlign w:val="superscript"/>
              </w:rPr>
              <w:t>63</w:t>
            </w:r>
            <w:r w:rsidRPr="00622F49">
              <w:rPr>
                <w:rFonts w:cstheme="minorHAnsi"/>
                <w:sz w:val="20"/>
                <w:szCs w:val="20"/>
                <w:lang w:val="it-IT"/>
              </w:rPr>
              <w:fldChar w:fldCharType="end"/>
            </w:r>
          </w:p>
        </w:tc>
        <w:tc>
          <w:tcPr>
            <w:tcW w:w="369" w:type="pct"/>
          </w:tcPr>
          <w:p w14:paraId="078C8F4F"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36626C9E"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78EDB599"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441" w:type="pct"/>
          </w:tcPr>
          <w:p w14:paraId="525CA45E"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471A98AB"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625FAEE3"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7" w:type="pct"/>
          </w:tcPr>
          <w:p w14:paraId="0BC52158"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09" w:type="pct"/>
          </w:tcPr>
          <w:p w14:paraId="249CEF82"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339D0D18"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r>
      <w:tr w:rsidR="00B90FC8" w:rsidRPr="00622F49" w14:paraId="08BD64FD" w14:textId="77777777" w:rsidTr="00407C03">
        <w:tc>
          <w:tcPr>
            <w:tcW w:w="1620" w:type="pct"/>
            <w:vAlign w:val="bottom"/>
          </w:tcPr>
          <w:p w14:paraId="0977A696" w14:textId="77777777" w:rsidR="00B90FC8" w:rsidRPr="00622F49" w:rsidRDefault="00B90FC8" w:rsidP="00407C03">
            <w:pPr>
              <w:rPr>
                <w:rFonts w:cstheme="minorHAnsi"/>
                <w:sz w:val="20"/>
                <w:szCs w:val="20"/>
              </w:rPr>
            </w:pPr>
            <w:r w:rsidRPr="00622F49">
              <w:rPr>
                <w:rFonts w:cstheme="minorHAnsi"/>
                <w:sz w:val="20"/>
                <w:szCs w:val="20"/>
                <w:lang w:val="it-IT"/>
              </w:rPr>
              <w:t>Fernandez-Rueda et al. 2023</w:t>
            </w:r>
            <w:r w:rsidRPr="00622F49">
              <w:rPr>
                <w:rFonts w:cstheme="minorHAnsi"/>
                <w:sz w:val="20"/>
                <w:szCs w:val="20"/>
                <w:lang w:val="en-GB"/>
              </w:rPr>
              <w:fldChar w:fldCharType="begin"/>
            </w:r>
            <w:r w:rsidRPr="00622F49">
              <w:rPr>
                <w:rFonts w:cstheme="minorHAnsi"/>
                <w:sz w:val="20"/>
                <w:szCs w:val="20"/>
                <w:lang w:val="it-IT"/>
              </w:rPr>
              <w:instrText xml:space="preserve"> ADDIN ZOTERO_ITEM CSL_CITATION {"citationID":"ihAtyjnE","properties":{"formattedCitation":"\\super 31\\nosupersub{}","plainCitation":"31","noteIndex":0},"citationItems":[{"id":11323,"uris":["http://zotero.org/users/8059477/items/2HGJFNA4"],"itemData":{"id":11323,"type":"article-journal","abstract":"BACKGROUND: Cerebellar ataxia, neuropathy, and vestibular areflexia syndrome (CANVAS) presents an unpredictable and uneven clinical development of cerebellar ataxia, neuropathy, and vestibular areflexia. The aim of this study is to report the variability of vestibular test results in genetically confirmed patients with cerebellar ataxia, neuropathy, and vestibular areflexia syndrome.\nMETHODS: Caloric testing, video head impulse test (vHIT), and rotatory chair testing were performed in 7 patients who presented pathogenic repeat expansions in the replication factor complex unit 1 gene related to cerebellar ataxia, neuropathy, and vestibular areflexia syndrome.\nRESULTS: Reduced vestibulo-ocular reflex (VOR) gain was observed in 100% of the patients in rotatory chair testing. Three of them had bilateral areflexia in caloric testing while 2 showed unilateral hypofunction and 2 had no alterations in the test. Only 1 patient had bilateral abnormal vHIT with gains under 0.6 in both ears.\nCONCLUSION: Genetic testing allows an early diagnosis of cerebellar ataxia, neuropathy, and vestibular areflexia syndrome, whereby the vestibular system may be affected to different degrees. Rotatory chair testing has a higher sensitivity for the detection of vestibular hypofunction in these patients. Caloric testing can provide additional information. vHIT might underdiagnose patients with mild-to-moderate vestibulopathy.","container-title":"The Journal of International Advanced Otology","DOI":"10.5152/iao.2023.22982","ISSN":"2148-3817","issue":"5","journalAbbreviation":"J Int Adv Otol","language":"eng","note":"PMID: 37789624\nPMCID: PMC10645153","page":"383-387","source":"PubMed","title":"Variability in the Results of Vestibular Assessment in Patients with Genetically Confirmed Cerebellar Ataxia, Neuropathy, and Vestibular Areflexia Syndrome","volume":"19","author":[{"family":"Fernandez-Rueda","given":"María"},{"family":"García-Fernández","given":"Alfredo"},{"family":"Vergas-Gutiérrez","given":"Joaquín Jesús De"}],"issued":{"date-parts":[["2023",10]]}}}],"schema":"https://github.com/citation-style-language/schema/raw/master/csl-citation.json"}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31</w:t>
            </w:r>
            <w:r w:rsidRPr="00622F49">
              <w:rPr>
                <w:rFonts w:cstheme="minorHAnsi"/>
                <w:sz w:val="20"/>
                <w:szCs w:val="20"/>
                <w:lang w:val="en-GB"/>
              </w:rPr>
              <w:fldChar w:fldCharType="end"/>
            </w:r>
          </w:p>
        </w:tc>
        <w:tc>
          <w:tcPr>
            <w:tcW w:w="369" w:type="pct"/>
          </w:tcPr>
          <w:p w14:paraId="4E3E82F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4F31FEBD"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4C06726D"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2E608A4D"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48A6897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7F527E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530871D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0603B29A"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423" w:type="pct"/>
          </w:tcPr>
          <w:p w14:paraId="56E7769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0BAC9344" w14:textId="77777777" w:rsidTr="00407C03">
        <w:tc>
          <w:tcPr>
            <w:tcW w:w="1620" w:type="pct"/>
            <w:vAlign w:val="bottom"/>
          </w:tcPr>
          <w:p w14:paraId="64D7E120" w14:textId="77777777" w:rsidR="00B90FC8" w:rsidRPr="00622F49" w:rsidRDefault="00B90FC8" w:rsidP="00407C03">
            <w:pPr>
              <w:rPr>
                <w:rFonts w:cstheme="minorHAnsi"/>
                <w:sz w:val="20"/>
                <w:szCs w:val="20"/>
                <w:lang w:val="it-IT"/>
              </w:rPr>
            </w:pPr>
            <w:r w:rsidRPr="00622F49">
              <w:rPr>
                <w:rFonts w:cstheme="minorHAnsi"/>
                <w:sz w:val="20"/>
                <w:szCs w:val="20"/>
                <w:lang w:val="it-IT"/>
              </w:rPr>
              <w:t>Ferri et al. 2025a</w:t>
            </w:r>
            <w:r w:rsidRPr="00622F49">
              <w:rPr>
                <w:rFonts w:cstheme="minorHAnsi"/>
                <w:sz w:val="20"/>
                <w:szCs w:val="20"/>
                <w:lang w:val="en-GB"/>
              </w:rPr>
              <w:fldChar w:fldCharType="begin"/>
            </w:r>
            <w:r w:rsidRPr="00622F49">
              <w:rPr>
                <w:rFonts w:cstheme="minorHAnsi"/>
                <w:sz w:val="20"/>
                <w:szCs w:val="20"/>
                <w:lang w:val="it-IT"/>
              </w:rPr>
              <w:instrText xml:space="preserve"> ADDIN ZOTERO_ITEM CSL_CITATION {"citationID":"67PZgZBC","properties":{"formattedCitation":"\\super 60\\nosupersub{}","plainCitation":"60","noteIndex":0},"citationItems":[{"id":12056,"uris":["http://zotero.org/users/8059477/items/QQWYN6PN"],"itemData":{"id":12056,"type":"article-journal","abstract":"BACKGROUND: Parkinson's disease (PD) is a neurodegenerative, progressive disorder known for motor and non-motor symptoms. The vestibular system, via the vestibulo-ocular reflex (VOR), is crucial for maintaining dynamic gaze stability, and its role in PD is raising interest among researchers. Indeed, vestibular dysfunction in PD may exacerbate postural instability and gait disturbances; however, the prevalence of vestibular dysfunctions remains unclear. This study aims to objectively investigate the VOR function in people with PD using the video head impulse test.\nMETHODS: This is a cross-sectional study conducted in a neurorehabilitation hospital. People with PD were included if they had no cognitive impairment and the ability to walk without physical assistance. The video head impulse test was used to assess the VOR function across all six semicircular canals, using both the Head Impulse Paradigm (HIMP) and the Suppression Head Impulse Paradigm (SHIMP) paradigms.\nRESULTS: 35 people with PD (mean age: 69.9±8.4; 11 females) with moderate motor symptoms (MDS-UPDRS-part III: 27.7±6.8) were included. Using normative cut-offs, 69% of the participants had at least one dysfunctional canal (60% hypo-gain, 9% hyper-gain). The prevalence reached 83% when both the HIMP and SHIMP paradigms were considered.\nCONCLUSION: There is a high prevalence of vestibular dysfunction in people with PD. The instrumental assessment of VOR gains could reveal undiagnosed vestibular dysfunctions and, in the future, lead to more specific rehabilitation management of people with PD.","container-title":"BMJ open","DOI":"10.1136/bmjopen-2025-099765","ISSN":"2044-6055","issue":"8","journalAbbreviation":"BMJ Open","language":"eng","note":"PMID: 40764084\nPMCID: PMC12336473","page":"e099765","source":"PubMed","title":"Assessment of vestibulo-ocular reflex function in people with Parkinson's disease: a cross-sectional study in a rehabilitation setting using the video head impulse test","title-short":"Assessment of vestibulo-ocular reflex function in people with Parkinson's disease","volume":"15","author":[{"family":"Ferri","given":"Nicola"},{"family":"Casagrande Conti","given":"Laura"},{"family":"Manzari","given":"Leonardo"},{"family":"Piatti","given":"Diego"},{"family":"De Angelis","given":"Domenico"},{"family":"Nocentini","given":"Ugo"},{"family":"Tramontano","given":"Marco"}],"issued":{"date-parts":[["2025",8,5]]}}}],"schema":"https://github.com/citation-style-language/schema/raw/master/csl-citation.json"}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60</w:t>
            </w:r>
            <w:r w:rsidRPr="00622F49">
              <w:rPr>
                <w:rFonts w:cstheme="minorHAnsi"/>
                <w:sz w:val="20"/>
                <w:szCs w:val="20"/>
                <w:lang w:val="en-GB"/>
              </w:rPr>
              <w:fldChar w:fldCharType="end"/>
            </w:r>
          </w:p>
        </w:tc>
        <w:tc>
          <w:tcPr>
            <w:tcW w:w="369" w:type="pct"/>
          </w:tcPr>
          <w:p w14:paraId="48E470B3" w14:textId="77777777" w:rsidR="00B90FC8" w:rsidRPr="00622F49" w:rsidRDefault="00B90FC8" w:rsidP="00407C03">
            <w:pPr>
              <w:rPr>
                <w:rFonts w:ascii="Segoe UI Emoji" w:hAnsi="Segoe UI Emoji" w:cs="Segoe UI Emoji"/>
                <w:sz w:val="20"/>
                <w:szCs w:val="20"/>
                <w:lang w:val="it-IT"/>
              </w:rPr>
            </w:pPr>
            <w:r w:rsidRPr="00622F49">
              <w:rPr>
                <w:rFonts w:ascii="Segoe UI Emoji" w:hAnsi="Segoe UI Emoji" w:cs="Segoe UI Emoji"/>
                <w:sz w:val="20"/>
                <w:szCs w:val="20"/>
              </w:rPr>
              <w:t>✅</w:t>
            </w:r>
          </w:p>
        </w:tc>
        <w:tc>
          <w:tcPr>
            <w:tcW w:w="368" w:type="pct"/>
          </w:tcPr>
          <w:p w14:paraId="7EC46854" w14:textId="77777777" w:rsidR="00B90FC8" w:rsidRPr="00622F49" w:rsidRDefault="00B90FC8" w:rsidP="00407C03">
            <w:pPr>
              <w:rPr>
                <w:rFonts w:ascii="Segoe UI Emoji" w:hAnsi="Segoe UI Emoji" w:cs="Segoe UI Emoji"/>
                <w:sz w:val="20"/>
                <w:szCs w:val="20"/>
                <w:lang w:val="it-IT"/>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Pr>
          <w:p w14:paraId="4FE34E88" w14:textId="77777777" w:rsidR="00B90FC8" w:rsidRPr="00622F49" w:rsidRDefault="00B90FC8" w:rsidP="00407C03">
            <w:pPr>
              <w:rPr>
                <w:rFonts w:ascii="Segoe UI Emoji" w:hAnsi="Segoe UI Emoji" w:cs="Segoe UI Emoji"/>
                <w:sz w:val="20"/>
                <w:szCs w:val="20"/>
                <w:lang w:val="it-IT"/>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441" w:type="pct"/>
          </w:tcPr>
          <w:p w14:paraId="5E48A686" w14:textId="77777777" w:rsidR="00B90FC8" w:rsidRPr="00622F49" w:rsidRDefault="00B90FC8" w:rsidP="00407C03">
            <w:pPr>
              <w:rPr>
                <w:rFonts w:ascii="Segoe UI Emoji" w:hAnsi="Segoe UI Emoji" w:cs="Segoe UI Emoji"/>
                <w:sz w:val="20"/>
                <w:szCs w:val="20"/>
                <w:lang w:val="it-IT"/>
              </w:rPr>
            </w:pPr>
            <w:r w:rsidRPr="00622F49">
              <w:rPr>
                <w:rFonts w:ascii="Segoe UI Emoji" w:hAnsi="Segoe UI Emoji" w:cs="Segoe UI Emoji"/>
                <w:sz w:val="20"/>
                <w:szCs w:val="20"/>
              </w:rPr>
              <w:t>✅</w:t>
            </w:r>
          </w:p>
        </w:tc>
        <w:tc>
          <w:tcPr>
            <w:tcW w:w="368" w:type="pct"/>
          </w:tcPr>
          <w:p w14:paraId="24294AD5" w14:textId="77777777" w:rsidR="00B90FC8" w:rsidRPr="00622F49" w:rsidRDefault="00B90FC8" w:rsidP="00407C03">
            <w:pPr>
              <w:rPr>
                <w:rFonts w:ascii="Segoe UI Emoji" w:hAnsi="Segoe UI Emoji" w:cs="Segoe UI Emoji"/>
                <w:sz w:val="20"/>
                <w:szCs w:val="20"/>
                <w:lang w:val="it-IT"/>
              </w:rPr>
            </w:pPr>
            <w:r w:rsidRPr="00622F49">
              <w:rPr>
                <w:rFonts w:ascii="Segoe UI Emoji" w:hAnsi="Segoe UI Emoji" w:cs="Segoe UI Emoji"/>
                <w:sz w:val="20"/>
                <w:szCs w:val="20"/>
              </w:rPr>
              <w:t>✅</w:t>
            </w:r>
          </w:p>
        </w:tc>
        <w:tc>
          <w:tcPr>
            <w:tcW w:w="368" w:type="pct"/>
          </w:tcPr>
          <w:p w14:paraId="5F289349" w14:textId="77777777" w:rsidR="00B90FC8" w:rsidRPr="00622F49" w:rsidRDefault="00B90FC8" w:rsidP="00407C03">
            <w:pPr>
              <w:rPr>
                <w:rFonts w:ascii="Segoe UI Emoji" w:hAnsi="Segoe UI Emoji" w:cs="Segoe UI Emoji"/>
                <w:sz w:val="20"/>
                <w:szCs w:val="20"/>
                <w:lang w:val="it-IT"/>
              </w:rPr>
            </w:pPr>
            <w:r w:rsidRPr="00622F49">
              <w:rPr>
                <w:rFonts w:ascii="Segoe UI Emoji" w:hAnsi="Segoe UI Emoji" w:cs="Segoe UI Emoji"/>
                <w:sz w:val="20"/>
                <w:szCs w:val="20"/>
              </w:rPr>
              <w:t>✅</w:t>
            </w:r>
          </w:p>
        </w:tc>
        <w:tc>
          <w:tcPr>
            <w:tcW w:w="367" w:type="pct"/>
          </w:tcPr>
          <w:p w14:paraId="32A7436B" w14:textId="77777777" w:rsidR="00B90FC8" w:rsidRPr="00622F49" w:rsidRDefault="00B90FC8" w:rsidP="00407C03">
            <w:pPr>
              <w:rPr>
                <w:rFonts w:ascii="Segoe UI Emoji" w:hAnsi="Segoe UI Emoji" w:cs="Segoe UI Emoji"/>
                <w:sz w:val="20"/>
                <w:szCs w:val="20"/>
                <w:lang w:val="it-IT"/>
              </w:rPr>
            </w:pPr>
            <w:r w:rsidRPr="00622F49">
              <w:rPr>
                <w:rFonts w:ascii="Segoe UI Emoji" w:hAnsi="Segoe UI Emoji" w:cs="Segoe UI Emoji"/>
                <w:sz w:val="20"/>
                <w:szCs w:val="20"/>
              </w:rPr>
              <w:t>✅</w:t>
            </w:r>
          </w:p>
        </w:tc>
        <w:tc>
          <w:tcPr>
            <w:tcW w:w="309" w:type="pct"/>
          </w:tcPr>
          <w:p w14:paraId="55D228ED" w14:textId="77777777" w:rsidR="00B90FC8" w:rsidRPr="00622F49" w:rsidRDefault="00B90FC8" w:rsidP="00407C03">
            <w:pPr>
              <w:rPr>
                <w:rFonts w:ascii="Segoe UI Emoji" w:hAnsi="Segoe UI Emoji" w:cs="Segoe UI Emoji"/>
                <w:sz w:val="20"/>
                <w:szCs w:val="20"/>
                <w:lang w:val="it-IT"/>
              </w:rPr>
            </w:pPr>
            <w:r w:rsidRPr="00622F49">
              <w:rPr>
                <w:rFonts w:ascii="Segoe UI Emoji" w:hAnsi="Segoe UI Emoji" w:cs="Segoe UI Emoji"/>
                <w:sz w:val="20"/>
                <w:szCs w:val="20"/>
              </w:rPr>
              <w:t>✅</w:t>
            </w:r>
          </w:p>
        </w:tc>
        <w:tc>
          <w:tcPr>
            <w:tcW w:w="423" w:type="pct"/>
          </w:tcPr>
          <w:p w14:paraId="7A78E9C1" w14:textId="77777777" w:rsidR="00B90FC8" w:rsidRPr="00622F49" w:rsidRDefault="00B90FC8" w:rsidP="00407C03">
            <w:pPr>
              <w:rPr>
                <w:rFonts w:ascii="Segoe UI Emoji" w:hAnsi="Segoe UI Emoji" w:cs="Segoe UI Emoji"/>
                <w:sz w:val="20"/>
                <w:szCs w:val="20"/>
                <w:lang w:val="it-IT"/>
              </w:rPr>
            </w:pPr>
            <w:r w:rsidRPr="00622F49">
              <w:rPr>
                <w:rFonts w:ascii="Segoe UI Emoji" w:hAnsi="Segoe UI Emoji" w:cs="Segoe UI Emoji"/>
                <w:sz w:val="20"/>
                <w:szCs w:val="20"/>
              </w:rPr>
              <w:t>✅</w:t>
            </w:r>
          </w:p>
        </w:tc>
      </w:tr>
      <w:tr w:rsidR="00B90FC8" w:rsidRPr="00622F49" w14:paraId="1B28C230" w14:textId="77777777" w:rsidTr="00407C03">
        <w:tc>
          <w:tcPr>
            <w:tcW w:w="1620" w:type="pct"/>
            <w:vAlign w:val="bottom"/>
          </w:tcPr>
          <w:p w14:paraId="769A5ECF" w14:textId="77777777" w:rsidR="00B90FC8" w:rsidRPr="00622F49" w:rsidRDefault="00B90FC8" w:rsidP="00407C03">
            <w:pPr>
              <w:rPr>
                <w:rFonts w:cstheme="minorHAnsi"/>
                <w:sz w:val="20"/>
                <w:szCs w:val="20"/>
                <w:lang w:val="it-IT"/>
              </w:rPr>
            </w:pPr>
            <w:r w:rsidRPr="00622F49">
              <w:rPr>
                <w:rFonts w:cstheme="minorHAnsi"/>
                <w:sz w:val="20"/>
                <w:szCs w:val="20"/>
                <w:lang w:val="it-IT"/>
              </w:rPr>
              <w:t>Ferri et al. 2025b</w:t>
            </w:r>
            <w:r w:rsidRPr="00622F49">
              <w:rPr>
                <w:rFonts w:cstheme="minorHAnsi"/>
                <w:sz w:val="20"/>
                <w:szCs w:val="20"/>
                <w:lang w:val="en-GB"/>
              </w:rPr>
              <w:fldChar w:fldCharType="begin"/>
            </w:r>
            <w:r w:rsidRPr="00622F49">
              <w:rPr>
                <w:rFonts w:cstheme="minorHAnsi"/>
                <w:sz w:val="20"/>
                <w:szCs w:val="20"/>
                <w:lang w:val="it-IT"/>
              </w:rPr>
              <w:instrText xml:space="preserve"> ADDIN ZOTERO_ITEM CSL_CITATION {"citationID":"W5B4A1jM","properties":{"formattedCitation":"\\super 62\\nosupersub{}","plainCitation":"62","noteIndex":0},"citationItems":[{"id":12060,"uris":["http://zotero.org/users/8059477/items/FCZQYXN8"],"itemData":{"id":12060,"type":"article-journal","abstract":"OBJECTIVE: This study aims to evaluate vestibular function by instrumental assessment of the angular vestibulo-ocular reflex (aVOR) in survivors from severe traumatic brain injury (sTBI) and analyze related clinical characteristics and functional balance scales.\nSETTING: This study was conducted on inpatients accepted at Santa Lucia Foundation-Neurorehabilitation Hospital for Research and Healthcare (Rome, Italy), from January to September 2023.\nPARTICIPANTS: Twenty-one survivors from sTBI with a median age of 48 years (IQR = 27) were included in this study, recruited through the neurorehabilitation services. Participants were included if they had a Glasgow Coma Scale Score ≤ 8 at the time of injury, Level of Cognitive Functioning ≥ 7, static and dynamic balance impairments, ability to understand verbal commands, and Functional Ambulation Classification &gt; 3.\nDESIGN: Cross-sectional study.\nMAIN MEASURES: Two expert physiotherapists performed an aVOR assessment using the video Head ImpulseTest by both head impulse and suppression paradigms. Furthermore, all participants completed a balance assessment using the Berg Balance Scale and the Mini-Balance Evaluation Systems Test (Mini-BESTest) scale. Descriptive statistical analyses were performed, and the relationship between aVOR function and balance outcomes was investigated.\nRESULTS: Nineteen participants (90%) displayed aVOR with an abnormal gain at least in 1 canal. Thirty percent of all canals analyzed had abnormal gains, with a clear prevalence of the right posterior canal (71%), which presents aVOR gain lower than the functional threshold on average (mean 0.70; CI, 0.62-0.78). No correlations were found between the aVOR gain and the clinical outcome measure scores.\nCONCLUSION: Low aVOR gains were evident in people who experienced sTBI. A comprehensive evaluation of the vestibular peripheral system may detect vestibular impairments in these patients that may otherwise be unrecognized.","container-title":"The Journal of Head Trauma Rehabilitation","DOI":"10.1097/HTR.0000000000001044","ISSN":"1550-509X","issue":"5","journalAbbreviation":"J Head Trauma Rehabil","language":"eng","note":"PMID: 40067959","page":"337-345","source":"PubMed","title":"Video Head Impulse Test in Survivors From Severe Traumatic Brain Injury: New Perspectives for Implementation of Assessment in Rehabilitation","title-short":"Video Head Impulse Test in Survivors From Severe Traumatic Brain Injury","volume":"40","author":[{"family":"Ferri","given":"Nicola"},{"family":"Whitney","given":"Susan L."},{"family":"Verrecchia","given":"Luca"},{"family":"Casagrande Conti","given":"Laura"},{"family":"Turolla","given":"Andrea"},{"family":"Lelli","given":"Tommaso"},{"family":"Formisano","given":"Rita"},{"family":"Buzzi","given":"Maria Gabriella"},{"family":"Pillastrini","given":"Paolo"},{"family":"Manzari","given":"Leonardo"},{"family":"Tramontano","given":"Marco"}],"issued":{"date-parts":[["2025",10,1]]}}}],"schema":"https://github.com/citation-style-language/schema/raw/master/csl-citation.json"}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62</w:t>
            </w:r>
            <w:r w:rsidRPr="00622F49">
              <w:rPr>
                <w:rFonts w:cstheme="minorHAnsi"/>
                <w:sz w:val="20"/>
                <w:szCs w:val="20"/>
                <w:lang w:val="en-GB"/>
              </w:rPr>
              <w:fldChar w:fldCharType="end"/>
            </w:r>
          </w:p>
        </w:tc>
        <w:tc>
          <w:tcPr>
            <w:tcW w:w="369" w:type="pct"/>
          </w:tcPr>
          <w:p w14:paraId="1B341381" w14:textId="77777777" w:rsidR="00B90FC8" w:rsidRPr="00622F49" w:rsidRDefault="00B90FC8" w:rsidP="00407C03">
            <w:pPr>
              <w:rPr>
                <w:rFonts w:ascii="Segoe UI Emoji" w:hAnsi="Segoe UI Emoji" w:cs="Segoe UI Emoji"/>
                <w:sz w:val="20"/>
                <w:szCs w:val="20"/>
                <w:lang w:val="it-IT"/>
              </w:rPr>
            </w:pPr>
            <w:r w:rsidRPr="00622F49">
              <w:rPr>
                <w:rFonts w:ascii="Segoe UI Emoji" w:hAnsi="Segoe UI Emoji" w:cs="Segoe UI Emoji"/>
                <w:sz w:val="20"/>
                <w:szCs w:val="20"/>
              </w:rPr>
              <w:t>✅</w:t>
            </w:r>
          </w:p>
        </w:tc>
        <w:tc>
          <w:tcPr>
            <w:tcW w:w="368" w:type="pct"/>
          </w:tcPr>
          <w:p w14:paraId="37DCE958" w14:textId="77777777" w:rsidR="00B90FC8" w:rsidRPr="00622F49" w:rsidRDefault="00B90FC8" w:rsidP="00407C03">
            <w:pPr>
              <w:rPr>
                <w:rFonts w:ascii="Segoe UI Emoji" w:hAnsi="Segoe UI Emoji" w:cs="Segoe UI Emoji"/>
                <w:sz w:val="20"/>
                <w:szCs w:val="20"/>
                <w:lang w:val="it-IT"/>
              </w:rPr>
            </w:pPr>
            <w:r w:rsidRPr="00622F49">
              <w:rPr>
                <w:rFonts w:ascii="Segoe UI Emoji" w:hAnsi="Segoe UI Emoji" w:cs="Segoe UI Emoji"/>
                <w:sz w:val="20"/>
                <w:szCs w:val="20"/>
              </w:rPr>
              <w:t>✅</w:t>
            </w:r>
          </w:p>
        </w:tc>
        <w:tc>
          <w:tcPr>
            <w:tcW w:w="368" w:type="pct"/>
          </w:tcPr>
          <w:p w14:paraId="30F0B8A0" w14:textId="77777777" w:rsidR="00B90FC8" w:rsidRPr="00622F49" w:rsidRDefault="00B90FC8" w:rsidP="00407C03">
            <w:pPr>
              <w:rPr>
                <w:rFonts w:ascii="Segoe UI Emoji" w:hAnsi="Segoe UI Emoji" w:cs="Segoe UI Emoji"/>
                <w:sz w:val="20"/>
                <w:szCs w:val="20"/>
                <w:lang w:val="it-IT"/>
              </w:rPr>
            </w:pPr>
            <w:r w:rsidRPr="00622F49">
              <w:rPr>
                <w:rFonts w:ascii="Segoe UI Emoji" w:hAnsi="Segoe UI Emoji" w:cs="Segoe UI Emoji"/>
                <w:sz w:val="20"/>
                <w:szCs w:val="20"/>
              </w:rPr>
              <w:t>❌</w:t>
            </w:r>
          </w:p>
        </w:tc>
        <w:tc>
          <w:tcPr>
            <w:tcW w:w="441" w:type="pct"/>
          </w:tcPr>
          <w:p w14:paraId="1DE79BEF" w14:textId="77777777" w:rsidR="00B90FC8" w:rsidRPr="00622F49" w:rsidRDefault="00B90FC8" w:rsidP="00407C03">
            <w:pPr>
              <w:rPr>
                <w:rFonts w:ascii="Segoe UI Emoji" w:hAnsi="Segoe UI Emoji" w:cs="Segoe UI Emoji"/>
                <w:sz w:val="20"/>
                <w:szCs w:val="20"/>
                <w:lang w:val="it-IT"/>
              </w:rPr>
            </w:pPr>
            <w:r w:rsidRPr="00622F49">
              <w:rPr>
                <w:rFonts w:ascii="Segoe UI Emoji" w:hAnsi="Segoe UI Emoji" w:cs="Segoe UI Emoji"/>
                <w:sz w:val="20"/>
                <w:szCs w:val="20"/>
              </w:rPr>
              <w:t>✅</w:t>
            </w:r>
          </w:p>
        </w:tc>
        <w:tc>
          <w:tcPr>
            <w:tcW w:w="368" w:type="pct"/>
          </w:tcPr>
          <w:p w14:paraId="5955D014" w14:textId="77777777" w:rsidR="00B90FC8" w:rsidRPr="00622F49" w:rsidRDefault="00B90FC8" w:rsidP="00407C03">
            <w:pPr>
              <w:rPr>
                <w:rFonts w:ascii="Segoe UI Emoji" w:hAnsi="Segoe UI Emoji" w:cs="Segoe UI Emoji"/>
                <w:sz w:val="20"/>
                <w:szCs w:val="20"/>
                <w:lang w:val="it-IT"/>
              </w:rPr>
            </w:pPr>
            <w:r w:rsidRPr="00622F49">
              <w:rPr>
                <w:rFonts w:ascii="Segoe UI Emoji" w:hAnsi="Segoe UI Emoji" w:cs="Segoe UI Emoji"/>
                <w:sz w:val="20"/>
                <w:szCs w:val="20"/>
              </w:rPr>
              <w:t>✅</w:t>
            </w:r>
          </w:p>
        </w:tc>
        <w:tc>
          <w:tcPr>
            <w:tcW w:w="368" w:type="pct"/>
          </w:tcPr>
          <w:p w14:paraId="4C1C6835" w14:textId="77777777" w:rsidR="00B90FC8" w:rsidRPr="00622F49" w:rsidRDefault="00B90FC8" w:rsidP="00407C03">
            <w:pPr>
              <w:rPr>
                <w:rFonts w:ascii="Segoe UI Emoji" w:hAnsi="Segoe UI Emoji" w:cs="Segoe UI Emoji"/>
                <w:sz w:val="20"/>
                <w:szCs w:val="20"/>
                <w:lang w:val="it-IT"/>
              </w:rPr>
            </w:pPr>
            <w:r w:rsidRPr="00622F49">
              <w:rPr>
                <w:rFonts w:ascii="Segoe UI Emoji" w:hAnsi="Segoe UI Emoji" w:cs="Segoe UI Emoji"/>
                <w:sz w:val="20"/>
                <w:szCs w:val="20"/>
              </w:rPr>
              <w:t>✅</w:t>
            </w:r>
          </w:p>
        </w:tc>
        <w:tc>
          <w:tcPr>
            <w:tcW w:w="367" w:type="pct"/>
          </w:tcPr>
          <w:p w14:paraId="78D68407" w14:textId="77777777" w:rsidR="00B90FC8" w:rsidRPr="00622F49" w:rsidRDefault="00B90FC8" w:rsidP="00407C03">
            <w:pPr>
              <w:rPr>
                <w:rFonts w:ascii="Segoe UI Emoji" w:hAnsi="Segoe UI Emoji" w:cs="Segoe UI Emoji"/>
                <w:sz w:val="20"/>
                <w:szCs w:val="20"/>
                <w:lang w:val="it-IT"/>
              </w:rPr>
            </w:pPr>
            <w:r w:rsidRPr="00622F49">
              <w:rPr>
                <w:rFonts w:ascii="Segoe UI Emoji" w:hAnsi="Segoe UI Emoji" w:cs="Segoe UI Emoji"/>
                <w:sz w:val="20"/>
                <w:szCs w:val="20"/>
              </w:rPr>
              <w:t>✅</w:t>
            </w:r>
          </w:p>
        </w:tc>
        <w:tc>
          <w:tcPr>
            <w:tcW w:w="309" w:type="pct"/>
          </w:tcPr>
          <w:p w14:paraId="58940B62" w14:textId="77777777" w:rsidR="00B90FC8" w:rsidRPr="00622F49" w:rsidRDefault="00B90FC8" w:rsidP="00407C03">
            <w:pPr>
              <w:rPr>
                <w:rFonts w:ascii="Segoe UI Emoji" w:hAnsi="Segoe UI Emoji" w:cs="Segoe UI Emoji"/>
                <w:sz w:val="20"/>
                <w:szCs w:val="20"/>
                <w:lang w:val="it-IT"/>
              </w:rPr>
            </w:pPr>
            <w:r w:rsidRPr="00622F49">
              <w:rPr>
                <w:rFonts w:ascii="Segoe UI Emoji" w:hAnsi="Segoe UI Emoji" w:cs="Segoe UI Emoji"/>
                <w:sz w:val="20"/>
                <w:szCs w:val="20"/>
              </w:rPr>
              <w:t>✅</w:t>
            </w:r>
          </w:p>
        </w:tc>
        <w:tc>
          <w:tcPr>
            <w:tcW w:w="423" w:type="pct"/>
          </w:tcPr>
          <w:p w14:paraId="42859EC5" w14:textId="77777777" w:rsidR="00B90FC8" w:rsidRPr="00622F49" w:rsidRDefault="00B90FC8" w:rsidP="00407C03">
            <w:pPr>
              <w:rPr>
                <w:rFonts w:ascii="Segoe UI Emoji" w:hAnsi="Segoe UI Emoji" w:cs="Segoe UI Emoji"/>
                <w:sz w:val="20"/>
                <w:szCs w:val="20"/>
                <w:lang w:val="it-IT"/>
              </w:rPr>
            </w:pPr>
            <w:r w:rsidRPr="00622F49">
              <w:rPr>
                <w:rFonts w:ascii="Segoe UI Emoji" w:hAnsi="Segoe UI Emoji" w:cs="Segoe UI Emoji"/>
                <w:sz w:val="20"/>
                <w:szCs w:val="20"/>
              </w:rPr>
              <w:t>✅</w:t>
            </w:r>
          </w:p>
        </w:tc>
      </w:tr>
      <w:tr w:rsidR="00B90FC8" w:rsidRPr="00622F49" w14:paraId="7FC82ABC" w14:textId="77777777" w:rsidTr="00407C03">
        <w:tc>
          <w:tcPr>
            <w:tcW w:w="1620" w:type="pct"/>
            <w:vAlign w:val="bottom"/>
          </w:tcPr>
          <w:p w14:paraId="05AE5E05" w14:textId="77777777" w:rsidR="00B90FC8" w:rsidRPr="00622F49" w:rsidRDefault="00B90FC8" w:rsidP="00407C03">
            <w:pPr>
              <w:rPr>
                <w:rFonts w:cstheme="minorHAnsi"/>
                <w:sz w:val="20"/>
                <w:szCs w:val="20"/>
              </w:rPr>
            </w:pPr>
            <w:r w:rsidRPr="00622F49">
              <w:rPr>
                <w:rFonts w:cstheme="minorHAnsi"/>
                <w:sz w:val="20"/>
                <w:szCs w:val="20"/>
                <w:lang w:val="en-GB"/>
              </w:rPr>
              <w:t>Grove et al. 2022a</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{"citationID":"2cfSVdBS","properties":{"formattedCitation":"\\super 33\\nosupersub{}","plainCitation":"33","noteIndex":0},"citationItems":[{"id":11325,"uris":["http://zotero.org/users/8059477/items/ESTXFK8B"],"itemData":{"id":11325,"type":"article-journal","abstract":"INTRODUCTION: Globally, there are 3 million people living with multiple sclerosis (PLW-MS). A large proportion of PLW-MS have abnormal vestibular function tests that suggest central vestibular lesions. Yet, data regarding vestibular-ocular control in PLW-MS is limited. Thus, we aimed to further characterize compensatory saccade (CS) behavior in PLW-MS.\nMETHODS: We analyzed video head impulse data from four groups of six age- and sex-matched adults: people living with mild MS (PLW-mild-MS, people living with moderate MS (PLW-moderate-MS), people living with unilateral vestibular deafferentation (PLW-UVD), and healthy controls (HC).\nRESULTS: PLW-moderate-MS had lower lateral canal vestibulo-ocular reflex (VOR) gain bilaterally compared to PLW-mild MS (p &lt; 0.001), HC (p &lt; 0.001), and PLW-UVD (p &lt; 0.001). CS frequency was higher for impulses towards the less affected side in PLW-moderate-MS versus the more (p = 0.01) and less (p &lt; 0.001) affected sides in PLW-mild-MS. CS latency was shorter (p &lt; 0.001) and CS peak velocity was lower (p &lt; 0.001) with impulses towards the more affected side versus the less affected side in PLW-moderate-MS. However, CS peak velocity with impulses towards each side was similar in PLW-mild-MS (p = 0.12). Gaze position error (GPE) was larger after impulses towards the more affected side versus the less affected side in PLW-moderate-MS (p &lt; 0.001) and PLW-mild-MS (p &lt; 0.001). MS-related disability was moderately associated with VOR gain (p &lt; 0.001) and GPE (p &lt; 0.001). Additionally, we identified micro-saccades and position correcting saccades that were uniquely employed by PLW-MS as compensatory gaze stabilizing strategies.\nCONCLUSIONS: In PLW-MS, the characteristics of compensatory oculomotor behavior depend on the extent of residual VOR gain.","container-title":"Journal of the Neurological Sciences","DOI":"10.1016/j.jns.2022.120411","ISSN":"1878-5883","journalAbbreviation":"J Neurol Sci","language":"eng","note":"PMID: 36088792\nPMCID: PMC10518216","page":"120411","source":"PubMed","title":"Unique compensatory oculomotor behavior in people living with multiple sclerosis","volume":"442","author":[{"family":"Grove","given":"Colin R."},{"family":"Wagner","given":"Andrew"},{"family":"Loyd","given":"Brian J."},{"family":"Dibble","given":"Leland E."},{"family":"Schubert","given":"Michael C."}],"issued":{"date-parts":[["2022",11,15]]}}}],"schema":"https://github.com/citation-style-language/schema/raw/master/csl-citation.json"}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33</w:t>
            </w:r>
            <w:r w:rsidRPr="00622F49">
              <w:rPr>
                <w:rFonts w:cstheme="minorHAnsi"/>
                <w:sz w:val="20"/>
                <w:szCs w:val="20"/>
                <w:lang w:val="en-GB"/>
              </w:rPr>
              <w:fldChar w:fldCharType="end"/>
            </w:r>
          </w:p>
        </w:tc>
        <w:tc>
          <w:tcPr>
            <w:tcW w:w="369" w:type="pct"/>
          </w:tcPr>
          <w:p w14:paraId="0D598A3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F18DDE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80623BD"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5E95D94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5BE88C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9916B3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0ACC118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51C9200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2BDE073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40DE27A2" w14:textId="77777777" w:rsidTr="00407C03">
        <w:tc>
          <w:tcPr>
            <w:tcW w:w="1620" w:type="pct"/>
            <w:vAlign w:val="bottom"/>
          </w:tcPr>
          <w:p w14:paraId="3D1C795D" w14:textId="77777777" w:rsidR="00B90FC8" w:rsidRPr="00622F49" w:rsidRDefault="00B90FC8" w:rsidP="00407C03">
            <w:pPr>
              <w:rPr>
                <w:rFonts w:cstheme="minorHAnsi"/>
                <w:sz w:val="20"/>
                <w:szCs w:val="20"/>
              </w:rPr>
            </w:pPr>
            <w:r w:rsidRPr="00622F49">
              <w:rPr>
                <w:rFonts w:cstheme="minorHAnsi"/>
                <w:sz w:val="20"/>
                <w:szCs w:val="20"/>
                <w:lang w:val="en-GB"/>
              </w:rPr>
              <w:t>Grove et al. 2022b</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{"citationID":"eGoZlzsk","properties":{"formattedCitation":"\\super 34\\nosupersub{}","plainCitation":"34","noteIndex":0},"citationItems":[{"id":11327,"uris":["http://zotero.org/users/8059477/items/EXEF4QBI"],"itemData":{"id":11327,"type":"article-journal","abstract":"Globally, there are nearly three million people living with multiple sclerosis (PLW-MS). Many PLW-MS experience vertigo and have signs of vestibular dysfunction, e.g., low vestibulo-ocular reflex (VOR) gains or the presence of compensatory saccades (CSs), on video head impulse testing (vHIT). We examined whether the vestibular function and compensatory oculomotor behaviors in PLW-MS differed based on the level of MS-related disability. The VOR gain, CS frequency and latency, and gaze position error (GPE) were calculated from the individual traces obtained during six-canal vHIT for 37 PLW-MS (mean age 53.4 ± 12.4 years-old, 28 females) with vertigo and/or an imbalance. The subjects were grouped by their Expanded Disability Status Scale (EDSS) scores: PLW-min-MS (EDSS = 1.0-2.5, n = 8), PLW-mild-MS (EDSS = 3.0-4.5, n = 23), and PLW-moderate-MS (EDSS = 5.0-6.0, n = 6). The between-group differences were assessed with Kruskal-Wallis tests. The VOR gains for most of the canals were higher for PLW-min-MS compared to PLW-mild- and mod-MS, respectively. CS occurred less often in PLW-min-MS versus PLW-mild- and mod-MS, respectively. No clear trend in CS latency was found. The GPE was often lower for PLW-min-MS compared to PLW-mild- and mod-MS, respectively. Thus, our data demonstrate that worse VOR and compensatory oculomotor functions are associated with a greater MS-related disability. PLW-MS may benefit from personalized vestibular physical therapy.","container-title":"Brain Sciences","DOI":"10.3390/brainsci12111519","ISSN":"2076-3425","issue":"11","journalAbbreviation":"Brain Sci","language":"eng","note":"PMID: 36358444\nPMCID: PMC9688247","page":"1519","source":"PubMed","title":"Greater Disability Is Associated with Worse Vestibular and Compensatory Oculomotor Functions in People Living with Multiple Sclerosis","volume":"12","author":[{"family":"Grove","given":"Colin R."},{"family":"Wagner","given":"Andrew"},{"family":"Yang","given":"Victor B."},{"family":"Loyd","given":"Brian J."},{"family":"Dibble","given":"Leland E."},{"family":"Schubert","given":"Michael C."}],"issued":{"date-parts":[["2022",11,9]]}}}],"schema":"https://github.com/citation-style-language/schema/raw/master/csl-citation.json"}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34</w:t>
            </w:r>
            <w:r w:rsidRPr="00622F49">
              <w:rPr>
                <w:rFonts w:cstheme="minorHAnsi"/>
                <w:sz w:val="20"/>
                <w:szCs w:val="20"/>
                <w:lang w:val="en-GB"/>
              </w:rPr>
              <w:fldChar w:fldCharType="end"/>
            </w:r>
          </w:p>
        </w:tc>
        <w:tc>
          <w:tcPr>
            <w:tcW w:w="369" w:type="pct"/>
          </w:tcPr>
          <w:p w14:paraId="0868C36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61DC98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2FC8D181"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461A01B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EC026F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CA2A92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673FAFE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114C2B5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3227EDE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329D4A0F" w14:textId="77777777" w:rsidTr="00407C03">
        <w:tc>
          <w:tcPr>
            <w:tcW w:w="1620" w:type="pct"/>
            <w:vAlign w:val="bottom"/>
          </w:tcPr>
          <w:p w14:paraId="25A34998" w14:textId="77777777" w:rsidR="00B90FC8" w:rsidRPr="00622F49" w:rsidRDefault="00B90FC8" w:rsidP="00407C03">
            <w:pPr>
              <w:rPr>
                <w:rFonts w:cstheme="minorHAnsi"/>
                <w:sz w:val="20"/>
                <w:szCs w:val="20"/>
              </w:rPr>
            </w:pPr>
            <w:r w:rsidRPr="00622F49">
              <w:rPr>
                <w:rFonts w:cstheme="minorHAnsi"/>
                <w:sz w:val="20"/>
                <w:szCs w:val="20"/>
                <w:lang w:val="en-GB"/>
              </w:rPr>
              <w:t>Hawkins et al. 2022</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{"citationID":"b1Mku6Ab","properties":{"formattedCitation":"\\super 35\\nosupersub{}","plainCitation":"35","noteIndex":0},"citationItems":[{"id":11332,"uris":["http://zotero.org/users/8059477/items/NX5BAQCG"],"itemData":{"id":11332,"type":"article-journal","abstract":"BACKGROUND: Parkinson's disease (PD) is a common multi-system neurodegenerative disorder with possible vestibular system dysfunction, but prior vestibular function test findings are equivocal.\nOBJECTIVE: To report and compare vestibulo-ocular reflex (VOR) gain as measured by the video head impulse test (vHIT) in participants with PD, including tremor dominant and postural instability/gait dysfunction phenotypes, with healthy controls (HC).\nMETHODS: Forty participants with PD and 40 age- and gender-matched HC had their vestibular function assessed. Lateral and vertical semicircular canal VOR gains were measured with vHIT. VOR canal gains between PD participants and HC were compared with independent samples t-tests. Two distinct PD phenotypes were compared to HC using Tukey's ANOVA. The relationship of VOR gain with PD duration, phenotype, severity and age were investigated using logistic regression.\nRESULTS: There were no significant differences between groups in vHIT VOR gain for lateral or vertical canals. There was no evidence of an effect of PD severity, phenotype or age on VOR gains in the PD group.\nCONCLUSION: The impulsive angular VOR pathways are not significantly affected by the pathophysiological changes associated with mild to moderate PD.","container-title":"Journal of Vestibular Research: Equilibrium &amp; Orientation","DOI":"10.3233/VES-201626","ISSN":"1878-6464","issue":"3","journalAbbreviation":"J Vestib Res","language":"eng","note":"PMID: 34151877","page":"261-269","source":"PubMed","title":"Vestibular semicircular canal function as detected by video Head Impulse Test (vHIT) is essentially unchanged in people with Parkinson's disease compared to healthy controls","volume":"32","author":[{"family":"Hawkins","given":"Kim E."},{"family":"Chiarovano","given":"Elodie"},{"family":"Paul","given":"Serene S."},{"family":"Burgess","given":"Ann M."},{"family":"MacDougall","given":"Hamish G."},{"family":"Curthoys","given":"Ian S."}],"issued":{"date-parts":[["2022"]]}}}],"schema":"https://github.com/citation-style-language/schema/raw/master/csl-citation.json"}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35</w:t>
            </w:r>
            <w:r w:rsidRPr="00622F49">
              <w:rPr>
                <w:rFonts w:cstheme="minorHAnsi"/>
                <w:sz w:val="20"/>
                <w:szCs w:val="20"/>
                <w:lang w:val="en-GB"/>
              </w:rPr>
              <w:fldChar w:fldCharType="end"/>
            </w:r>
          </w:p>
        </w:tc>
        <w:tc>
          <w:tcPr>
            <w:tcW w:w="369" w:type="pct"/>
          </w:tcPr>
          <w:p w14:paraId="044B1A99"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04812E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780A386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3B21C2D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93DB291"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EF8181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3EC081F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7A46E4AD"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0CBFBC09"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5D6DA1C5" w14:textId="77777777" w:rsidTr="00407C03">
        <w:tc>
          <w:tcPr>
            <w:tcW w:w="1620" w:type="pct"/>
            <w:vAlign w:val="bottom"/>
          </w:tcPr>
          <w:p w14:paraId="572F0268" w14:textId="77777777" w:rsidR="00B90FC8" w:rsidRPr="00622F49" w:rsidRDefault="00B90FC8" w:rsidP="00407C03">
            <w:pPr>
              <w:rPr>
                <w:rFonts w:cstheme="minorHAnsi"/>
                <w:sz w:val="20"/>
                <w:szCs w:val="20"/>
              </w:rPr>
            </w:pPr>
            <w:r w:rsidRPr="00622F49">
              <w:rPr>
                <w:rFonts w:cstheme="minorHAnsi"/>
                <w:sz w:val="20"/>
                <w:szCs w:val="20"/>
                <w:lang w:val="en-GB"/>
              </w:rPr>
              <w:t>Heravian Shandiz et al. 2021</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{"citationID":"hsaESXFo","properties":{"formattedCitation":"\\super 36\\nosupersub{}","plainCitation":"36","noteIndex":0},"citationItems":[{"id":11367,"uris":["http://zotero.org/users/8059477/items/4QPNLKXE"],"itemData":{"id":11367,"type":"article-journal","abstract":"PURPOSE: To investigate vestibulo ocular reflex (VOR) in MS patients without any history of optic neuritis.\nMETHODS: 26 MS patients without any previous history of optic neuritis and 13 age- matched control subjects were included in this study. Their age ranged from 22 to 50 years old. We evaluated monocular visual evoked potential (VEP), monocular and binocular best corrected static and dynamic visual acuity, near and distance phoria and VOR gain.\nRESULTS: Mean spherical equivalent (SE) was - 0.40 ± 0.93 D and - 0.04 ± 0.14 D for study and control group, respectively (P = 0.060). There was a significant difference in dynamic visual acuity (DVA) between two groups (P = 0.029). VOR gain was not significantly different in both groups through vHIT measurements (P = 0.338). Duration of MS had a mean of 78.38 ± 75.94 months (ranged from 6 to 336 months). We found no significant correlation between disease duration and VOR (Rho 0.277, P = 0.171) or DVA (Rho 0.782, P = 0.057).\nCONCLUSION: Our study showed that although vHIT results decreased in MS patients, there was no significant differences between two groups.","container-title":"Journal of Optometry","DOI":"10.1016/j.optom.2020.07.001","ISSN":"1989-1342","issue":"3","journalAbbreviation":"J Optom","language":"eng","note":"PMID: 32868242\nPMCID: PMC8258128","page":"282-286","source":"PubMed","title":"Vestibulo ocular reflex in multiple sclerosis patients without any optic neuritis","volume":"14","author":[{"family":"Heravian Shandiz","given":"Javad"},{"family":"Jafarzadeh","given":"Sadegh"},{"family":"Fathi","given":"Habibeh"},{"family":"Foroughipour","given":"Mohsen"},{"family":"Karimpour","given":"Maliheh"}],"issued":{"date-parts":[["2021"]]}}}],"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36</w:t>
            </w:r>
            <w:r w:rsidRPr="00622F49">
              <w:rPr>
                <w:rFonts w:cstheme="minorHAnsi"/>
                <w:sz w:val="20"/>
                <w:szCs w:val="20"/>
                <w:lang w:val="en-GB"/>
              </w:rPr>
              <w:fldChar w:fldCharType="end"/>
            </w:r>
          </w:p>
        </w:tc>
        <w:tc>
          <w:tcPr>
            <w:tcW w:w="369" w:type="pct"/>
          </w:tcPr>
          <w:p w14:paraId="417C2B4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394C79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0DB9B75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28BA282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08A3C4A1"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0DBB012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5A27CC2B"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09" w:type="pct"/>
          </w:tcPr>
          <w:p w14:paraId="43D084C2"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3181D8F9"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6D44E1DA" w14:textId="77777777" w:rsidTr="00407C03">
        <w:tc>
          <w:tcPr>
            <w:tcW w:w="1620" w:type="pct"/>
            <w:vAlign w:val="bottom"/>
          </w:tcPr>
          <w:p w14:paraId="51E3F030" w14:textId="77777777" w:rsidR="00B90FC8" w:rsidRPr="00622F49" w:rsidRDefault="00B90FC8" w:rsidP="00407C03">
            <w:pPr>
              <w:rPr>
                <w:rFonts w:cstheme="minorHAnsi"/>
                <w:sz w:val="20"/>
                <w:szCs w:val="20"/>
              </w:rPr>
            </w:pPr>
            <w:r w:rsidRPr="00622F49">
              <w:rPr>
                <w:rFonts w:cstheme="minorHAnsi"/>
                <w:sz w:val="20"/>
                <w:szCs w:val="20"/>
                <w:lang w:val="en-GB"/>
              </w:rPr>
              <w:t>Hong et al. 2022</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{"citationID":"trgl9FJM","properties":{"formattedCitation":"\\super 37\\nosupersub{}","plainCitation":"37","noteIndex":0},"citationItems":[{"id":11334,"uris":["http://zotero.org/users/8059477/items/3W87IIYP"],"itemData":{"id":11334,"type":"article-journal","abstract":"INTRODUCTION: Postural instability is a cardinal symptom of Parkinson's disease (PD), which suggests the vestibular system may be affected in PD. This study aimed to determine whether vestibular dysfunction is associated with the risk of falls in PD.\nMETHODS: We prospectively recruited patients with de-novo PD at a tertiary medical center between December 2019 and March 2023. During initial assessment, each patient was queried about falls within the preceding year. All patients underwent evaluation of video head-impulse tests (video-HITs), motion analysis, mini-mental state examination (MMSE), and Montreal Cognitive Assessment (MOCA). We determined whether head impulse gain of the vestibulo-ocular reflex (VOR) was associated with clinical severity of PD or risk of falls.\nRESULTS: Overall, 133 patients (mean age ± SD = 68 ± 10, 59 men) were recruited. The median Movement Disorder Society-Unified Parkinson's Disease Rating Scale motor part (MDS-UPDRS-III) was 23 (interquartile range = 16-31), and 81 patients (61 %) scored 2 or less on the Hoehn and Yahr scale. Fallers were older (p = 0.001), had longer disease duration (p = 0.001), slower gait velocity (p = 0.009), higher MDS-UPDRS-III (p &lt; 0.001) and H&amp;Y scale (p &lt; 0.001), lower MMSE (p = 0.018) and MOCA scores (p = 0.001) than non-fallers. Multiple logistic regression showed that MDS-UPDRS-III had a positive association with falling (p = 0.004). Falling was not associated with VOR gain (p = 0.405). The VOR gain for each semicircular canal showed no correlation with the MDS-UPDRS-III or disease duration.\nCONCLUSIONS: The semicircular canal function, as determined by video-HITs, is relatively spared and has little effect on the risk of falls in patients with mild-to-moderate PD.","container-title":"Parkinsonism &amp; Related Disorders","DOI":"10.1016/j.parkreldis.2023.105933","ISSN":"1873-5126","journalAbbreviation":"Parkinsonism Relat Disord","language":"eng","note":"PMID: 38007917","page":"105933","source":"PubMed","title":"The semicircular canal function is preserved with little impact on falls in patients with mild Parkinson's disease","volume":"118","author":[{"family":"Hong","given":"Jun-Pyo"},{"family":"Kwon","given":"Hanim"},{"family":"Park","given":"Euyhyun"},{"family":"Lee","given":"Sun-Uk"},{"family":"Lee","given":"Chan-Nyoung"},{"family":"Kim","given":"Byung-Jo"},{"family":"Kim","given":"Ji-Soo"},{"family":"Park","given":"Kun-Woo"}],"issued":{"date-parts":[["2024",1]]}}}],"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37</w:t>
            </w:r>
            <w:r w:rsidRPr="00622F49">
              <w:rPr>
                <w:rFonts w:cstheme="minorHAnsi"/>
                <w:sz w:val="20"/>
                <w:szCs w:val="20"/>
                <w:lang w:val="en-GB"/>
              </w:rPr>
              <w:fldChar w:fldCharType="end"/>
            </w:r>
          </w:p>
        </w:tc>
        <w:tc>
          <w:tcPr>
            <w:tcW w:w="369" w:type="pct"/>
          </w:tcPr>
          <w:p w14:paraId="3082315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0DAA95A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43C7F29"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7FE7310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350609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D96375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26D56D61"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64D1F03D"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64FA315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1015FBF8" w14:textId="77777777" w:rsidTr="00407C03">
        <w:tc>
          <w:tcPr>
            <w:tcW w:w="1620" w:type="pct"/>
            <w:vAlign w:val="bottom"/>
          </w:tcPr>
          <w:p w14:paraId="069947F5" w14:textId="77777777" w:rsidR="00B90FC8" w:rsidRPr="00622F49" w:rsidRDefault="00B90FC8" w:rsidP="00407C03">
            <w:pPr>
              <w:rPr>
                <w:rFonts w:cstheme="minorHAnsi"/>
                <w:sz w:val="20"/>
                <w:szCs w:val="20"/>
              </w:rPr>
            </w:pPr>
            <w:r w:rsidRPr="00622F49">
              <w:rPr>
                <w:rFonts w:cstheme="minorHAnsi"/>
                <w:sz w:val="20"/>
                <w:szCs w:val="20"/>
                <w:lang w:val="en-GB"/>
              </w:rPr>
              <w:t>Hougaard et al. 2019</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{"citationID":"2Y971UOS","properties":{"formattedCitation":"\\super 38\\nosupersub{}","plainCitation":"38","noteIndex":0},"citationItems":[{"id":11336,"uris":["http://zotero.org/users/8059477/items/LWRE5SHX"],"itemData":{"id":11336,"type":"article-journal","abstract":"OBJECTIVES: The mitochondrial DNA (mtDNA) point mutation m.3243A&gt;G is known to express the following two syndromes among others: maternally inherited diabetes and deafness (MIDD) and mitochondrial encephalopathy, lactic acidosis, and stroke-like episodes (MELAS). Sensorineural hearing loss (SNHL) is the most frequent symptom in individuals harboring the m.3243A&gt;G mutation. However, dysfunction of the vestibular organs has been scarcely examined. Therefore, the present study aimed to study the impact of the m.3243A&gt;G mutation on the inner ear.\nMATERIALS AND METHODS: A total of 8 subjects harboring the blood-verified m.3243A&gt;G mutation underwent thorough audiological and vestibular examinations, including tone and speech audiometry, video head impulse test (vHIT), ocular and cervical vestibular-evoked myogenic potential (oVEMP and cVEMP), and full otoneurological examination. The subjects also answered a Dizziness Handicap Inventory (DHI) questionnaire.\nRESULTS: SNHL was identified in all the 8 subjects, with a mean pure-tone average-4 (PTA-4) of 59 dB. Speech discrimination score (n=7) ranged from 24% to 100% (mean 74%), and vHIT (n=42) detected pathology in nine lateral semicircular canals (SCCs), five posterior SCCs, and one anterior SCC, whereas three measurements were inconclusive. All oVEMPs (n=14 ears) were absent, nine cVEMPs were absent, and two were inconclusive. Based on the DHI scores, 6 subjects reported none to mild dizziness, 1 reported moderate, and 1 reported severe dizziness.\nCONCLUSION: Our study population had pathological findings from every audiological and vestibular end organs. The results indicated that the pathological findings originated from within the end organs themselves and not within the superior and inferior vestibular or cochlear nerve.","container-title":"The Journal of International Advanced Otology","DOI":"10.5152/iao.2019.5913","ISSN":"2148-3817","issue":"2","journalAbbreviation":"J Int Adv Otol","language":"eng","note":"PMID: 31347509\nPMCID: PMC6750775","page":"296-303","source":"PubMed","title":"Audiological and Vestibular Findings in Subjects with MELAS Syndrome","volume":"15","author":[{"family":"Hougaard","given":"Dan Dupont"},{"family":"Hestoy","given":"Danial Hofgaard"},{"family":"Hojland","given":"Allan Thomas"},{"family":"Gailhede","given":"Michael"},{"family":"Petersen","given":"Michael Bjorn"}],"issued":{"date-parts":[["2019",8]]}}}],"schema":"https://github.com/citation-style-language/schema/raw/master/csl-citation.json"}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38</w:t>
            </w:r>
            <w:r w:rsidRPr="00622F49">
              <w:rPr>
                <w:rFonts w:cstheme="minorHAnsi"/>
                <w:sz w:val="20"/>
                <w:szCs w:val="20"/>
                <w:lang w:val="en-GB"/>
              </w:rPr>
              <w:fldChar w:fldCharType="end"/>
            </w:r>
          </w:p>
        </w:tc>
        <w:tc>
          <w:tcPr>
            <w:tcW w:w="369" w:type="pct"/>
          </w:tcPr>
          <w:p w14:paraId="416A3AE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2361780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D47219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5CDFED9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5AB07B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D529D2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45633C61"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0B1027F6"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423" w:type="pct"/>
          </w:tcPr>
          <w:p w14:paraId="05D9D03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696E717C" w14:textId="77777777" w:rsidTr="00407C03">
        <w:tc>
          <w:tcPr>
            <w:tcW w:w="1620" w:type="pct"/>
            <w:vAlign w:val="bottom"/>
          </w:tcPr>
          <w:p w14:paraId="367003BB" w14:textId="77777777" w:rsidR="00B90FC8" w:rsidRPr="00622F49" w:rsidRDefault="00B90FC8" w:rsidP="00407C03">
            <w:pPr>
              <w:rPr>
                <w:rFonts w:cstheme="minorHAnsi"/>
                <w:sz w:val="20"/>
                <w:szCs w:val="20"/>
              </w:rPr>
            </w:pPr>
            <w:r w:rsidRPr="00622F49">
              <w:rPr>
                <w:rFonts w:cstheme="minorHAnsi"/>
                <w:sz w:val="20"/>
                <w:szCs w:val="20"/>
                <w:lang w:val="en-GB"/>
              </w:rPr>
              <w:t>Kim et al. 2022</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{"citationID":"JtKQMMg2","properties":{"formattedCitation":"\\super 39\\nosupersub{}","plainCitation":"39","noteIndex":0},"citationItems":[{"id":11338,"uris":["http://zotero.org/users/8059477/items/EJSP632D"],"itemData":{"id":11338,"type":"article-journal","abstract":"The integrity of the vestibulo-ocular reflex (VOR) remains to be delineated in patients with parkinsonism. We aimed to define the findings of the VOR using head-impulse tests (HITs) and their differential diagnostic value in patients with Parkinson's disease (PD) and multiple system atrophy (MSA). From December 2019 to January 2021, 30 patients with PD and 23 patients with MSA (17 with cerebellar-type MSA and 6 with parkinsonian-type MSA) had a video-oculographic recording of HITs at two university hospitals in South Korea. Reversed (p = 0.034) and perverted (p = 0.015) catch-up saccades were more frequently observed in MSA than in PD during HITs. The gain difference between the ACs and the PCs were larger in MSA than in PD (p = 0.031), and positively correlated with the disease duration in patients with MSA (Spearman's coefficient = 0.512, p = 0.012). Multivariate logistic regression analysis showed that reversed (p = 0.044) and perverted (p = 0.039) catch-up saccades were more frequently associated with MSA than with PD during HITs. In conclusion, HITs aid in differentiation of MSA from PD, and may serve as a surrogate marker for the clinical decline.","container-title":"Journal of Neurology","DOI":"10.1007/s00415-021-10885-z","ISSN":"1432-1459","issue":"6","journalAbbreviation":"J Neurol","language":"eng","note":"PMID: 34767067","page":"2972-2979","source":"PubMed","title":"Head-impulse tests aid in differentiation of multiple system atrophy from Parkinson's disease","volume":"269","author":[{"family":"Kim","given":"Jae-Gyum"},{"family":"Kim","given":"Sung-Hwan"},{"family":"Lee","given":"Sun-Uk"},{"family":"Lee","given":"Chan-Nyoung"},{"family":"Kim","given":"Byung-Jo"},{"family":"Kim","given":"Ji-Soo"},{"family":"Park","given":"Kun-Woo"}],"issued":{"date-parts":[["2022",6]]}}}],"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39</w:t>
            </w:r>
            <w:r w:rsidRPr="00622F49">
              <w:rPr>
                <w:rFonts w:cstheme="minorHAnsi"/>
                <w:sz w:val="20"/>
                <w:szCs w:val="20"/>
                <w:lang w:val="en-GB"/>
              </w:rPr>
              <w:fldChar w:fldCharType="end"/>
            </w:r>
          </w:p>
        </w:tc>
        <w:tc>
          <w:tcPr>
            <w:tcW w:w="369" w:type="pct"/>
          </w:tcPr>
          <w:p w14:paraId="024BDDF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38F6669"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F58928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23FA215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4DDE7181"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Pr>
          <w:p w14:paraId="69B54CB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6B4CBCB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79F03661"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0F63242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44D04FEA" w14:textId="77777777" w:rsidTr="00407C03">
        <w:tc>
          <w:tcPr>
            <w:tcW w:w="1620" w:type="pct"/>
            <w:vAlign w:val="bottom"/>
          </w:tcPr>
          <w:p w14:paraId="4D049E47" w14:textId="77777777" w:rsidR="00B90FC8" w:rsidRPr="00622F49" w:rsidRDefault="00B90FC8" w:rsidP="00407C03">
            <w:pPr>
              <w:rPr>
                <w:rFonts w:cstheme="minorHAnsi"/>
                <w:sz w:val="20"/>
                <w:szCs w:val="20"/>
              </w:rPr>
            </w:pPr>
            <w:r w:rsidRPr="00622F49">
              <w:rPr>
                <w:rFonts w:cstheme="minorHAnsi"/>
                <w:sz w:val="20"/>
                <w:szCs w:val="20"/>
                <w:lang w:val="en-GB"/>
              </w:rPr>
              <w:t>Kim et al. 2023</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{"citationID":"VwT2aVfb","properties":{"formattedCitation":"\\super 40\\nosupersub{}","plainCitation":"40","noteIndex":0},"citationItems":[{"id":11343,"uris":["http://zotero.org/users/8059477/items/YVTYGW7I"],"itemData":{"id":11343,"type":"article-journal","abstract":"The diagnosis of spinocerebellar ataxia (SCA) currently depends upon genetic testing. Although genetic testing for SCA is highly specific, clinical parameters for the differentiation of SCAs are still insufficient. We aimed to assess the vestibulo-ocular reflex (VOR) parameters of various SCA subtypes to determine whether they have substantial value in differential diagnosis. We consecutively enrolled 33 genetically confirmed SCA patients (SCA2 = 8, SCA3 = 6, SCA6 = 10, SCA7 = 9). Normative data were obtained from 36 age- and gender-matched healthy controls. Quantitative indicators of VOR were measured using video head impulse test (HIT) and combined ocular motor dysfunctions were investigated using video-oculography. Compared with the control group, the VOR gains in SCA2 were relatively spared, but were markedly decreased for all six canals in SCA3. The VOR gains for the posterior canals (PCs) were significantly decreased in SCA6, and for both vertical canals were decreased in SCA7. The VOR gains for the horizontal canals in SCA3 were negatively correlated with disease severity (R = -0.900, p = 0.037). Abnormal catch-up saccades were common in SCA3 and SCA6, rare in SCA7 and absent in SCA2. Spontaneous, headshaking-induced, and positional nystagmus were only documented in SCA6. SCA3 and SCA6 commonly showed horizontal gaze-evoked nystagmus, but SCA2 and SCA7 had characteristic saccadic slowing without gaze-evoked nystagmus. VOR impairments are common in SCAs, but their patterns vary depending on subtype. In addition to ocular motor characteristics, distinctive VOR performance for each subtype using video HIT may aid the differential diagnosis of the SCA genotypes.","container-title":"Scientific Reports","DOI":"10.1038/s41598-023-41924-6","ISSN":"2045-2322","issue":"1","journalAbbreviation":"Sci Rep","language":"eng","note":"PMID: 37679515\nPMCID: PMC10485070","page":"14783","source":"PubMed","title":"Clinical value of vestibulo-ocular reflex in the differentiation of spinocerebellar ataxias","volume":"13","author":[{"family":"Kim","given":"Jae-Myung"},{"family":"Nam","given":"Tai-Seung"},{"family":"Choi","given":"Seong-Min"},{"family":"Kim","given":"Byeong C."},{"family":"Lee","given":"Seung-Han"}],"issued":{"date-parts":[["2023",9,7]]}}}],"schema":"https://github.com/citation-style-language/schema/raw/master/csl-citation.json"}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40</w:t>
            </w:r>
            <w:r w:rsidRPr="00622F49">
              <w:rPr>
                <w:rFonts w:cstheme="minorHAnsi"/>
                <w:sz w:val="20"/>
                <w:szCs w:val="20"/>
                <w:lang w:val="en-GB"/>
              </w:rPr>
              <w:fldChar w:fldCharType="end"/>
            </w:r>
          </w:p>
        </w:tc>
        <w:tc>
          <w:tcPr>
            <w:tcW w:w="369" w:type="pct"/>
          </w:tcPr>
          <w:p w14:paraId="4538E9C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36D44E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01F9CC1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6717EE6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C21503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450F2F5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7296E80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225037D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7A7A670D"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4CEF577A" w14:textId="77777777" w:rsidTr="00407C03">
        <w:tc>
          <w:tcPr>
            <w:tcW w:w="1620" w:type="pct"/>
            <w:vAlign w:val="bottom"/>
          </w:tcPr>
          <w:p w14:paraId="069696F5" w14:textId="77777777" w:rsidR="00B90FC8" w:rsidRPr="00622F49" w:rsidRDefault="00B90FC8" w:rsidP="00407C03">
            <w:pPr>
              <w:rPr>
                <w:rFonts w:cstheme="minorHAnsi"/>
                <w:sz w:val="20"/>
                <w:szCs w:val="20"/>
                <w:lang w:val="it-IT"/>
              </w:rPr>
            </w:pPr>
            <w:r w:rsidRPr="00622F49">
              <w:rPr>
                <w:rFonts w:cstheme="minorHAnsi"/>
                <w:sz w:val="20"/>
                <w:szCs w:val="20"/>
                <w:lang w:val="it-IT"/>
              </w:rPr>
              <w:t>Kim et al. 2025a</w:t>
            </w:r>
            <w:r w:rsidRPr="00622F49">
              <w:rPr>
                <w:rFonts w:cstheme="minorHAnsi"/>
                <w:sz w:val="20"/>
                <w:szCs w:val="20"/>
                <w:lang w:val="it-IT"/>
              </w:rPr>
              <w:fldChar w:fldCharType="begin"/>
            </w:r>
            <w:r w:rsidRPr="00622F49">
              <w:rPr>
                <w:rFonts w:cstheme="minorHAnsi"/>
                <w:sz w:val="20"/>
                <w:szCs w:val="20"/>
                <w:lang w:val="it-IT"/>
              </w:rPr>
              <w:instrText xml:space="preserve"> ADDIN ZOTERO_ITEM CSL_CITATION {"citationID":"ALoXyuvs","properties":{"formattedCitation":"\\super 65\\nosupersub{}","plainCitation":"65","noteIndex":0},"citationItems":[{"id":12067,"uris":["http://zotero.org/users/8059477/items/9I3DP2VK"],"itemData":{"id":12067,"type":"article-journal","abstract":"INTRODUCTION: Freezing of gait (FOG) is a disabling condition that often leads to falls and severe postural instability in patients with Parkinson's disease (PD). This study aimed to determine whether FOG is associated with the integrity of the vestibulo-ocular (VOR) and vestibulospinal reflexes (VSR).\nMETHODS: We retrospectively collected 138 patients with de novo PD at a tertiary medical center between February 2022 and February 2025. Each patient was queried and assessed for FOG status during the initial assessment. All patients underwent video head-impulse tests (video-HIT), cervical vestibular-evoked myogenic potential (cVEMP), ocular vestibular-evoked myogenic potential (oVEMP), and motion analysis.\nRESULTS: FOG was observed in 23 patients (23/138, 17 %). The head impulse gain of the VOR did not differ between freezers and non-freezers in any semicircular canal. The new FOG questionnaire score showed no correlation with the VOR gain for any canal. The oVEMP and cVEMP parameters did not differ between freezers and non-freezers either. Multivariable logistic regression analysis revealed a positive association between FOG and MDS-UPDRS-III (p = 0.016). However, FOG was not associated with the VOR gain in any canal or abnormalities on oVEMP or cVEMP.\nCONCLUSIONS: Our preliminary data suggest that FOG is associated with the severity of motor symptoms in patients with early-to-moderate PD. While the integrity of the VOR or VSR is not currently associated with FOG, a well-designed future study could provide more nuanced insights into the relationship with these factors.","container-title":"Clinical Parkinsonism &amp; Related Disorders","DOI":"10.1016/j.prdoa.2025.100319","ISSN":"2590-1125","journalAbbreviation":"Clin Park Relat Disord","language":"eng","note":"PMID: 40256685\nPMCID: PMC12008544","page":"100319","source":"PubMed","title":"The vestibulo-ocular and vestibulospinal reflexes minimally impact the freezing of gait in patients with early-to-moderate Parkinson's disease","volume":"12","author":[{"family":"Kim","given":"Yukang"},{"family":"Woo","given":"Tonghoon"},{"family":"Kim","given":"Hanseob"},{"family":"Baik","given":"Kyoungwon"},{"family":"Lee","given":"Sun-Uk"},{"family":"Lee","given":"Chan-Nyoung"},{"family":"Kim","given":"Gerard J."},{"family":"Kwag","given":"Seoui"},{"family":"Park","given":"Hyunsoh"},{"family":"Kim","given":"Ji-Soo"},{"family":"Park","given":"Kun-Woo"}],"issued":{"date-parts":[["2025"]]}}}],"schema":"https://github.com/citation-style-language/schema/raw/master/csl-citation.json"} </w:instrText>
            </w:r>
            <w:r w:rsidRPr="00622F49">
              <w:rPr>
                <w:rFonts w:cstheme="minorHAnsi"/>
                <w:sz w:val="20"/>
                <w:szCs w:val="20"/>
                <w:lang w:val="it-IT"/>
              </w:rPr>
              <w:fldChar w:fldCharType="separate"/>
            </w:r>
            <w:r w:rsidRPr="00622F49">
              <w:rPr>
                <w:rFonts w:ascii="Calibri" w:hAnsi="Calibri" w:cs="Calibri"/>
                <w:kern w:val="0"/>
                <w:sz w:val="20"/>
                <w:szCs w:val="20"/>
                <w:vertAlign w:val="superscript"/>
              </w:rPr>
              <w:t>65</w:t>
            </w:r>
            <w:r w:rsidRPr="00622F49">
              <w:rPr>
                <w:rFonts w:cstheme="minorHAnsi"/>
                <w:sz w:val="20"/>
                <w:szCs w:val="20"/>
                <w:lang w:val="it-IT"/>
              </w:rPr>
              <w:fldChar w:fldCharType="end"/>
            </w:r>
          </w:p>
        </w:tc>
        <w:tc>
          <w:tcPr>
            <w:tcW w:w="369" w:type="pct"/>
          </w:tcPr>
          <w:p w14:paraId="5A29EB67"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1538A351"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38DE062F"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441" w:type="pct"/>
          </w:tcPr>
          <w:p w14:paraId="38A015E9"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70756781"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6310B43A"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7" w:type="pct"/>
          </w:tcPr>
          <w:p w14:paraId="12DEF25C"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09" w:type="pct"/>
          </w:tcPr>
          <w:p w14:paraId="0E046C5F"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423" w:type="pct"/>
          </w:tcPr>
          <w:p w14:paraId="5ABE2DC9"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r>
      <w:tr w:rsidR="00B90FC8" w:rsidRPr="00622F49" w14:paraId="7C4F11D9" w14:textId="77777777" w:rsidTr="00407C03">
        <w:tc>
          <w:tcPr>
            <w:tcW w:w="1620" w:type="pct"/>
            <w:vAlign w:val="bottom"/>
          </w:tcPr>
          <w:p w14:paraId="14FBCCE6" w14:textId="77777777" w:rsidR="00B90FC8" w:rsidRPr="00622F49" w:rsidRDefault="00B90FC8" w:rsidP="00407C03">
            <w:pPr>
              <w:rPr>
                <w:rFonts w:cstheme="minorHAnsi"/>
                <w:sz w:val="20"/>
                <w:szCs w:val="20"/>
                <w:lang w:val="it-IT"/>
              </w:rPr>
            </w:pPr>
            <w:r w:rsidRPr="00622F49">
              <w:rPr>
                <w:rFonts w:cstheme="minorHAnsi"/>
                <w:sz w:val="20"/>
                <w:szCs w:val="20"/>
                <w:lang w:val="it-IT"/>
              </w:rPr>
              <w:t>Kim et al. 2025b</w:t>
            </w:r>
            <w:r w:rsidRPr="00622F49">
              <w:rPr>
                <w:rFonts w:cstheme="minorHAnsi"/>
                <w:sz w:val="20"/>
                <w:szCs w:val="20"/>
                <w:lang w:val="it-IT"/>
              </w:rPr>
              <w:fldChar w:fldCharType="begin"/>
            </w:r>
            <w:r w:rsidRPr="00622F49">
              <w:rPr>
                <w:rFonts w:cstheme="minorHAnsi"/>
                <w:sz w:val="20"/>
                <w:szCs w:val="20"/>
                <w:lang w:val="it-IT"/>
              </w:rPr>
              <w:instrText xml:space="preserve"> ADDIN ZOTERO_ITEM CSL_CITATION {"citationID":"jVkaAcaI","properties":{"formattedCitation":"\\super 61\\nosupersub{}","plainCitation":"61","noteIndex":0},"citationItems":[{"id":12058,"uris":["http://zotero.org/users/8059477/items/ZAL3HCTN"],"itemData":{"id":12058,"type":"article-journal","abstract":"BACKGROUND: Visuospatial impairment is one of the most frequent cognitive deficits in patients with Parkinson's disease (PD). It remains unknown whether the vestibulo-ocular reflex (VOR) function affects visuospatial perception and memory in patients with PD.\nOBJECTIVE: To delineate the relationship between VOR and visuospatial function in patients with PD.\nMETHODS: We prospectively evaluated video head-impulse tests in 151 patients with PD (mean age   ±  $\\; \\pm \\;$  standard deviation, 68   ±  $\\; \\pm \\;$  9 years; 77 male). All patients conducted the Rey Complex Figure test (RCFT).\nRESULTS: RCFT-copying and RCFT-delayed recall were impaired in 11 (11/151, 7%) and 15 (15/151, 10%) patients, respectively. The VOR gain was normal in 55 patients with PD (55/151, 36%). However, 69 patients overestimated VOR gain for at least one canal, and 34 patients showed a decreased gain for at least one canal (seven patients showed an overestimated gain for some canals and decreased gain for other canals). Multivariable logistic regression analysis showed that abnormal RCFT-copying was negatively associated with the VOR gain for the horizontal canal (odds ratio [OR]: 0.001, 95% confidence interval [CI]: 0.001-0.08, p = 0.007). In contrast, abnormal RCFT-delayed recall was negatively associated with Mini-Mental State Examination scores (0.70, 0.52-0.93, p = 0.013), positively with age (1.11, 1.00-1.22, p = 0.041), male sex (12.82, 1.17-142.86, p = 0.036), years of schooling (1.41, 1.09-1.82, p = 0.009), but not with the VOR gain for any canal.\nCONCLUSIONS: The VOR function may be associated with deficits in visuospatial perception and learning in patients with PD. This implicates the development of more targeted therapeutic interventions and offers insights into the broader implications of PD on sensory-motor integration and cognitive function.","container-title":"Brain and Behavior","DOI":"10.1002/brb3.70453","ISSN":"2162-3279","issue":"4","journalAbbreviation":"Brain Behav","language":"eng","note":"PMID: 40170523\nPMCID: PMC12498219","page":"e70453","source":"PubMed","title":"The Vestibulo-Ocular Reflex is Associated With Visuospatial Dysfunction in Patients With Parkinson's Disease","volume":"15","author":[{"family":"Kim","given":"Yukang"},{"family":"Woo","given":"Tonghoon"},{"family":"Kwag","given":"Seoui"},{"family":"Park","given":"Hyunsoh"},{"family":"Kim","given":"Hanseob"},{"family":"Baik","given":"Kyoungwon"},{"family":"Lee","given":"Sun-Uk"},{"family":"Park","given":"Euyhyun"},{"family":"Lee","given":"Chan-Nyoung"},{"family":"Kim","given":"Gerard J."},{"family":"Kim","given":"Ji-Soo"}],"issued":{"date-parts":[["2025",4]]}}}],"schema":"https://github.com/citation-style-language/schema/raw/master/csl-citation.json"} </w:instrText>
            </w:r>
            <w:r w:rsidRPr="00622F49">
              <w:rPr>
                <w:rFonts w:cstheme="minorHAnsi"/>
                <w:sz w:val="20"/>
                <w:szCs w:val="20"/>
                <w:lang w:val="it-IT"/>
              </w:rPr>
              <w:fldChar w:fldCharType="separate"/>
            </w:r>
            <w:r w:rsidRPr="00622F49">
              <w:rPr>
                <w:rFonts w:ascii="Calibri" w:hAnsi="Calibri" w:cs="Calibri"/>
                <w:kern w:val="0"/>
                <w:sz w:val="20"/>
                <w:szCs w:val="20"/>
                <w:vertAlign w:val="superscript"/>
              </w:rPr>
              <w:t>61</w:t>
            </w:r>
            <w:r w:rsidRPr="00622F49">
              <w:rPr>
                <w:rFonts w:cstheme="minorHAnsi"/>
                <w:sz w:val="20"/>
                <w:szCs w:val="20"/>
                <w:lang w:val="it-IT"/>
              </w:rPr>
              <w:fldChar w:fldCharType="end"/>
            </w:r>
          </w:p>
        </w:tc>
        <w:tc>
          <w:tcPr>
            <w:tcW w:w="369" w:type="pct"/>
          </w:tcPr>
          <w:p w14:paraId="1AF04469"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0E7D341C"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7444BFFB"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441" w:type="pct"/>
          </w:tcPr>
          <w:p w14:paraId="0C85E7AA"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08151265"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2B6F518F"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7" w:type="pct"/>
          </w:tcPr>
          <w:p w14:paraId="68989C82"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09" w:type="pct"/>
          </w:tcPr>
          <w:p w14:paraId="41B924F5"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423" w:type="pct"/>
          </w:tcPr>
          <w:p w14:paraId="76CB9CE6"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r>
      <w:tr w:rsidR="00B90FC8" w:rsidRPr="00622F49" w14:paraId="5A99CAC5" w14:textId="77777777" w:rsidTr="00407C03">
        <w:tc>
          <w:tcPr>
            <w:tcW w:w="1620" w:type="pct"/>
            <w:vAlign w:val="bottom"/>
          </w:tcPr>
          <w:p w14:paraId="006C9A10" w14:textId="77777777" w:rsidR="00B90FC8" w:rsidRPr="00622F49" w:rsidRDefault="00B90FC8" w:rsidP="00407C03">
            <w:pPr>
              <w:rPr>
                <w:rFonts w:cstheme="minorHAnsi"/>
                <w:sz w:val="20"/>
                <w:szCs w:val="20"/>
              </w:rPr>
            </w:pPr>
            <w:r w:rsidRPr="00622F49">
              <w:rPr>
                <w:rFonts w:cstheme="minorHAnsi"/>
                <w:sz w:val="20"/>
                <w:szCs w:val="20"/>
                <w:lang w:val="it-IT"/>
              </w:rPr>
              <w:t>Le et al. 2020</w:t>
            </w:r>
            <w:r w:rsidRPr="00622F49">
              <w:rPr>
                <w:rFonts w:cstheme="minorHAnsi"/>
                <w:sz w:val="20"/>
                <w:szCs w:val="20"/>
                <w:lang w:val="en-GB"/>
              </w:rPr>
              <w:fldChar w:fldCharType="begin"/>
            </w:r>
            <w:r w:rsidRPr="00622F49">
              <w:rPr>
                <w:rFonts w:cstheme="minorHAnsi"/>
                <w:sz w:val="20"/>
                <w:szCs w:val="20"/>
                <w:lang w:val="it-IT"/>
              </w:rPr>
              <w:instrText xml:space="preserve"> ADDIN ZOTERO_ITEM CSL_CITATION {"citationID":"8s7JBj9d","properties":{"formattedCitation":"\\super 41\\nosupersub{}","plainCitation":"41","noteIndex":0},"citationItems":[{"id":11346,"uris":["http://zotero.org/users/8059477/items/AQY6PLLV"],"itemData":{"id":11346,"type":"article-journal","abstract":"BACKGROUND: Exposure to brain injury via blast or blunt mechanisms disrupts multiple sensorimotor systems simultaneously. Large numbers of US Gulf War era and Operation Iraqi/Enduring Freedom veterans with traumatic brain injury (TBI) are suffering the symptom of dizziness - presumed due to \"Multi-Sensory Impairment\", a clinical pattern of damage to the auditory, visual and vestibular sensorimotor systems.\nOBJECTIVE: To describe the oculomotor response to rapid head rotation in a population of veterans with dizziness. We also describe the reliability of using the video head impulse test (vHIT) in a veteran population.\nMETHODS: We used the vHIT to evaluate the vestibular-ocular reflex (VOR) gain and presence of compensatory saccades (CS) in each semicircular canal of 81 veterans (31% TBI) with dizziness. Data was collected using the ICS Otometric™ vHIT. Data was processed using both the Otometric™ software and custom software written in MATLAB™. This data was evaluated through Kruskal-Wallis rank-sum test and analysis of regression.\nRESULTS: Veterans with dizziness recruit CS in all semicircular canal planes even though their VOR gain is normal. The vHIT is a reliable clinical test to quantify the metrics of the VOR and CS in veterans.\nCONCLUSION: Veterans with dizziness symptoms use compensatory saccades in all planes of semicircular canal rotation, despite having normal peripheral VOR gain during rapid head rotation. The video head impulse test is a stable measure of vestibular slow phase and metrics of compensatory saccades in veterans with dizziness.","container-title":"Journal of Vestibular Research: Equilibrium &amp; Orientation","DOI":"10.3233/VES-200692","ISSN":"1878-6464","issue":"1","journalAbbreviation":"J Vestib Res","language":"eng","note":"PMID: 32083608","page":"47-53","source":"PubMed","title":"Veterans with dizziness recruit compensatory saccades in each semicircular canal plane although VOR gain is normal","volume":"30","author":[{"family":"Le","given":"Thuy Tien C."},{"family":"Brewer","given":"Kelly"},{"family":"Serrador","given":"Jorge"},{"family":"Schubert","given":"Michael C."}],"issued":{"date-parts":[["2020"]]}}}],"schema":"https://github.com/citation-style-language/schema/raw/master/csl-citation.json"}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41</w:t>
            </w:r>
            <w:r w:rsidRPr="00622F49">
              <w:rPr>
                <w:rFonts w:cstheme="minorHAnsi"/>
                <w:sz w:val="20"/>
                <w:szCs w:val="20"/>
                <w:lang w:val="en-GB"/>
              </w:rPr>
              <w:fldChar w:fldCharType="end"/>
            </w:r>
          </w:p>
        </w:tc>
        <w:tc>
          <w:tcPr>
            <w:tcW w:w="369" w:type="pct"/>
          </w:tcPr>
          <w:p w14:paraId="615EFE6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4527DC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BB0F23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0E4A2D6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4EBBE1E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8D6BBA1"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00E8DF5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00CDBE6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700DC05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111B9876" w14:textId="77777777" w:rsidTr="00407C03">
        <w:tc>
          <w:tcPr>
            <w:tcW w:w="1620" w:type="pct"/>
            <w:vAlign w:val="bottom"/>
          </w:tcPr>
          <w:p w14:paraId="5904D962" w14:textId="77777777" w:rsidR="00B90FC8" w:rsidRPr="00622F49" w:rsidRDefault="00B90FC8" w:rsidP="00407C03">
            <w:pPr>
              <w:rPr>
                <w:rFonts w:cstheme="minorHAnsi"/>
                <w:sz w:val="20"/>
                <w:szCs w:val="20"/>
              </w:rPr>
            </w:pPr>
            <w:r w:rsidRPr="00622F49">
              <w:rPr>
                <w:rFonts w:cstheme="minorHAnsi"/>
                <w:sz w:val="20"/>
                <w:szCs w:val="20"/>
                <w:lang w:val="en-GB"/>
              </w:rPr>
              <w:t>Lee et al. 2020</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{"citationID":"nEunS34w","properties":{"formattedCitation":"\\super 42\\nosupersub{}","plainCitation":"42","noteIndex":0},"citationItems":[{"id":11348,"uris":["http://zotero.org/users/8059477/items/LM4YSIH4"],"itemData":{"id":11348,"type":"article-journal","abstract":"Evolution of vestibular function requires further elucidation in spinocerebellar ataxia (SCA). This study aimed to determine temporal evolution in the findings of head impulse tests (HITs) in SCA type 6 (SCA6). We serially evaluated HITs in 12 patients with SCA6 using video-oculography for 3 months to 5 years [median = 12 months, interquartile range (IQR) = 9-50] at two university hospitals in South Korea. Patients (8/12, 67%) usually showed abnormal responses at least for one semicircular canal during video-HITs. The gains of the vestibulo-ocular reflex (VOR) for the anterior canals (ACs) were larger than those for the posterior canals (PCs, p = 0.005) at initial presentation. During the follow-up, the VOR gains decreased for the horizontal canals (HCs, p = 0.008) and ACs (p = 0.021), but those for the PCs remained unchanged (p = 0.212). Perverted HITs were observed in seven patients (7/12, 58%). The differences in the head impulse VOR gains were larger between the ACs and PCs (ΔACs - PCs) in those with perverted HITs than in those without (p = 0.003). The gains for each semicircular canal showed a negative correlation with the Scale for the Assessment and Rating of Ataxia (HCs, Spearman's coefficient = - 0.675, p = 0.003; ACs, - 0.637, p = 0.006; PCs, - 0.605, p = 0.010). The head impulse gain of the VOR may serve a marker for clinical decline in SCA6. The dissociation in the temporal evolution of the VOR gain indicates dissimilar cerebellar modulation of the vestibular signals from each semicircular canal.","container-title":"Journal of Neurology","DOI":"10.1007/s00415-020-09756-w","ISSN":"1432-1459","issue":"6","journalAbbreviation":"J Neurol","language":"eng","note":"PMID: 32067125","page":"1672-1678","source":"PubMed","title":"Evolution of the vestibular function during head impulses in spinocerebellar ataxia type 6","volume":"267","author":[{"family":"Lee","given":"Sun-Uk"},{"family":"Kim","given":"Ji-Soo"},{"family":"Kim","given":"Hyo-Jung"},{"family":"Choi","given":"Jeong-Yoon"},{"family":"Park","given":"Ji-Yun"},{"family":"Kim","given":"Jong-Min"},{"family":"Yang","given":"Xu"}],"issued":{"date-parts":[["2020",6]]}}}],"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42</w:t>
            </w:r>
            <w:r w:rsidRPr="00622F49">
              <w:rPr>
                <w:rFonts w:cstheme="minorHAnsi"/>
                <w:sz w:val="20"/>
                <w:szCs w:val="20"/>
                <w:lang w:val="en-GB"/>
              </w:rPr>
              <w:fldChar w:fldCharType="end"/>
            </w:r>
          </w:p>
        </w:tc>
        <w:tc>
          <w:tcPr>
            <w:tcW w:w="369" w:type="pct"/>
          </w:tcPr>
          <w:p w14:paraId="2A145B12"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9F68C8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27A838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211442A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214F0459"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F669CD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4E9B4A5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367F662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507E1C9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2109708F" w14:textId="77777777" w:rsidTr="00407C03">
        <w:tc>
          <w:tcPr>
            <w:tcW w:w="1620" w:type="pct"/>
            <w:vAlign w:val="bottom"/>
          </w:tcPr>
          <w:p w14:paraId="6AB4A4E8" w14:textId="77777777" w:rsidR="00B90FC8" w:rsidRPr="00622F49" w:rsidRDefault="00B90FC8" w:rsidP="00407C03">
            <w:pPr>
              <w:rPr>
                <w:rFonts w:cstheme="minorHAnsi"/>
                <w:sz w:val="20"/>
                <w:szCs w:val="20"/>
              </w:rPr>
            </w:pPr>
            <w:r w:rsidRPr="00622F49">
              <w:rPr>
                <w:rFonts w:cstheme="minorHAnsi"/>
                <w:sz w:val="20"/>
                <w:szCs w:val="20"/>
                <w:lang w:val="en-GB"/>
              </w:rPr>
              <w:t>Lemos et al. 2021</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{"citationID":"kPk1wU9p","properties":{"formattedCitation":"\\super 43\\nosupersub{}","plainCitation":"43","noteIndex":0},"citationItems":[{"id":11350,"uris":["http://zotero.org/users/8059477/items/C6JICYSX"],"itemData":{"id":11350,"type":"article-journal","abstract":"While dynamic ocular motor abnormalities (e.g., gaze-evoked nystagmus (GEN), low optokinetic nystagmus (OKN), pursuit and vestibulo-ocular reflex (VOR) gains, and dysmetric saccades) have been shown to be potential biomarkers in spinocerebellar ataxia type 3 (SCA3), the value of static abnormalities (e.g., convergent [esodeviation] and divergent strabismus [exodeviation]) is unknown. Moreover, studies on dynamic abnormalities in SCA3 usually do not take into account the existence of potential abduction-adduction asymmetries in patients with degenerative ataxia. Thirty-eight patients with genetically confirmed SCA3 (24 females; mean age ± SD, 49.8± 12.2 years) and 22 healthy controls (12 females, p = 0.589; mean age ± SD, 50.7± 12.5 years, p = 0.651) underwent clinical and video-oculographic assessment. A p value &lt; 0.002 (between- and within-group analyses) and &lt; 0.001 (correlation analysis) was considered significant. Patients showed larger esodeviation at distance (p &lt; 0.001), became more esodeviated in lateral gaze (p &lt; 0.001), and their near exodeviation correlated with scale for the assessment and rating of ataxia (SARA) score (p = 0.004). Pursuit, OKN, and VOR gains were lower in patients, both for their adducting and abducting components (p &lt; 0.001). Saccades showed higher velocities (p &lt; 0.001), abducting saccades showed lower amplitude (p &lt; 0.001), and adducting saccades tended to show greater vertical bias (p = 0.018) in patients. Abducting saccades showed relatively lower velocity (p &lt; 0.001) and lower amplitude (p = 0.015) than abducting saccades within patients. All dynamic ocular motor abnormalities except saccades correlated with SARA score, CAG repeat number, and/or disease duration (p &lt; 0.001). Static and dynamic ocular motor abnormalities are potential biomarkers in SCA3. SCA3 studies using saccades should take into account the existence of potential abduction-adduction asymmetries.","container-title":"Cerebellum (London, England)","DOI":"10.1007/s12311-020-01217-4","ISSN":"1473-4230","issue":"3","journalAbbreviation":"Cerebellum","language":"eng","note":"PMID: 33215370","page":"402-409","source":"PubMed","title":"Static and Dynamic Ocular Motor Abnormalities as Potential Biomarkers in Spinocerebellar Ataxia Type 3","volume":"20","author":[{"family":"Lemos","given":"João"},{"family":"Novo","given":"Ana"},{"family":"Duque","given":"Cristina"},{"family":"Cunha","given":"Inês"},{"family":"Ribeiro","given":"Joana"},{"family":"Castelhano","given":"João"},{"family":"Januário","given":"Cristina"}],"issued":{"date-parts":[["2021",6]]}}}],"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43</w:t>
            </w:r>
            <w:r w:rsidRPr="00622F49">
              <w:rPr>
                <w:rFonts w:cstheme="minorHAnsi"/>
                <w:sz w:val="20"/>
                <w:szCs w:val="20"/>
                <w:lang w:val="en-GB"/>
              </w:rPr>
              <w:fldChar w:fldCharType="end"/>
            </w:r>
          </w:p>
        </w:tc>
        <w:tc>
          <w:tcPr>
            <w:tcW w:w="369" w:type="pct"/>
          </w:tcPr>
          <w:p w14:paraId="2F27416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005068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2BD92BE9"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441" w:type="pct"/>
          </w:tcPr>
          <w:p w14:paraId="45765792"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80A524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F03709D"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72043CC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279CA75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3FCC70A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34C4440A" w14:textId="77777777" w:rsidTr="00407C03">
        <w:tc>
          <w:tcPr>
            <w:tcW w:w="1620" w:type="pct"/>
            <w:vAlign w:val="bottom"/>
          </w:tcPr>
          <w:p w14:paraId="022FEDE7" w14:textId="77777777" w:rsidR="00B90FC8" w:rsidRPr="00622F49" w:rsidRDefault="00B90FC8" w:rsidP="00407C03">
            <w:pPr>
              <w:rPr>
                <w:rFonts w:cstheme="minorHAnsi"/>
                <w:sz w:val="20"/>
                <w:szCs w:val="20"/>
              </w:rPr>
            </w:pPr>
            <w:r w:rsidRPr="00622F49">
              <w:rPr>
                <w:rFonts w:cstheme="minorHAnsi"/>
                <w:sz w:val="20"/>
                <w:szCs w:val="20"/>
                <w:lang w:val="en-GB"/>
              </w:rPr>
              <w:t>Luis et al. 2016</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{"citationID":"z8K2eL83","properties":{"formattedCitation":"\\super 44\\nosupersub{}","plainCitation":"44","noteIndex":0},"citationItems":[{"id":11352,"uris":["http://zotero.org/users/8059477/items/KBWBU8YM"],"itemData":{"id":11352,"type":"article-journal","abstract":"OBJECTIVE: Although the diagnosis of inherited ataxias is ultimately genetic, this usually means an extensive and expensive process. This justifies the search for distinct clinical signs that may potentially help orient molecular diagnosis.\nMETHODS: We explored the vestibulo-ocular reflex (VOR) with the video Head Impulse Test in patients diagnosed with spinocerebellar ataxia (SCA) type 3 (n = 15), type 1 (n = 4) and type 2 (n = 4), Friedreich's ataxia (FA) (n = 9) and healthy controls (n = 40). We estimated the latency, regression (VORr) and instantaneous VOR gain at 40, 60 and 80 ms (VOR40, VOR60 and VOR80), and determined the latency, peak-velocity and occurrence rate of catch-up saccades triggered with head-impulses.\nRESULTS: VOR latency was higher in FA (p &lt; 0.001) and SCA3 (p = 0.02) as compared to controls, discriminating FA from other ataxic patients with an overall diagnostic accuracy of 88%. VORr, VOR40 and VOR60 were significantly lower in FA and SCA3 (p &lt; 0.01). VOR80 was only significantly lower than controls in SCA3 (p &lt; 0.01), discriminating these from other ataxic patients with an overall diagnostic accuracy of 78%. Covert saccades were only triggered in SCA3 but with low occurrence rate and peak velocity (11.1 ± 28.5% and 77.50 ± 15.30°/s) whereas overt saccades were present in all groups. VORr gain showed a negative correlation with disease severity evaluated with SARA (Spearman r = -0.46, p = 0.01).\nCONCLUSIONS: vHIT provides phenotypic information that differentiates these autosomal ataxias and can serve as a strategy to orient genetic diagnosis. A correlation between VOR and SARA raises the possibility of using VOR gain as a neurophysiologic biomarker for disease severity.","container-title":"Journal of Vestibular Research: Equilibrium &amp; Orientation","DOI":"10.3233/VES-160579","ISSN":"1878-6464","issue":"3","journalAbbreviation":"J Vestib Res","language":"eng","note":"PMID: 27392837","page":"327-334","source":"PubMed","title":"Vestibulo-ocular reflex dynamics with head-impulses discriminates spinocerebellar ataxias types 1, 2 and 3 and Friedreich ataxia","volume":"26","author":[{"family":"Luis","given":"L."},{"family":"Costa","given":"J."},{"family":"Muñoz","given":"E."},{"family":"Carvalho","given":"M.","non-dropping-particle":"de"},{"family":"Carmona","given":"S."},{"family":"Schneider","given":"E."},{"family":"Gordon","given":"C. R."},{"family":"Valls-Solé","given":"J."}],"issued":{"date-parts":[["2016",7,2]]}}}],"schema":"https://github.com/citation-style-language/schema/raw/master/csl-citation.json"}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44</w:t>
            </w:r>
            <w:r w:rsidRPr="00622F49">
              <w:rPr>
                <w:rFonts w:cstheme="minorHAnsi"/>
                <w:sz w:val="20"/>
                <w:szCs w:val="20"/>
                <w:lang w:val="en-GB"/>
              </w:rPr>
              <w:fldChar w:fldCharType="end"/>
            </w:r>
          </w:p>
        </w:tc>
        <w:tc>
          <w:tcPr>
            <w:tcW w:w="369" w:type="pct"/>
          </w:tcPr>
          <w:p w14:paraId="03C66321"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CD5A2E8"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Pr>
          <w:p w14:paraId="5AD79EC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1CF2F044"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Pr>
          <w:p w14:paraId="2EF82E7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021BECF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045F8A9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605587A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4C42ABC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2EBF6E6F" w14:textId="77777777" w:rsidTr="00407C03">
        <w:tc>
          <w:tcPr>
            <w:tcW w:w="1620" w:type="pct"/>
            <w:vAlign w:val="bottom"/>
          </w:tcPr>
          <w:p w14:paraId="6872F232" w14:textId="77777777" w:rsidR="00B90FC8" w:rsidRPr="00622F49" w:rsidRDefault="00B90FC8" w:rsidP="00407C03">
            <w:pPr>
              <w:rPr>
                <w:rFonts w:cstheme="minorHAnsi"/>
                <w:sz w:val="20"/>
                <w:szCs w:val="20"/>
              </w:rPr>
            </w:pPr>
            <w:r w:rsidRPr="00622F49">
              <w:rPr>
                <w:rFonts w:cstheme="minorHAnsi"/>
                <w:sz w:val="20"/>
                <w:szCs w:val="20"/>
                <w:lang w:val="en-GB"/>
              </w:rPr>
              <w:t>Lv et al. 2017</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{"citationID":"vkeuVLYO","properties":{"formattedCitation":"\\super 45\\nosupersub{}","plainCitation":"45","noteIndex":0},"citationItems":[{"id":11354,"uris":["http://zotero.org/users/8059477/items/F46IDIQH"],"itemData":{"id":11354,"type":"article-journal","abstract":"BACKGROUND: Parkinson's disease (PD) is a common neurodegenerative disease characterized by dopaminergic neuronal loss. The underlying cause of PD is unknown.\nOBJECTIVE: To assess the clinical relevance of vestibular-ocular reflex (VOR) gain in patients with PD, especially those in the early stages.\nMETHODS: Sixty-three PD patients and 56 control healthy individuals were enrolled in this study between Mar 2015 and Aug 2015. VOR gains were determined by video head impulse test (vHIT) device. Statistical analysis was performed to assess the difference in VOR gains between PD patients and normal people. The relationship of VOR gain with age, duration and severity of disease was also assessed.\nRESULTS: In the control group, average VOR gain was 0.98±0.09 on the left side and 0.99±0.16 on the right side. No statistically significant difference was observed between the two sides in the control group (P&gt;0.05). In the PD group, average VOR gain was 1.20±0.22 on the left side and 1.23±0.23 on the right side. No statistically significant difference was observed between the two sides in the PD group (P&gt;0.05). There was a significant difference in VOR gain between the PD (both in early and mid-late stages) and the control group (P&lt;0.05). A weak correlation was observed between VOR gain and the motor Unified Parkinson Disease Rating Scale score. No correlation of VOR gain with age, duration of disease or the Hoehn and Yahr Scale score was observed. VOR gains in PD patients were found to be higher than normal, especially in the early stages of the disease.\nCONCLUSION: vHIT is a potential tool to determine the VOR gain in PD patients and may help detect PD at an early stage.","container-title":"Neuroscience Letters","DOI":"10.1016/j.neulet.2017.08.021","ISSN":"1872-7972","journalAbbreviation":"Neurosci Lett","language":"eng","note":"PMID: 28807728","page":"211-214","source":"PubMed","title":"Vestibulo-ocular reflex abnormality in Parkinson's disease detected by video head impulse test","volume":"657","author":[{"family":"Lv","given":"Wen"},{"family":"Guan","given":"Qiongfeng"},{"family":"Hu","given":"Xingyue"},{"family":"Chen","given":"Jiaqi"},{"family":"Jiang","given":"Hong"},{"family":"Zhang","given":"Lisan"},{"family":"Fan","given":"Weinv"}],"issued":{"date-parts":[["2017",9,14]]}}}],"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45</w:t>
            </w:r>
            <w:r w:rsidRPr="00622F49">
              <w:rPr>
                <w:rFonts w:cstheme="minorHAnsi"/>
                <w:sz w:val="20"/>
                <w:szCs w:val="20"/>
                <w:lang w:val="en-GB"/>
              </w:rPr>
              <w:fldChar w:fldCharType="end"/>
            </w:r>
          </w:p>
        </w:tc>
        <w:tc>
          <w:tcPr>
            <w:tcW w:w="369" w:type="pct"/>
          </w:tcPr>
          <w:p w14:paraId="1CC25BB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744E5AD"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92BFD28"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441" w:type="pct"/>
          </w:tcPr>
          <w:p w14:paraId="079BC32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7D9B281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445D70D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4FBEBF6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63C176F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0FFE6D9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5AB3E05E" w14:textId="77777777" w:rsidTr="00407C03">
        <w:tc>
          <w:tcPr>
            <w:tcW w:w="1620" w:type="pct"/>
            <w:vAlign w:val="bottom"/>
          </w:tcPr>
          <w:p w14:paraId="00FC68BA" w14:textId="77777777" w:rsidR="00B90FC8" w:rsidRPr="00622F49" w:rsidRDefault="00B90FC8" w:rsidP="00407C03">
            <w:pPr>
              <w:rPr>
                <w:rFonts w:cstheme="minorHAnsi"/>
                <w:sz w:val="20"/>
                <w:szCs w:val="20"/>
              </w:rPr>
            </w:pPr>
            <w:r w:rsidRPr="00622F49">
              <w:rPr>
                <w:rFonts w:cstheme="minorHAnsi"/>
                <w:sz w:val="20"/>
                <w:szCs w:val="20"/>
                <w:lang w:val="en-GB"/>
              </w:rPr>
              <w:t>Millar et al. 2022</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{"citationID":"ljUMXxuR","properties":{"formattedCitation":"\\super 46\\nosupersub{}","plainCitation":"46","noteIndex":0},"citationItems":[{"id":11358,"uris":["http://zotero.org/users/8059477/items/TARSI4V4"],"itemData":{"id":11358,"type":"article-journal","abstract":"BACKGROUND: Patients with cerebellar ataxia report oscillopsia, \"bouncy vision\" during activity, yet little is known how this impacts daily function. The purpose of this study was to quantify the magnitude of oscillopsia and investigate its relation to vestibulo-ocular reflex (VOR) function and daily activity in cerebellar ataxia.\nMETHODS: 19 patients diagnosed with cerebellar ataxia and reports of oscillopsia with activity were examined using the video head impulse test (vHIT), Oscillopsia Functional Index (OFI), and clinical gait measures. Video head impulse data was compared against 40 healthy controls.\nRESULTS: OFI scores in ataxia patients were severe and inversely correlated with gait velocity (r = -0.55, p &lt; 0.05), but did not correlate with VOR gains. The mean VOR gain in the ataxic patients was significantly reduced and more varied compared with healthy controls. All patients had abnormal VOR gains and eye/head movement patterns in at least one semicircular canal during VHIT with passive head rotation.\nCONCLUSIONS: Patients with cerebellar ataxia and oscillopsia have impaired VOR gains, yet severity of oscillopsia and VOR gains are not correlated. Patients with cerebellar ataxia have abnormal oculomotor behavior during passive head rotation that is correlated with gait velocity, but not magnitude of oscillopsia.","container-title":"Journal of Vestibular Research: Equilibrium &amp; Orientation","DOI":"10.3233/VES-210106","ISSN":"1878-6464","issue":"4","journalAbbreviation":"J Vestib Res","language":"eng","note":"PMID: 34897108","page":"381-388","source":"PubMed","title":"Report of oscillopsia in ataxia patients correlates with activity, not vestibular ocular reflex gain","volume":"32","author":[{"family":"Millar","given":"Jennifer L."},{"family":"Schubert","given":"Michael C."}],"issued":{"date-parts":[["2022"]]}}}],"schema":"https://github.com/citation-style-language/schema/raw/master/csl-citation.json"}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46</w:t>
            </w:r>
            <w:r w:rsidRPr="00622F49">
              <w:rPr>
                <w:rFonts w:cstheme="minorHAnsi"/>
                <w:sz w:val="20"/>
                <w:szCs w:val="20"/>
                <w:lang w:val="en-GB"/>
              </w:rPr>
              <w:fldChar w:fldCharType="end"/>
            </w:r>
          </w:p>
        </w:tc>
        <w:tc>
          <w:tcPr>
            <w:tcW w:w="369" w:type="pct"/>
          </w:tcPr>
          <w:p w14:paraId="6E4A5739"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50113A1"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055AD87D"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092FF47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0FC1ACB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40C4A51"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368BCAB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2BED68D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4DDAB739"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6BF8E4F1" w14:textId="77777777" w:rsidTr="00407C03">
        <w:tc>
          <w:tcPr>
            <w:tcW w:w="1620" w:type="pct"/>
            <w:vAlign w:val="bottom"/>
          </w:tcPr>
          <w:p w14:paraId="41B36E1C" w14:textId="77777777" w:rsidR="00B90FC8" w:rsidRPr="00622F49" w:rsidRDefault="00B90FC8" w:rsidP="00407C03">
            <w:pPr>
              <w:rPr>
                <w:rFonts w:cstheme="minorHAnsi"/>
                <w:sz w:val="20"/>
                <w:szCs w:val="20"/>
              </w:rPr>
            </w:pPr>
            <w:r w:rsidRPr="00622F49">
              <w:rPr>
                <w:rFonts w:cstheme="minorHAnsi"/>
                <w:sz w:val="20"/>
                <w:szCs w:val="20"/>
                <w:lang w:val="en-GB"/>
              </w:rPr>
              <w:t>Oron et al. 2020</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{"citationID":"ZoEiyF3n","properties":{"formattedCitation":"\\super 47\\nosupersub{}","plainCitation":"47","noteIndex":0},"citationItems":[{"id":11360,"uris":["http://zotero.org/users/8059477/items/F2N9AFGE"],"itemData":{"id":11360,"type":"article-journal","abstract":"BACKGROUND: Susac syndrome (retino-cochleo-cerebral vasculopathy, SuS) is an autoimmune endotheliopathy characterized by the clinical triad of encephalopathy, branch retinal artery occlusions and sensorineural hearing loss. In contrast to data regarding auditory function, data measuring vestibular function is sparse and the cervical vestibular-evoked myogenic potentials (cVEMPs).\nOBJECTIVE: To determine whether the video head impulse test (vHIT) can serve as a confirmatory assessment of vestibulocochlear dysfunction in cases of suspected SuS.\nMETHODS: Seven patients diagnosed with SuS underwent pure tone audiometry, a word recognition test, cVEMPs and the vHIT.\nRESULTS: Five patients were diagnosed with definite SuS, and two with probable SuS. Two patients were asymptomatic for hearing loss or tinnitus, and no sensorineural hearing loss was detected by audiograms. Four patients complained of tinnitus, and three patients reported experiencing vertigo. Three patients had abnormal cVEMPs results. All seven patients' vHIT results were normal, except for patient #2, who was one of the three who complained of vertigo. The calculated gain of her left anterior semicircular canal was 0.5, without saccades.\nCONCLUSIONS: This is the first study to describe the results of the vHIT and cVEMPs among a group of patients with SuS. The results suggest that the vHIT should not be the only exam used to assess the function of the vestibular system of SuS patients.","container-title":"Journal of Vestibular Research: Equilibrium &amp; Orientation","DOI":"10.3233/VES-200007","ISSN":"1878-6464","issue":"6","journalAbbreviation":"J Vestib Res","language":"eng","note":"PMID: 33337398","page":"393-399","source":"PubMed","title":"Vestibular function assessment of Susac syndrome patients by the video head impulse test and cervical vestibular-evoked myogenic potentials","volume":"30","author":[{"family":"Oron","given":"Yahav"},{"family":"Handzel","given":"Ophir"},{"family":"Habot-Wilner","given":"Zohar"},{"family":"Regev","given":"Keren"},{"family":"Karni","given":"Arnon"},{"family":"Zur","given":"Dina"},{"family":"Baraquet","given":"Dana"},{"family":"Goldstein","given":"Michaella"},{"family":"Elkayam","given":"Ori"},{"family":"Ungar","given":"Omer J."}],"issued":{"date-parts":[["2020"]]}}}],"schema":"https://github.com/citation-style-language/schema/raw/master/csl-citation.json"}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47</w:t>
            </w:r>
            <w:r w:rsidRPr="00622F49">
              <w:rPr>
                <w:rFonts w:cstheme="minorHAnsi"/>
                <w:sz w:val="20"/>
                <w:szCs w:val="20"/>
                <w:lang w:val="en-GB"/>
              </w:rPr>
              <w:fldChar w:fldCharType="end"/>
            </w:r>
          </w:p>
        </w:tc>
        <w:tc>
          <w:tcPr>
            <w:tcW w:w="369" w:type="pct"/>
          </w:tcPr>
          <w:p w14:paraId="1B93FA9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7016B91"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Pr>
          <w:p w14:paraId="2C88650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0799999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2AA5DE9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85A260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75725B3F"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09" w:type="pct"/>
          </w:tcPr>
          <w:p w14:paraId="3F236544"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423" w:type="pct"/>
          </w:tcPr>
          <w:p w14:paraId="4BF0B26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53329B10" w14:textId="77777777" w:rsidTr="00407C03">
        <w:tc>
          <w:tcPr>
            <w:tcW w:w="1620" w:type="pct"/>
            <w:vAlign w:val="bottom"/>
          </w:tcPr>
          <w:p w14:paraId="4673F559" w14:textId="77777777" w:rsidR="00B90FC8" w:rsidRPr="00622F49" w:rsidRDefault="00B90FC8" w:rsidP="00407C03">
            <w:pPr>
              <w:rPr>
                <w:rFonts w:cstheme="minorHAnsi"/>
                <w:sz w:val="20"/>
                <w:szCs w:val="20"/>
              </w:rPr>
            </w:pPr>
            <w:r w:rsidRPr="00622F49">
              <w:rPr>
                <w:rFonts w:cstheme="minorHAnsi"/>
                <w:sz w:val="20"/>
                <w:szCs w:val="20"/>
                <w:lang w:val="en-GB"/>
              </w:rPr>
              <w:t>Pavlovic et al. 2017</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{"citationID":"xzzRIecq","properties":{"formattedCitation":"\\super 48\\nosupersub{}","plainCitation":"48","noteIndex":0},"citationItems":[{"id":11362,"uris":["http://zotero.org/users/8059477/items/JX3IBEVX"],"itemData":{"id":11362,"type":"article-journal","abstract":"BACKGROUND: The aim of this study was to investigate the potential role of video head impulse test (vHIT) in the detection of brainstem lesions in patients with multiple sclerosis (MS).\nMETHODS: Sixty-eight participants were enrolled and divided into two groups: 39 healthy subjects (HC) (78 ears, 20 females, mean age 25,3±6,3) and 29 MS patients (58 ears, 14 females, mean age 33,7±7,7). Both groups underwent vHIT, and in MS group MRI was analyzed for the presence of brainstem lesions. vHIT pathology was defined as presence of overt saccades (&lt;200ms) or lateral gain lower than 0.8 for lateral canal, and presence of overt saccades (&lt;200ms) or posterior/anterior slope lower than 0.7.\nRESULTS: In HC, decreased gain on horizontal canals was found in 8 out of 78 ears (11%), while 16 out of 58 ears (38%) had pathological results in the MS group. Mean gain of the lateral canals (60ms) was significantly reduced in MS group compared to HC (0.874±0143 vs. 0.954±0,170, p=0.004, respectively). Compared to HC overt saccades &lt;200ms in the lateral canals (p=0.018) and in the posterior canals (p=0.011), overt saccades &gt;200ms in lateral (p&lt;0.001), anterior (p=0.019) and posterior canals (p=0.009), and covert saccades in the anterior (p=0.042) and posterior canals (p=0.046) were more frequent in the MS group. There was statistically significant association between the presence of BS MR lesions and bilateral pathology on vHIT for lateral semicircular canal (χ(1)=3.982, p=0.046).\nCONCLUSION: These results indicate that vHIT can detect brainstem dysfunction in patients with MS.","container-title":"Multiple Sclerosis and Related Disorders","DOI":"10.1016/j.msard.2017.04.001","ISSN":"2211-0356","journalAbbreviation":"Mult Scler Relat Disord","language":"eng","note":"PMID: 28619435","page":"68-71","source":"PubMed","title":"Video head impulse test can detect brainstem dysfunction in multiple sclerosis","volume":"14","author":[{"family":"Pavlović","given":"Ivan"},{"family":"Ruška","given":"Berislav"},{"family":"Pavičić","given":"Tin"},{"family":"Krbot Skorić","given":"Magdalena"},{"family":"Crnošija","given":"Luka"},{"family":"Adamec","given":"Ivan"},{"family":"Habek","given":"Mario"}],"issued":{"date-parts":[["2017",5]]}}}],"schema":"https://github.com/citation-style-language/schema/raw/master/csl-citation.json"}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48</w:t>
            </w:r>
            <w:r w:rsidRPr="00622F49">
              <w:rPr>
                <w:rFonts w:cstheme="minorHAnsi"/>
                <w:sz w:val="20"/>
                <w:szCs w:val="20"/>
                <w:lang w:val="en-GB"/>
              </w:rPr>
              <w:fldChar w:fldCharType="end"/>
            </w:r>
          </w:p>
        </w:tc>
        <w:tc>
          <w:tcPr>
            <w:tcW w:w="369" w:type="pct"/>
          </w:tcPr>
          <w:p w14:paraId="699844A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18E9509"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25F82FF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3D56062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2837E38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0321BE6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4092BDB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58846A0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6AE44B8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4150154C" w14:textId="77777777" w:rsidTr="00407C03">
        <w:tc>
          <w:tcPr>
            <w:tcW w:w="1620" w:type="pct"/>
            <w:vAlign w:val="bottom"/>
          </w:tcPr>
          <w:p w14:paraId="57739BFD" w14:textId="77777777" w:rsidR="00B90FC8" w:rsidRPr="00622F49" w:rsidRDefault="00B90FC8" w:rsidP="00407C03">
            <w:pPr>
              <w:rPr>
                <w:rFonts w:cstheme="minorHAnsi"/>
                <w:sz w:val="20"/>
                <w:szCs w:val="20"/>
              </w:rPr>
            </w:pPr>
            <w:r w:rsidRPr="00622F49">
              <w:rPr>
                <w:rFonts w:cstheme="minorHAnsi"/>
                <w:sz w:val="20"/>
                <w:szCs w:val="20"/>
                <w:lang w:val="en-GB"/>
              </w:rPr>
              <w:t>Scarpa et al. 2020</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{"citationID":"cWHyf5TW","properties":{"formattedCitation":"\\super 49\\nosupersub{}","plainCitation":"49","noteIndex":0},"citationItems":[{"id":11365,"uris":["http://zotero.org/users/8059477/items/TV4LHNAD"],"itemData":{"id":11365,"type":"article-journal","abstract":"INTRODUCTION: Vertigo and disequilibrium are common symptoms in idiopathic Parkinson's disease (PD) and in Multiple System Atrophy (MSA). Hearing loss has been recently recognized as an additional non-motor feature in PD. The aim of this study is to evaluate audio-vestibular function in patients affected by PD and MSA.\nMETHODS: Fifteen patients with PD, 16 patients with MSA and 20 age-matched healthy controls (HC) were enrolled. Audio-vestibular examination included pure-tone audiometry (PTA), vestibular bed-side examination, video Head Impulse Test (vHIT), and cervical Vestibular-Evoked Myogenic Potentials (cVEMPs).\nRESULTS: PD and MSA patients showed worse PTA thresholds compared to HC at high frequencies. MSA patients showed worse PTA thresholds at 125 Hz compared to HC. In patients with PD, a direct correlation between disease duration and PTA thresholds was found at 2000 Hz and 4000 Hz. In patients with MSA, disease duration was directly related to PTA thresholds at 125 Hz and 250 Hz. Among PD patients, cVEMPs were absent bilaterally in 46.7% and unilaterally in 13.3% of the subjects. Among MSA patients, cVEMPs were absent bilaterally in 26.7% and unilaterally in 40% of the subjects; p13 latency was significantly increased in PD patients as compared to HC. A significant inverse relationship was found between disease duration and cVEMP amplitude in MSA patients.\nCONCLUSION: We found that high-frequency hearing loss and cVEMP abnormalities are frequent features of both MSA and PD, suggesting that an audio-vestibular dysfunction may be present in these patients even in the absence of self-reported auditory or vestibular symptoms.","container-title":"Parkinsonism &amp; Related Disorders","DOI":"10.1016/j.parkreldis.2020.01.018","ISSN":"1873-5126","journalAbbreviation":"Parkinsonism Relat Disord","language":"eng","note":"PMID: 32032926","page":"51-57","source":"PubMed","title":"A comparison of auditory and vestibular dysfunction in Parkinson's disease and Multiple System Atrophy","volume":"71","author":[{"family":"Scarpa","given":"Alfonso"},{"family":"Cassandro","given":"Claudia"},{"family":"Vitale","given":"Carmine"},{"family":"Ralli","given":"Massimo"},{"family":"Policastro","given":"Alessandra"},{"family":"Barone","given":"Paolo"},{"family":"Cassandro","given":"Ettore"},{"family":"Pellecchia","given":"Maria Teresa"}],"issued":{"date-parts":[["2020",2]]}}}],"schema":"https://github.com/citation-style-language/schema/raw/master/csl-citation.json"}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49</w:t>
            </w:r>
            <w:r w:rsidRPr="00622F49">
              <w:rPr>
                <w:rFonts w:cstheme="minorHAnsi"/>
                <w:sz w:val="20"/>
                <w:szCs w:val="20"/>
                <w:lang w:val="en-GB"/>
              </w:rPr>
              <w:fldChar w:fldCharType="end"/>
            </w:r>
          </w:p>
        </w:tc>
        <w:tc>
          <w:tcPr>
            <w:tcW w:w="369" w:type="pct"/>
          </w:tcPr>
          <w:p w14:paraId="0934175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2E6F7989"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059640F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7046B5B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3B62EF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F34420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72D6A66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2FBB2B7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3A7F50E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5EEFFFA6" w14:textId="77777777" w:rsidTr="00407C03">
        <w:tc>
          <w:tcPr>
            <w:tcW w:w="1620" w:type="pct"/>
            <w:vAlign w:val="bottom"/>
          </w:tcPr>
          <w:p w14:paraId="384DDADA" w14:textId="77777777" w:rsidR="00B90FC8" w:rsidRPr="00622F49" w:rsidRDefault="00B90FC8" w:rsidP="00407C03">
            <w:pPr>
              <w:rPr>
                <w:rFonts w:cstheme="minorHAnsi"/>
                <w:sz w:val="20"/>
                <w:szCs w:val="20"/>
                <w:lang w:val="en-GB"/>
              </w:rPr>
            </w:pPr>
            <w:r w:rsidRPr="00622F49">
              <w:rPr>
                <w:rFonts w:cstheme="minorHAnsi"/>
                <w:sz w:val="20"/>
                <w:szCs w:val="20"/>
                <w:lang w:val="en-GB"/>
              </w:rPr>
              <w:t>Sonkaya et al. 2024</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{"citationID":"dKm37idS","properties":{"formattedCitation":"\\super 66\\nosupersub{}","plainCitation":"66","noteIndex":0},"citationItems":[{"id":12069,"uris":["http://zotero.org/users/8059477/items/6SK8QISB"],"itemData":{"id":12069,"type":"article-journal","abstract":"BACKGROUND AND PURPOSE: Parkinson's disease (PD) is the most common movement disorder and the second most common neurodegenerative disease of the central nervous system. Dizziness is frequently reported by PD patients, yet there is a paucity of research focusing on the vestibulo-ocular reflex (VOR) in this population using high-frequency vestibular testing. This study aims to investigate the VOR in individuals with PD using the video head thrust test with and without suppression.\nMETHODS: Forty individuals with PD and 40 healthy individuals were included in the study. According to the Hoehn-Yahr Scale, individuals with PD were defined as early stage with a score of 1-2.5 and middle to late stage with a score of 3 to 5. The Head Impulse Testing Paradigm (HIMP) and Suppression Head Impulse Testing Paradigm (SHIMP) were applied to all individuals.\nRESULTS: No statistically significant difference was observed between the PD group and the control group in terms of semicircular canal (SCC) gains in both HIMP and SHIMP tests. No catch-up saccades were observed in the right anterior, right posterior, left anterior, and left posterior SCC planes in the PD and control groups. However, in the right lateral SCC plane 32 patients in the PD group had saccades, while 8 patients in the control group had saccades. In the left lateral SCC plane, 32 patients in the PD group and 9 patients in the control group had catch-up saccades. A statistically significant difference was observed in the number and amplitude of saccades in the right and left lateral SCC planes compared to the control group (p&lt;0.05). In addition, in the PD group, the amplitude, peak velocity, and latency of the anticompensatory saccades seen in SHIMP showed a statistically significant difference compared to the control group (p&lt;0.05).\nCONCLUSION: VOR in the vertical SCC plane was not affected in individuals with PD. However, VOR in the lateral SCC plane was affected. It was concluded that when evaluating VOR with both HIMP and SHIMP in individuals with PD, the presence of catch-up saccades should be focused on and evaluated for possible vestibular dysfunction, even though SCC gains are normal. This study will contribute to a deeper understanding of vestibular function in PD, potentially informing better management strategies for dizziness in this population.","container-title":"Ideggyogyaszati Szemle","DOI":"10.18071/isz.77.0295","ISSN":"0019-1442","issue":"9-10","journalAbbreviation":"Ideggyogy Sz","language":"eng","note":"PMID: 39352262","page":"295-301","source":"PubMed","title":"Role of the video head impulse test in the evaluation of vestibulo-ocular reflex in individuals with Parkinson's disease","volume":"77","author":[{"family":"Sonkaya","given":"Riza"},{"family":"Karababa","given":"Ercan"},{"family":"Bozkurt","given":"Hatice Kübra"},{"family":"Satar","given":"Bülent"}],"issued":{"date-parts":[["2024",9,30]]}}}],"schema":"https://github.com/citation-style-language/schema/raw/master/csl-citation.json"}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66</w:t>
            </w:r>
            <w:r w:rsidRPr="00622F49">
              <w:rPr>
                <w:rFonts w:cstheme="minorHAnsi"/>
                <w:sz w:val="20"/>
                <w:szCs w:val="20"/>
                <w:lang w:val="en-GB"/>
              </w:rPr>
              <w:fldChar w:fldCharType="end"/>
            </w:r>
          </w:p>
        </w:tc>
        <w:tc>
          <w:tcPr>
            <w:tcW w:w="369" w:type="pct"/>
          </w:tcPr>
          <w:p w14:paraId="1DD1B9A9"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11CC416B"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63F6621D"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441" w:type="pct"/>
          </w:tcPr>
          <w:p w14:paraId="7E1ECDDF"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7ECCCDF5"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12062A37"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7" w:type="pct"/>
          </w:tcPr>
          <w:p w14:paraId="118E3D5A"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09" w:type="pct"/>
          </w:tcPr>
          <w:p w14:paraId="18D4501C"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423" w:type="pct"/>
          </w:tcPr>
          <w:p w14:paraId="2411EE4F"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r>
      <w:tr w:rsidR="00B90FC8" w:rsidRPr="00622F49" w14:paraId="0B694782" w14:textId="77777777" w:rsidTr="00407C03">
        <w:tc>
          <w:tcPr>
            <w:tcW w:w="1620" w:type="pct"/>
            <w:vAlign w:val="bottom"/>
          </w:tcPr>
          <w:p w14:paraId="382F70ED" w14:textId="77777777" w:rsidR="00B90FC8" w:rsidRPr="00622F49" w:rsidRDefault="00B90FC8" w:rsidP="00407C03">
            <w:pPr>
              <w:rPr>
                <w:rFonts w:cstheme="minorHAnsi"/>
                <w:sz w:val="20"/>
                <w:szCs w:val="20"/>
              </w:rPr>
            </w:pPr>
            <w:r w:rsidRPr="00622F49">
              <w:rPr>
                <w:rFonts w:cstheme="minorHAnsi"/>
                <w:sz w:val="20"/>
                <w:szCs w:val="20"/>
                <w:lang w:val="en-GB"/>
              </w:rPr>
              <w:t>Surmeli et al. 2020a</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{"citationID":"zsKCKNIx","properties":{"formattedCitation":"\\super 51\\nosupersub{}","plainCitation":"51","noteIndex":0},"citationItems":[{"id":11369,"uris":["http://zotero.org/users/8059477/items/K7ATG26P"],"itemData":{"id":11369,"type":"article-journal","abstract":"Epileptic vertigo is often a diagnostic problem. We aimed to present the clinical and electrophysiological features of patients with epileptic vertigo with a view to addressing the pathophysiology of this rare aura symptom. Nine epileptic vertigo patients were included in the study. All patients were subjected to neuro-otologic examination, interictal electroencephalogram (EEG), audiogram, cervical vestibular evoked myogenic potential testing (cVEMP), video head impulse testing (vHIT) and brain magnetic resonance imaging (MRI). Eight patients described their aura as epileptic vertigo and one as dizziness. In three patients, auditory hallucinations preceded epileptic vertigo. The semiology of epileptic vertigo was true vertigo in five patients, vertigo with nausea in two patients and vertigo with hearing loss in one patient. Two patients suffered from focal seizures, and in seven patients the seizures were evaluated as focal to bilateral tonic-clonic seizures. MRI was normal in all patients. EEG was abnormal in all cases and showed high-voltage spike or spike-slow-wave complexes, or both, located more frequently in the temporal region, more left than right. On vHIT examination, abnormal responses were recorded bilaterally or unilaterally in five patients. Similarly, cVEMP revealed no response bilaterally or unilaterally in five patients. In three patients, the side of no response to cVEMP corresponded to the side of epileptiform pathology based on EEG. Two patients with bilateral abnormalities on EEG showed bilateral abnormalities either on cVEMP or vHIT, or on both. Taken together, these findings support the involvement of the brainstem connections of the peripheral vestibular system in vertiginous epilepsy. The pathological results of vestibular tests in the majority of our patients, combined with the EEG abnormalities, support the hypothesis of system epilepsies which is based on the dysfunction of specific neural systems.","container-title":"Epileptic Disorders: International Epilepsy Journal with Videotape","DOI":"10.1684/epd.2020.1232","ISSN":"1950-6945","issue":"6","journalAbbreviation":"Epileptic Disord","language":"eng","note":"PMID: 33361018","page":"775-781","source":"PubMed","title":"Vertiginous epilepsy: documentation of clinical and electrophysiological findings of nine patients","title-short":"Vertiginous epilepsy","volume":"22","author":[{"family":"Surmeli","given":"Reyhan"},{"family":"Yalcin","given":"Ayse Destina"},{"family":"Surmeli","given":"Mehmet"},{"family":"Gunay","given":"Gozde"}],"issued":{"date-parts":[["2020",12,1]]}}}],"schema":"https://github.com/citation-style-language/schema/raw/master/csl-citation.json"}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51</w:t>
            </w:r>
            <w:r w:rsidRPr="00622F49">
              <w:rPr>
                <w:rFonts w:cstheme="minorHAnsi"/>
                <w:sz w:val="20"/>
                <w:szCs w:val="20"/>
                <w:lang w:val="en-GB"/>
              </w:rPr>
              <w:fldChar w:fldCharType="end"/>
            </w:r>
          </w:p>
        </w:tc>
        <w:tc>
          <w:tcPr>
            <w:tcW w:w="369" w:type="pct"/>
          </w:tcPr>
          <w:p w14:paraId="0F0C03F9"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B01330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810AAD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1277565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07375B9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71C059A2"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7B3B902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37158B52"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508EA55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24B0A05C" w14:textId="77777777" w:rsidTr="00407C03">
        <w:tc>
          <w:tcPr>
            <w:tcW w:w="1620" w:type="pct"/>
            <w:vAlign w:val="bottom"/>
          </w:tcPr>
          <w:p w14:paraId="60E8FE59" w14:textId="77777777" w:rsidR="00B90FC8" w:rsidRPr="00622F49" w:rsidRDefault="00B90FC8" w:rsidP="00407C03">
            <w:pPr>
              <w:rPr>
                <w:rFonts w:cstheme="minorHAnsi"/>
                <w:sz w:val="20"/>
                <w:szCs w:val="20"/>
              </w:rPr>
            </w:pPr>
            <w:r w:rsidRPr="00622F49">
              <w:rPr>
                <w:rFonts w:cstheme="minorHAnsi"/>
                <w:sz w:val="20"/>
                <w:szCs w:val="20"/>
                <w:lang w:val="en-GB"/>
              </w:rPr>
              <w:t>Surmeli et al. 2020b</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{"citationID":"d2ACyn8q","properties":{"formattedCitation":"\\super 50\\nosupersub{}","plainCitation":"50","noteIndex":0},"citationItems":[{"id":11371,"uris":["http://zotero.org/users/8059477/items/Y3GDYWTL"],"itemData":{"id":11371,"type":"article-journal","abstract":"Objective: \n          The aim is to evaluate the vestibular system using the video head impulse test (vHIT) and vestibular evoked myogenic potentials (VEMP) in patients with multiple sclerosis (MS) without central vestibular involvement in magnetic resonance imaging (MRI), and to determine whether there was subclinical vestibular system impairment.\n          Materials and Methods: \n          The study comprised 27 patients with MS and 26 healthy participants. The participants had no lesions in the central vestibular system in an MRI taken in the past 3 months. Detailed neuro-otologic and neuro-ophthalmologic examinations were performed on all participants. Then, the Dizziness Handicap Inventory (DHI) was completed for subjective vestibular system evaluation. In addition, vHIT and cervical VEMP (cVEMP) were performed for objective vestibular system evaluation. The results were analyzed statistically.\n          Results: \n          The mean age of the patients in the MS group was 39.3 ± 11.4 years and 42.7 ± 9.7 years in the control group. The median DHI score was 4 (range, 0–8) in the MS group and 2 (range, 0–6) in the control group. There were no statistically significant differences between the DHI score averages of the groups. The mean vestibulo ocular reflex (VOR) gain in vHIT was 0.76 ± 0.21 in the MS group and 0.99 ± 0.13 in the control group. VOR gain was statistically significantly lower in patients with MS. The VOR gain cut-off level was considered as 0.8. Gain level was below the cut-off level in 53.7% of patients with MS. There was no cVEMP response in 31.5% of patients with MS. In addition, patients with MS had prolonged P1 and N1 latencies and decreased P1-N1 peak-to-peak amplitudes.\n          Conclusion: \n          We found subclinical involvement in electrophysiologic tests (vHIT and cVEMP) in patients with MS without MRI lesions and without subjective vestibular system symptoms. We believe that vHIT and cVEMP can be used for subclinical evaluation in patients with MS without central vestibular system involvement in MRI.","container-title":"Neurological Sciences and Neurophysiology","DOI":"10.4103/NSN.NSN_51_20","ISSN":"Awaited","issue":"4","language":"en-US","page":"170","source":"journals.lww.com","title":"The Role of Vestibular Evoked Myogenic Potential and the Video Head Impulse Test in Patients with Multiple Sclerosis without Radiologic Findings","volume":"37","author":[{"family":"Surmeli","given":"Reyhan"},{"family":"Sürmeli","given":"Mehmet"},{"family":"Günay","given":"Gözde"},{"family":"Yalçın","given":"Ayşe Destina"},{"family":"Şahin Yılmaz","given":"Ayşe Asli"},{"family":"Kulalı","given":"Fatma"}],"issued":{"date-parts":[["2020",12]]}}}],"schema":"https://github.com/citation-style-language/schema/raw/master/csl-citation.json"}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50</w:t>
            </w:r>
            <w:r w:rsidRPr="00622F49">
              <w:rPr>
                <w:rFonts w:cstheme="minorHAnsi"/>
                <w:sz w:val="20"/>
                <w:szCs w:val="20"/>
                <w:lang w:val="en-GB"/>
              </w:rPr>
              <w:fldChar w:fldCharType="end"/>
            </w:r>
          </w:p>
        </w:tc>
        <w:tc>
          <w:tcPr>
            <w:tcW w:w="369" w:type="pct"/>
          </w:tcPr>
          <w:p w14:paraId="6572780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7374246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49A628B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0673BFA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218D449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438D082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147FB6D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029504D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29E72CD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0A73AEF9" w14:textId="77777777" w:rsidTr="00407C03">
        <w:tc>
          <w:tcPr>
            <w:tcW w:w="1620" w:type="pct"/>
            <w:vAlign w:val="bottom"/>
          </w:tcPr>
          <w:p w14:paraId="2704A8E3" w14:textId="77777777" w:rsidR="00B90FC8" w:rsidRPr="00622F49" w:rsidRDefault="00B90FC8" w:rsidP="00407C03">
            <w:pPr>
              <w:rPr>
                <w:rFonts w:cstheme="minorHAnsi"/>
                <w:sz w:val="20"/>
                <w:szCs w:val="20"/>
              </w:rPr>
            </w:pPr>
            <w:r w:rsidRPr="00622F49">
              <w:rPr>
                <w:rFonts w:cstheme="minorHAnsi"/>
                <w:sz w:val="20"/>
                <w:szCs w:val="20"/>
                <w:lang w:val="en-GB"/>
              </w:rPr>
              <w:t>Takeda et al. 2018</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{"citationID":"rvHljYOW","properties":{"formattedCitation":"\\super 52\\nosupersub{}","plainCitation":"52","noteIndex":0},"citationItems":[{"id":11373,"uris":["http://zotero.org/users/8059477/items/658WNNCX"],"itemData":{"id":11373,"type":"article-journal","abstract":"OBJECTIVE: To describe the vestibular function in patients with superficial siderosis of the central nervous system (SSCN).\nSTUDY DESIGN: Retrospective analysis.\nSETTING: Tertiary referral center.\nPATIENTS: Ten consecutive patients with SSCN. This study is the largest case series of SSCN in which detailed neuro-otological findings, including electronystagmography recording, video head impulse test (vHIT), and posturography, were described.\nINTERVENTIONS: Audiological and neuro-otological examinations, including pure-tone audiometry, distortion product otoacoustic emissions, speech audiometry, auditory brainstem responses, electronystagmography recording, vHIT, and posturography.\nMAIN OUTCOME MEASURES: Pure-tone average, DP level, maximum speech discrimination score, interpeak latency between auditory brainstem responses waves I and V, eye tracking test, examination of optokinetic nystagmus, caloric response, visual suppression, vestibulo-ocular reflex gains, total center of pressure path length, and Romberg's ratio.\nRESULTS: Audiological examinations suggested that the sensorineural hearing loss was of a cochlear etiology in 3 ears, a retrocochlear etiology in 11 ears, and a combined cochlear and retrocochlear etiology in 6 ears. Neuro-otological examinations revealed that eight out of nine patients had cerebellar disorders, while all patients also had peripheral vestibular dysfunction.\nCONCLUSION: In addition to cerebellar disorders, SSCN patients suffer from severe peripheral vestibular dysfunction, which can exacerbate the patient's imbalance. When otolaryngologists encounter patients with distinctly progressive sensorineural hearing loss and imbalance, they should include SSCN in the differential diagnosis and perform neuro-otological examinations, including an electronystagmography recording and vHIT and brain magnetic resonance imaging.","container-title":"Otology &amp; Neurotology: Official Publication of the American Otological Society, American Neurotology Society [and] European Academy of Otology and Neurotology","DOI":"10.1097/MAO.0000000000001844","ISSN":"1537-4505","issue":"6","journalAbbreviation":"Otol Neurotol","language":"eng","note":"PMID: 29889788","page":"e468-e474","source":"PubMed","title":"Vestibular Dysfunction in Patients With Superficial Siderosis of the Central Nervous System","volume":"39","author":[{"family":"Takeda","given":"Takamori"},{"family":"Kawashima","given":"Yoshiyuki"},{"family":"Hirai","given":"Chiaki"},{"family":"Makabe","given":"Ayane"},{"family":"Ito","given":"Taku"},{"family":"Fujikawa","given":"Taro"},{"family":"Yamamoto","given":"Katsura"},{"family":"Maruyama","given":"Ayako"},{"family":"Tsutsumi","given":"Takeshi"}],"issued":{"date-parts":[["2018",7]]}}}],"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52</w:t>
            </w:r>
            <w:r w:rsidRPr="00622F49">
              <w:rPr>
                <w:rFonts w:cstheme="minorHAnsi"/>
                <w:sz w:val="20"/>
                <w:szCs w:val="20"/>
                <w:lang w:val="en-GB"/>
              </w:rPr>
              <w:fldChar w:fldCharType="end"/>
            </w:r>
          </w:p>
        </w:tc>
        <w:tc>
          <w:tcPr>
            <w:tcW w:w="369" w:type="pct"/>
          </w:tcPr>
          <w:p w14:paraId="78CFE088"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9E5B9F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D1C1C9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1A826B62"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85E58D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7683A39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3328F15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44BF63B5"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423" w:type="pct"/>
          </w:tcPr>
          <w:p w14:paraId="7D60ED11"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5EF621E4" w14:textId="77777777" w:rsidTr="00407C03">
        <w:tc>
          <w:tcPr>
            <w:tcW w:w="1620" w:type="pct"/>
            <w:vAlign w:val="bottom"/>
          </w:tcPr>
          <w:p w14:paraId="130C3B6F" w14:textId="77777777" w:rsidR="00B90FC8" w:rsidRPr="00622F49" w:rsidRDefault="00B90FC8" w:rsidP="00407C03">
            <w:pPr>
              <w:rPr>
                <w:rFonts w:cstheme="minorHAnsi"/>
                <w:sz w:val="20"/>
                <w:szCs w:val="20"/>
              </w:rPr>
            </w:pPr>
            <w:r w:rsidRPr="00622F49">
              <w:rPr>
                <w:rFonts w:cstheme="minorHAnsi"/>
                <w:sz w:val="20"/>
                <w:szCs w:val="20"/>
                <w:lang w:val="en-GB"/>
              </w:rPr>
              <w:t>Taylor et al. 2022</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{"citationID":"qhlVeQzX","properties":{"formattedCitation":"\\super 53\\nosupersub{}","plainCitation":"53","noteIndex":0},"citationItems":[{"id":11375,"uris":["http://zotero.org/users/8059477/items/FQW9YDWQ"],"itemData":{"id":11375,"type":"article-journal","abstract":"BACKGROUND: Dizziness and imbalance are common following traumatic brain injury (TBI). While these symptoms are often attributed to vestibular dysfunction, the relative contribution of peripheral vs. central mechanisms is unclear. This study investigated the prevalence of semicircular canal and otolith abnormalities in a cohort of patients with chronic TBI and symptoms of dizziness or imbalance. The relationship between vestibular, oculomotor and posturography results was further explored.\nMETHODS: Clinical records of patients attending the New Zealand Dizziness and Balance Centre from January 2015 to December 2019 were reviewed for consideration in the study. Inclusion required: an age of 18-80 years, a diagnosed TBI, and vestibular assessment using three-dimensional video head impulses (vHIT), cervical and ocular vestibular-evoked myogenic potentials (c and o VEMPs, respectively) and caloric testing. Severe TBI, pre-existing vestibular diagnoses, and incomplete test results were excluded. Rates of abnormalities were determined for each test and compared with results of oculomotor function testing and postural control, measured using the sensory organization test (SOT).\nRESULTS: Of 158 reviewed records, 99 patients aged 49 ± 15 years (59 female) fulfilled criteria for inclusion in the study. The median time between the head injury and the clinical assessment was 12 (IQR 6-21) months. Abnormalities involving one or more components of the vestibular labyrinth and/or nerve divisions were identified in 33 of 99 patients (33.3%). The horizontal semicircular canal was most frequently affected (18.2%), followed by the saccule (14.1%), utricle (8.1%), posterior (7.1%) and anterior (2.0%) semicircular canals. Vestibular test abnormalities were associated with skull-base fractures, superior canal dehiscence, and focal ear trauma. Oculomotor dysfunction and postural instability were recorded in 41.1 and 75.5% of patients, respectively. Postural instability correlated with abnormal oculomotor function (p = 0.008) but not peripheral vestibular hypofunction (p = 0.336).\nCONCLUSIONS: Dizziness and/or imbalance in chronic TBI was associated with impaired postural stability for tasks requiring high levels of use of vestibular and visual input for balance. Vestibular hypofunction identified through vHIT, VEMP and caloric testing was recorded but was less common, except when the injury involved a fractured skull-base. There was no specific pattern of end-organ or nerve involvement which characterized this group of patients.","container-title":"Frontiers in Neurology","DOI":"10.3389/fneur.2022.942349","ISSN":"1664-2295","journalAbbreviation":"Front Neurol","language":"eng","note":"PMID: 36530624\nPMCID: PMC9751886","page":"942349","source":"PubMed","title":"Patterns of vestibular dysfunction in chronic traumatic brain injury","volume":"13","author":[{"family":"Taylor","given":"Rachael L."},{"family":"Wise","given":"Kim J."},{"family":"Taylor","given":"Denise"},{"family":"Chaudhary","given":"Shikha"},{"family":"Thorne","given":"Peter R."}],"issued":{"date-parts":[["2022"]]}}}],"schema":"https://github.com/citation-style-language/schema/raw/master/csl-citation.json"}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53</w:t>
            </w:r>
            <w:r w:rsidRPr="00622F49">
              <w:rPr>
                <w:rFonts w:cstheme="minorHAnsi"/>
                <w:sz w:val="20"/>
                <w:szCs w:val="20"/>
                <w:lang w:val="en-GB"/>
              </w:rPr>
              <w:fldChar w:fldCharType="end"/>
            </w:r>
          </w:p>
        </w:tc>
        <w:tc>
          <w:tcPr>
            <w:tcW w:w="369" w:type="pct"/>
          </w:tcPr>
          <w:p w14:paraId="5750D4E9"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304C25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78A05952"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3A8F973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1A85579"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21E3C38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39D19B5D"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39421FE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38CE5741"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3D0BE6DF" w14:textId="77777777" w:rsidTr="00407C03">
        <w:tc>
          <w:tcPr>
            <w:tcW w:w="1620" w:type="pct"/>
            <w:vAlign w:val="bottom"/>
          </w:tcPr>
          <w:p w14:paraId="237F1A65" w14:textId="77777777" w:rsidR="00B90FC8" w:rsidRPr="00622F49" w:rsidRDefault="00B90FC8" w:rsidP="00407C03">
            <w:pPr>
              <w:rPr>
                <w:rFonts w:cstheme="minorHAnsi"/>
                <w:sz w:val="20"/>
                <w:szCs w:val="20"/>
              </w:rPr>
            </w:pPr>
            <w:r w:rsidRPr="00622F49">
              <w:rPr>
                <w:rFonts w:cstheme="minorHAnsi"/>
                <w:sz w:val="20"/>
                <w:szCs w:val="20"/>
                <w:lang w:val="en-GB"/>
              </w:rPr>
              <w:t>Tramontano et al. 2024a</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{"citationID":"XNWfeDXC","properties":{"formattedCitation":"\\super 54\\nosupersub{}","plainCitation":"54","noteIndex":0},"citationItems":[{"id":11378,"uris":["http://zotero.org/users/8059477/items/NRCUZTRL"],"itemData":{"id":11378,"type":"article-journal","abstract":"INTRODUCTION: The Video Head Impulse Test (vHIT) is a safe and reliable assessment of peripheral vestibular function. Many studies tested its accuracy in clinical settings for differential diagnosis and quantification of the vestibulo-oculomotor reflex (VOR) in various disorders. However, the results of its application after lesions of the CNS are discordant and have never been studied in rehabilitation. This study aims to assess the VOR performance in a sample of stroke survivors.\nMETHODS: This is a cross-sectional study on 36 subacute and chronic stroke survivors; only persons with first-ever stroke and able to walk independently, even with supervision, were included. We performed VOR assessments for each semicircular canal by vHIT and balance assessments by the Berg Balance Scale and the MiniBESTest scale.\nRESULTS: Two hundred and sixteen semicircular canals were assessed using the Head Impulse paradigm (in both the vertical and horizontal planes), while 72 semicircular canals were assessed using the Suppressed Head Impulse paradigm (horizontal plane). There was a high prevalence of participants with dysfunctional canals, particularly for the left anterior and right posterior canals, which were each prevalent in more than one-third of our sample. Furthermore, 16 persons showed an isolated canal dysfunction. The mean VOR gain for the vertical canals had confidence intervals out of the normal values (0.74-0.91 right anterior; 0.74-0.82 right posterior; 0.73-0.87 left anterior).\nCONCLUSION: Our findings suggest that peripheral vestibular function may be impaired in people with stroke; a systematic assessment in a rehabilitation setting could allow a more personalized and patient-centred approach.","container-title":"European archives of oto-rhino-laryngology: official journal of the European Federation of Oto-Rhino-Laryngological Societies (EUFOS): affiliated with the German Society for Oto-Rhino-Laryngology - Head and Neck Surgery","DOI":"10.1007/s00405-024-08721-x","ISSN":"1434-4726","issue":"10","journalAbbreviation":"Eur Arch Otorhinolaryngol","language":"eng","note":"PMID: 38758244","page":"5129-5134","source":"PubMed","title":"Video head impulse test in subacute and chronic stroke survivors: new perspectives for implementation of assessment in rehabilitation","title-short":"Video head impulse test in subacute and chronic stroke survivors","volume":"281","author":[{"family":"Tramontano","given":"Marco"},{"family":"Ferri","given":"Nicola"},{"family":"Turolla","given":"Andrea"},{"family":"Orejel Bustos","given":"Amaranta Soledad"},{"family":"Casagrande Conti","given":"Laura"},{"family":"Sorge","given":"Chiara"},{"family":"Pillastrini","given":"Paolo"},{"family":"Manzari","given":"Leonardo"}],"issued":{"date-parts":[["2024",10]]}}}],"schema":"https://github.com/citation-style-language/schema/raw/master/csl-citation.json"}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54</w:t>
            </w:r>
            <w:r w:rsidRPr="00622F49">
              <w:rPr>
                <w:rFonts w:cstheme="minorHAnsi"/>
                <w:sz w:val="20"/>
                <w:szCs w:val="20"/>
                <w:lang w:val="en-GB"/>
              </w:rPr>
              <w:fldChar w:fldCharType="end"/>
            </w:r>
          </w:p>
        </w:tc>
        <w:tc>
          <w:tcPr>
            <w:tcW w:w="369" w:type="pct"/>
          </w:tcPr>
          <w:p w14:paraId="5E24641D"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5219B0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5463ED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52E61812"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036537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F2BD4E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6F93FE0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1B865241"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0B0E422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77E38C1B" w14:textId="77777777" w:rsidTr="00407C03">
        <w:tc>
          <w:tcPr>
            <w:tcW w:w="1620" w:type="pct"/>
            <w:vAlign w:val="bottom"/>
          </w:tcPr>
          <w:p w14:paraId="0CA4CEA9" w14:textId="77777777" w:rsidR="00B90FC8" w:rsidRPr="00622F49" w:rsidRDefault="00B90FC8" w:rsidP="00407C03">
            <w:pPr>
              <w:rPr>
                <w:rFonts w:cstheme="minorHAnsi"/>
                <w:sz w:val="20"/>
                <w:szCs w:val="20"/>
                <w:lang w:val="en-GB"/>
              </w:rPr>
            </w:pPr>
            <w:r w:rsidRPr="00622F49">
              <w:rPr>
                <w:rFonts w:cstheme="minorHAnsi"/>
                <w:sz w:val="20"/>
                <w:szCs w:val="20"/>
                <w:lang w:val="en-GB"/>
              </w:rPr>
              <w:t>Tramontano et al. 2024b</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{"citationID":"fAjB0pEm","properties":{"formattedCitation":"\\super 64\\nosupersub{}","plainCitation":"64","noteIndex":0},"citationItems":[{"id":12064,"uris":["http://zotero.org/users/8059477/items/C6WPI4PN"],"itemData":{"id":12064,"type":"article-journal","abstract":"BACKGROUND: Multiple Sclerosis (MS) is the most prevalent autoimmune neurological condition in the world, leading to a wide variety of symptoms, including balance disorders.\nOBJECTIVE: To evaluate the angular vestibulo-ocular reflex (aVOR) of all six semicircular canals (SCCs) through Head Impulse (HIMP) and Suppression HIMP (SHIMP) paradigms and any correlations with clinical balance scales.\nMETHODS: All participants were assessed using the Expanded Disability Status Scale (EDSS), Berg Balance Scale (BBS), and Mini-BESTest (MBT). Vestibular function was measured by video Head Impulse Test (vHIT), obtaining aVOR gain for each SSC.\nRESULTS: Twenty-seven PwMS (mean age 47.93 ± 8.51 years old, 18 females) were recruited. Most of the patients (81.48%) presented abnormal aVOR gains for at least one SSC. A moderate to strong correlation between aVOR gains of the left anterior SSC and, respectively, the MBT and the BBS was found. The subgroup analysis, based on the EDSS class, confirmed the correlation with the BBS in the patients with the most significant disability.\nCONCLUSIONS: People with MS may present impairments of the aVOR in one or more semicircular canals. The aVOR gain impairment of the vertical semicircular canals correlates with balance and gait disorders identified through clinical scales in PwMS.","container-title":"Audiology Research","DOI":"10.3390/audiolres14050067","ISSN":"2039-4330","issue":"5","journalAbbreviation":"Audiol Res","language":"eng","note":"PMID: 39311220\nPMCID: PMC11417908","page":"799-808","source":"PubMed","title":"Abnormal Vestibulo-Ocular Reflex Function Correlates with Balance and Gait Impairment in People with Multiple Sclerosis","volume":"14","author":[{"family":"Tramontano","given":"Marco"},{"family":"Casagrande Conti","given":"Laura"},{"family":"Orejel Bustos","given":"Amaranta Soledad"},{"family":"Ferri","given":"Nicola"},{"family":"Lelli","given":"Tommaso"},{"family":"Nocentini","given":"Ugo"},{"family":"Grasso","given":"Maria Grazia"},{"family":"Turolla","given":"Andrea"},{"family":"Pillastrini","given":"Paolo"},{"family":"Manzari","given":"Leonardo"}],"issued":{"date-parts":[["2024",9,9]]}}}],"schema":"https://github.com/citation-style-language/schema/raw/master/csl-citation.json"}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64</w:t>
            </w:r>
            <w:r w:rsidRPr="00622F49">
              <w:rPr>
                <w:rFonts w:cstheme="minorHAnsi"/>
                <w:sz w:val="20"/>
                <w:szCs w:val="20"/>
                <w:lang w:val="en-GB"/>
              </w:rPr>
              <w:fldChar w:fldCharType="end"/>
            </w:r>
          </w:p>
        </w:tc>
        <w:tc>
          <w:tcPr>
            <w:tcW w:w="369" w:type="pct"/>
          </w:tcPr>
          <w:p w14:paraId="2998CE1C"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6627E229"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231C1E81"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441" w:type="pct"/>
          </w:tcPr>
          <w:p w14:paraId="08CB0C04"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70989E10"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8" w:type="pct"/>
          </w:tcPr>
          <w:p w14:paraId="29F4B6E3"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67" w:type="pct"/>
          </w:tcPr>
          <w:p w14:paraId="2C18EBAC"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309" w:type="pct"/>
          </w:tcPr>
          <w:p w14:paraId="5315EAB8"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c>
          <w:tcPr>
            <w:tcW w:w="423" w:type="pct"/>
          </w:tcPr>
          <w:p w14:paraId="0ADA6864" w14:textId="77777777" w:rsidR="00B90FC8" w:rsidRPr="00622F49" w:rsidRDefault="00B90FC8" w:rsidP="00407C03">
            <w:pPr>
              <w:rPr>
                <w:rFonts w:ascii="Segoe UI Emoji" w:hAnsi="Segoe UI Emoji" w:cs="Segoe UI Emoji"/>
                <w:sz w:val="20"/>
                <w:szCs w:val="20"/>
              </w:rPr>
            </w:pPr>
            <w:r w:rsidRPr="00622F49">
              <w:rPr>
                <w:rFonts w:ascii="Segoe UI Emoji" w:hAnsi="Segoe UI Emoji" w:cs="Segoe UI Emoji"/>
                <w:sz w:val="20"/>
                <w:szCs w:val="20"/>
              </w:rPr>
              <w:t>✅</w:t>
            </w:r>
          </w:p>
        </w:tc>
      </w:tr>
      <w:tr w:rsidR="00B90FC8" w:rsidRPr="00622F49" w14:paraId="6D106594" w14:textId="77777777" w:rsidTr="00407C03">
        <w:tc>
          <w:tcPr>
            <w:tcW w:w="1620" w:type="pct"/>
            <w:vAlign w:val="bottom"/>
          </w:tcPr>
          <w:p w14:paraId="6F82E875" w14:textId="77777777" w:rsidR="00B90FC8" w:rsidRPr="00622F49" w:rsidRDefault="00B90FC8" w:rsidP="00407C03">
            <w:pPr>
              <w:rPr>
                <w:rFonts w:cstheme="minorHAnsi"/>
                <w:sz w:val="20"/>
                <w:szCs w:val="20"/>
              </w:rPr>
            </w:pPr>
            <w:r w:rsidRPr="00622F49">
              <w:rPr>
                <w:rFonts w:cstheme="minorHAnsi"/>
                <w:sz w:val="20"/>
                <w:szCs w:val="20"/>
                <w:lang w:val="en-GB"/>
              </w:rPr>
              <w:t>Wagner et al. 2019</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{"citationID":"3TeDyrMp","properties":{"formattedCitation":"\\super 56\\nosupersub{}","plainCitation":"56","noteIndex":0},"citationItems":[{"id":11380,"uris":["http://zotero.org/users/8059477/items/A8RGLHZZ"],"itemData":{"id":11380,"type":"article-journal","abstract":"OBJECTIVE: To compare the neurotological results of five patients suffering from progressive hearing loss and ataxia due to superficial siderosis (SS) with the magnetic resonance imaging (MRI) findings.\nSTUDY DESIGN: Retrospective case review.\nSETTING: Primary and hospital care center.\nPARTICIPANTS: Five adult patients with neurotological symptoms of SS underwent MRI with acquisition of our temporal bone protocol including 3D-constructive interference in steady state (3D-CISS) and susceptibility-weighted imaging (SWI). All patients underwent a complete neurotological examination, the results of which were compared with the imaging findings.\nMAIN OUTCOME MEASURES: Cochleovestibular deficits were present in all five patients as determined by uni- or bilateral bithermal caloric testing and/or video head impulse tests. Sacculocollic reflex was present with increased P1 and N1 latencies on both sides in all patients. MRI revealed an extensive hypointense SWI signal outlining the surface of the brain and the VIIIth cranial nerve in all five patients. Desynchronization of the brainstem auditory evoked potentials (BAEP) and partial or complete absence of the visual suppression of vestibulo-ocular reflex during the pendular rotatory test was particularly consistent with the lesions of the cochleovestibular nerves as well as the cerebellar atrophy seen on MRI.\nCONCLUSION: The MRI results with SWI were related to neurotological findings in patients suffering from sensorineural deafness with ataxia due to SS. Our findings support the integration of the SWI and 3D-CISS sequences into the MRI protocol for all patients referred for evaluation of the extent of SS.","container-title":"Otology &amp; Neurotology: Official Publication of the American Otological Society, American Neurotology Society [and] European Academy of Otology and Neurotology","DOI":"10.1097/MAO.0000000000002071","ISSN":"1537-4505","issue":"1","journalAbbreviation":"Otol Neurotol","language":"eng","note":"PMID: 30516591","page":"31-37","source":"PubMed","title":"Superficial Siderosis of the Central Nervous System: Neurotological Findings Related to Magnetic Resonance Imaging","title-short":"Superficial Siderosis of the Central Nervous System","volume":"40","author":[{"family":"Wagner","given":"Franca"},{"family":"Buchwalder","given":"Melanie"},{"family":"Wiest","given":"Roland"},{"family":"Caversaccio","given":"Marco D."},{"family":"Vibert","given":"Dominique"}],"issued":{"date-parts":[["2019",1]]}}}],"schema":"https://github.com/citation-style-language/schema/raw/master/csl-citation.json"}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56</w:t>
            </w:r>
            <w:r w:rsidRPr="00622F49">
              <w:rPr>
                <w:rFonts w:cstheme="minorHAnsi"/>
                <w:sz w:val="20"/>
                <w:szCs w:val="20"/>
                <w:lang w:val="en-GB"/>
              </w:rPr>
              <w:fldChar w:fldCharType="end"/>
            </w:r>
          </w:p>
        </w:tc>
        <w:tc>
          <w:tcPr>
            <w:tcW w:w="369" w:type="pct"/>
          </w:tcPr>
          <w:p w14:paraId="0C1CCC10"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Pr>
          <w:p w14:paraId="47CD4985"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Pr>
          <w:p w14:paraId="298A46A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38C4B47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D4BACC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0B30BBBF"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679F3353"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09" w:type="pct"/>
          </w:tcPr>
          <w:p w14:paraId="6180E60B"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423" w:type="pct"/>
          </w:tcPr>
          <w:p w14:paraId="29062D9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7CFF8345" w14:textId="77777777" w:rsidTr="00407C03">
        <w:tc>
          <w:tcPr>
            <w:tcW w:w="1620" w:type="pct"/>
            <w:vAlign w:val="bottom"/>
          </w:tcPr>
          <w:p w14:paraId="2915C98A" w14:textId="77777777" w:rsidR="00B90FC8" w:rsidRPr="00622F49" w:rsidRDefault="00B90FC8" w:rsidP="00407C03">
            <w:pPr>
              <w:rPr>
                <w:rFonts w:cstheme="minorHAnsi"/>
                <w:sz w:val="20"/>
                <w:szCs w:val="20"/>
              </w:rPr>
            </w:pPr>
            <w:r w:rsidRPr="00622F49">
              <w:rPr>
                <w:rFonts w:cstheme="minorHAnsi"/>
                <w:sz w:val="20"/>
                <w:szCs w:val="20"/>
                <w:lang w:val="en-GB"/>
              </w:rPr>
              <w:t>Wagner et al. 2022</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{"citationID":"gJ8et37n","properties":{"formattedCitation":"\\super 55\\nosupersub{}","plainCitation":"55","noteIndex":0},"citationItems":[{"id":11382,"uris":["http://zotero.org/users/8059477/items/AMJ6DSTH"],"itemData":{"id":11382,"type":"article-journal","abstract":"Individuals with peripheral or central vestibular dysfunction recruit compensatory saccades (CSs) in response to high acceleration, yaw head impulses. Although CSs have been shown to be an effective strategy for reducing gaze position error (GPE) in individuals with peripheral hypofunction, for individuals with central vestibular dysfunction, the effectiveness of CS is unknown. The purpose of our study was to compare the effectiveness of CS, defined as the ability to compensate for head velocity and eye position errors, between persons with central and peripheral vestibular dysfunction. We compared oculomotor responses during video head impulse testing between individuals with unilateral peripheral vestibular deafferentation, a disorder of the peripheral vestibular afferents, and individuals with multiple sclerosis, a condition affecting the central vestibular pathways. We hypothesized that relative to individuals with peripheral lesions, individuals with central dysfunction would recruit CSs that were delayed and inappropriately scaled to head velocity and GPE. We show that CSs recruited by persons with central vestibular pathology were not uniformly deficient but instead were of a sufficient velocity to compensate for reductions in VOR gain. Compared to those with peripheral vestibular lesions, individuals with central pathology also recruited earlier covert CS with amplitudes that were better corrected for GPE. Conversely, those with central lesions showed greater variability in the amplitude of overt CS relative to GPE. These data point to a unique role for peripheral and central vestibular inputs in the recruitment of CS and suggest that covert CSs are an effective oculomotor strategy for individuals with multiple sclerosis.NEW &amp; NOTEWORTHY Compensatory saccades (CSs) are recruited by individuals with unilateral vestibular deafferentation (UVD) to compensate for an impaired vestibulo-ocular reflex (VOR). The effectiveness of CS in multiple sclerosis (MS), a central vestibular impairment, is unknown. We show that in UVD and in MS, covert CSs compensate for reduced VOR gain and minimize gaze position error (GPE), yet in &gt;50% of individuals with MS, overt CS worsened GPE, suggesting unique roles for peripheral and central vestibular inputs.","container-title":"Journal of Neurophysiology","DOI":"10.1152/jn.00220.2022","ISSN":"1522-1598","issue":"4","journalAbbreviation":"J Neurophysiol","language":"eng","note":"PMID: 36069428\nPMCID: PMC9550564","page":"934-945","source":"PubMed","title":"Compensatory saccades differ between those with vestibular hypofunction and multiple sclerosis pointing to unique roles for peripheral and central vestibular inputs","volume":"128","author":[{"family":"Wagner","given":"Andrew R."},{"family":"Grove","given":"Colin R."},{"family":"Loyd","given":"Brian J."},{"family":"Dibble","given":"Leland E."},{"family":"Schubert","given":"Michael C."}],"issued":{"date-parts":[["2022",10,1]]}}}],"schema":"https://github.com/citation-style-language/schema/raw/master/csl-citation.json"}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55</w:t>
            </w:r>
            <w:r w:rsidRPr="00622F49">
              <w:rPr>
                <w:rFonts w:cstheme="minorHAnsi"/>
                <w:sz w:val="20"/>
                <w:szCs w:val="20"/>
                <w:lang w:val="en-GB"/>
              </w:rPr>
              <w:fldChar w:fldCharType="end"/>
            </w:r>
          </w:p>
        </w:tc>
        <w:tc>
          <w:tcPr>
            <w:tcW w:w="369" w:type="pct"/>
          </w:tcPr>
          <w:p w14:paraId="43E186D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DFE48BC"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5F392657"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441" w:type="pct"/>
          </w:tcPr>
          <w:p w14:paraId="2E80D3D7"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1F4B98B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322EE532"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4C1B8FE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586C3123"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49A5E99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2BA61B4B" w14:textId="77777777" w:rsidTr="00407C03">
        <w:tc>
          <w:tcPr>
            <w:tcW w:w="1620" w:type="pct"/>
            <w:vAlign w:val="bottom"/>
          </w:tcPr>
          <w:p w14:paraId="715BF576" w14:textId="77777777" w:rsidR="00B90FC8" w:rsidRPr="00622F49" w:rsidRDefault="00B90FC8" w:rsidP="00407C03">
            <w:pPr>
              <w:rPr>
                <w:rFonts w:cstheme="minorHAnsi"/>
                <w:sz w:val="20"/>
                <w:szCs w:val="20"/>
              </w:rPr>
            </w:pPr>
            <w:r w:rsidRPr="00622F49">
              <w:rPr>
                <w:rFonts w:cstheme="minorHAnsi"/>
                <w:sz w:val="20"/>
                <w:szCs w:val="20"/>
                <w:lang w:val="en-GB"/>
              </w:rPr>
              <w:t>Woo et al. 2024</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{"citationID":"3nDTpUDa","properties":{"formattedCitation":"\\super 57\\nosupersub{}","plainCitation":"57","noteIndex":0},"citationItems":[{"id":11384,"uris":["http://zotero.org/users/8059477/items/HM3K6Q5D"],"itemData":{"id":11384,"type":"article-journal","abstract":"Video head impulse tests (video-HITs) are commonly used for vestibular evaluation; however, the results can be contaminated by various artifacts, including technical errors, recording problems, and participant factors. Although video-HITs can be used in patients with Parkinson's disease (PD), the effect of neck rigidity has not been systematically investigated. This study aimed to investigate the effect of neck rigidity on video-HIT results in patients with PD. We prospectively recruited 140 consecutive patients with PD (mean age ± standard deviation = 68 ± 10 years, 69 men) between September 2021 and April 2024 at Korea University Medical Center. The video-HIT results were compared with those of 19 age- and sex-matched healthy participants. Neck rigidity was stratified as a subdomain of the Movement Disorder Society-Unified Parkinson's Disease Rating Scale motor part (MDS-UPDRS-III). In 59 patients, the vestibulo-ocular reflex (VOR) gain was overestimated in at least one canal plane (58/140, 41%), mostly in the anterior canal (AC, n = 44), followed by the horizontal (HC, n = 15) and posterior canals (PC, n = 7). VOR gain overestimation was also observed in patients with no (18/58, 35%), subtle (20/58, 34%), or mild (17/58, 29%) neck rigidity. Multivariable logistic regression analysis showed that VOR overestimation was positively associated with neck rigidity (odds ratio [OR] [95% confidence interval] = 1.51 [1.01-2.25], p = 0.043). The head velocities of patients decreased during head impulses for the AC (p = 0.033 for the right AC; p = 0.014 for the left AC), whereas eye velocities were similar to those of healthy participants. Our findings suggest that neck rigidity may be a confounder that can contaminate video-HIT results. Thus, the results of video-HITs, especially for the AC, should be interpreted with the context of head velocity during head impulses in patients with neck rigidity.","container-title":"Journal of Neurology","DOI":"10.1007/s00415-024-12488-w","ISSN":"1432-1459","issue":"8","journalAbbreviation":"J Neurol","language":"eng","note":"PMID: 38839639","page":"5223-5232","source":"PubMed","title":"Neck rigidity: a pitfall for video head-impulse tests in Parkinson's disease","title-short":"Neck rigidity","volume":"271","author":[{"family":"Woo","given":"Donghoon"},{"family":"Kim","given":"Yukang"},{"family":"Baik","given":"Kyoungwon"},{"family":"Lee","given":"Sun-Uk"},{"family":"Park","given":"Euyhyun"},{"family":"Lee","given":"Chan-Nyoung"},{"family":"Kwag","given":"Seoui"},{"family":"Park","given":"Hyunsoh"},{"family":"Kim","given":"Ji-Soo"},{"family":"Park","given":"Kun-Woo"}],"issued":{"date-parts":[["2024",8]]}}}],"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57</w:t>
            </w:r>
            <w:r w:rsidRPr="00622F49">
              <w:rPr>
                <w:rFonts w:cstheme="minorHAnsi"/>
                <w:sz w:val="20"/>
                <w:szCs w:val="20"/>
                <w:lang w:val="en-GB"/>
              </w:rPr>
              <w:fldChar w:fldCharType="end"/>
            </w:r>
          </w:p>
        </w:tc>
        <w:tc>
          <w:tcPr>
            <w:tcW w:w="369" w:type="pct"/>
          </w:tcPr>
          <w:p w14:paraId="6FE49265"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Pr>
          <w:p w14:paraId="2ED1278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28E52840"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Pr>
          <w:p w14:paraId="7A45F56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68E4DF5D"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Pr>
          <w:p w14:paraId="2F59D65E"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Pr>
          <w:p w14:paraId="248196FD"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Pr>
          <w:p w14:paraId="1A8A1C4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Pr>
          <w:p w14:paraId="3F6BF51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r w:rsidR="00B90FC8" w:rsidRPr="00622F49" w14:paraId="0E75B251" w14:textId="77777777" w:rsidTr="00407C03">
        <w:tc>
          <w:tcPr>
            <w:tcW w:w="1620" w:type="pct"/>
            <w:tcBorders>
              <w:bottom w:val="single" w:sz="4" w:space="0" w:color="auto"/>
            </w:tcBorders>
            <w:vAlign w:val="bottom"/>
          </w:tcPr>
          <w:p w14:paraId="1E71DEF8" w14:textId="77777777" w:rsidR="00B90FC8" w:rsidRPr="00622F49" w:rsidRDefault="00B90FC8" w:rsidP="00407C03">
            <w:pPr>
              <w:rPr>
                <w:rFonts w:cstheme="minorHAnsi"/>
                <w:sz w:val="20"/>
                <w:szCs w:val="20"/>
              </w:rPr>
            </w:pPr>
            <w:r w:rsidRPr="00622F49">
              <w:rPr>
                <w:rFonts w:cstheme="minorHAnsi"/>
                <w:sz w:val="20"/>
                <w:szCs w:val="20"/>
                <w:lang w:val="en-GB"/>
              </w:rPr>
              <w:t>Yacovino et al. 2019</w:t>
            </w:r>
            <w:r w:rsidRPr="00622F49">
              <w:rPr>
                <w:rFonts w:cstheme="minorHAnsi"/>
                <w:sz w:val="20"/>
                <w:szCs w:val="20"/>
                <w:lang w:val="en-GB"/>
              </w:rPr>
              <w:fldChar w:fldCharType="begin"/>
            </w:r>
            <w:r w:rsidRPr="00622F49">
              <w:rPr>
                <w:rFonts w:cstheme="minorHAnsi"/>
                <w:sz w:val="20"/>
                <w:szCs w:val="20"/>
                <w:lang w:val="en-GB"/>
              </w:rPr>
              <w:instrText xml:space="preserve"> ADDIN ZOTERO_ITEM CSL_CITATION {"citationID":"WBIWD4ny","properties":{"formattedCitation":"\\super 58\\nosupersub{}","plainCitation":"58","noteIndex":0},"citationItems":[{"id":11386,"uris":["http://zotero.org/users/8059477/items/U2PL8E4N"],"itemData":{"id":11386,"type":"article-journal","abstract":"OBJECTIVES: CANVAS is an acronym for cerebellar ataxia, neuropathy and vestibular areflexia syndrome. Limited autopsy data has suggested that CANVAS is caused by a focal dorsal root ganglionopathy that damages Scarpa's (vestibular) ganglion, but spares the Spiral (hearing) ganglion. If the vestibular areflexia of CANVAS is in fact due to ganglionopathy, then there should be global reduction of all vestibular responses.\nMATERIALS AND METHODS: With this hypothesis in mind, a retrospective review of 5 subjects who met the clinical criteria for CANVAS was performed. Recent advances in vestibular testing have made it possible to quantify responses from all 5 vestibular end organs in the inner ear. Results of the Video head impulse test (VHIT), video oculography, caloric test and vestibular evoked myogenic potential (VEMP) were examined to determine if all 5 end organs are nonfunctional in CANVAS.\nRESULTS: Severe reduction of function of the six semicircular canals and ocular VEMPs were observed. Only the cervical VEMPs were present and reproducible, consistent with either partial sparing of the inferior vestibular ganglia, specific embryologic resistance of the saccule to the degeneration or a mechanism for cervical VEMPs that does not require an intact vestibular ganglion.\nCONCLUSION: Our results suggest that Scarpa´s ganglia dysfunction could be the mechanism for loss of semicircular canal and utricular function in CANVAS patients, but the preservation of the cervical VEMP response is unexplained.","container-title":"The Journal of International Advanced Otology","DOI":"10.5152/iao.2019.7068","ISSN":"2148-3817","issue":"2","journalAbbreviation":"J Int Adv Otol","language":"eng","note":"PMID: 31418719\nPMCID: PMC6750782","page":"304-308","source":"PubMed","title":"Is Cerebellar Ataxia, Neuropathy, and Vestibular Areflexia Syndrome (CANVAS) a Vestibular Ganglionopathy?","volume":"15","author":[{"family":"Yacovino","given":"Dario Andres"},{"family":"Zanotti","given":"Estefania"},{"family":"Hain","given":"Timothy Carl"}],"issued":{"date-parts":[["2019",8]]}}}],"schema":"https://github.com/citation-style-language/schema/raw/master/csl-citation.json"} </w:instrText>
            </w:r>
            <w:r w:rsidRPr="00622F49">
              <w:rPr>
                <w:rFonts w:cstheme="minorHAnsi"/>
                <w:sz w:val="20"/>
                <w:szCs w:val="20"/>
                <w:lang w:val="en-GB"/>
              </w:rPr>
              <w:fldChar w:fldCharType="separate"/>
            </w:r>
            <w:r w:rsidRPr="00622F49">
              <w:rPr>
                <w:rFonts w:ascii="Calibri" w:hAnsi="Calibri" w:cs="Calibri"/>
                <w:kern w:val="0"/>
                <w:sz w:val="20"/>
                <w:szCs w:val="20"/>
                <w:vertAlign w:val="superscript"/>
              </w:rPr>
              <w:t>58</w:t>
            </w:r>
            <w:r w:rsidRPr="00622F49">
              <w:rPr>
                <w:rFonts w:cstheme="minorHAnsi"/>
                <w:sz w:val="20"/>
                <w:szCs w:val="20"/>
                <w:lang w:val="en-GB"/>
              </w:rPr>
              <w:fldChar w:fldCharType="end"/>
            </w:r>
          </w:p>
        </w:tc>
        <w:tc>
          <w:tcPr>
            <w:tcW w:w="369" w:type="pct"/>
            <w:tcBorders>
              <w:bottom w:val="single" w:sz="4" w:space="0" w:color="auto"/>
            </w:tcBorders>
          </w:tcPr>
          <w:p w14:paraId="118397F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Borders>
              <w:bottom w:val="single" w:sz="4" w:space="0" w:color="auto"/>
            </w:tcBorders>
          </w:tcPr>
          <w:p w14:paraId="0069268A" w14:textId="77777777" w:rsidR="00B90FC8" w:rsidRPr="00622F49" w:rsidRDefault="00B90FC8" w:rsidP="00407C03">
            <w:pPr>
              <w:rPr>
                <w:rFonts w:cstheme="minorHAnsi"/>
                <w:sz w:val="20"/>
                <w:szCs w:val="20"/>
              </w:rPr>
            </w:pPr>
            <w:r w:rsidRPr="00622F49">
              <w:rPr>
                <mc:AlternateContent>
                  <mc:Choice Requires="w16se">
                    <w:rFonts w:cstheme="minorHAnsi"/>
                  </mc:Choice>
                  <mc:Fallback>
                    <w:rFonts w:ascii="Segoe UI Emoji" w:eastAsia="Segoe UI Emoji" w:hAnsi="Segoe UI Emoji" w:cs="Segoe UI Emoji"/>
                  </mc:Fallback>
                </mc:AlternateContent>
                <w:sz w:val="20"/>
                <w:szCs w:val="20"/>
              </w:rPr>
              <mc:AlternateContent>
                <mc:Choice Requires="w16se">
                  <w16se:symEx w16se:font="Segoe UI Emoji" w16se:char="26A0"/>
                </mc:Choice>
                <mc:Fallback>
                  <w:t>⚠</w:t>
                </mc:Fallback>
              </mc:AlternateContent>
            </w:r>
            <w:r w:rsidRPr="00622F49">
              <w:rPr>
                <w:rFonts w:cstheme="minorHAnsi"/>
                <w:sz w:val="20"/>
                <w:szCs w:val="20"/>
              </w:rPr>
              <w:t>️</w:t>
            </w:r>
          </w:p>
        </w:tc>
        <w:tc>
          <w:tcPr>
            <w:tcW w:w="368" w:type="pct"/>
            <w:tcBorders>
              <w:bottom w:val="single" w:sz="4" w:space="0" w:color="auto"/>
            </w:tcBorders>
          </w:tcPr>
          <w:p w14:paraId="5CF826C4"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41" w:type="pct"/>
            <w:tcBorders>
              <w:bottom w:val="single" w:sz="4" w:space="0" w:color="auto"/>
            </w:tcBorders>
          </w:tcPr>
          <w:p w14:paraId="36F4149B"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Borders>
              <w:bottom w:val="single" w:sz="4" w:space="0" w:color="auto"/>
            </w:tcBorders>
          </w:tcPr>
          <w:p w14:paraId="4CC759A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8" w:type="pct"/>
            <w:tcBorders>
              <w:bottom w:val="single" w:sz="4" w:space="0" w:color="auto"/>
            </w:tcBorders>
          </w:tcPr>
          <w:p w14:paraId="16C6F8E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67" w:type="pct"/>
            <w:tcBorders>
              <w:bottom w:val="single" w:sz="4" w:space="0" w:color="auto"/>
            </w:tcBorders>
          </w:tcPr>
          <w:p w14:paraId="6A471685"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309" w:type="pct"/>
            <w:tcBorders>
              <w:bottom w:val="single" w:sz="4" w:space="0" w:color="auto"/>
            </w:tcBorders>
          </w:tcPr>
          <w:p w14:paraId="4437E866"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c>
          <w:tcPr>
            <w:tcW w:w="423" w:type="pct"/>
            <w:tcBorders>
              <w:bottom w:val="single" w:sz="4" w:space="0" w:color="auto"/>
            </w:tcBorders>
          </w:tcPr>
          <w:p w14:paraId="2FDB631A" w14:textId="77777777" w:rsidR="00B90FC8" w:rsidRPr="00622F49" w:rsidRDefault="00B90FC8" w:rsidP="00407C03">
            <w:pPr>
              <w:rPr>
                <w:rFonts w:cstheme="minorHAnsi"/>
                <w:sz w:val="20"/>
                <w:szCs w:val="20"/>
              </w:rPr>
            </w:pPr>
            <w:r w:rsidRPr="00622F49">
              <w:rPr>
                <w:rFonts w:ascii="Segoe UI Emoji" w:hAnsi="Segoe UI Emoji" w:cs="Segoe UI Emoji"/>
                <w:sz w:val="20"/>
                <w:szCs w:val="20"/>
              </w:rPr>
              <w:t>✅</w:t>
            </w:r>
          </w:p>
        </w:tc>
      </w:tr>
    </w:tbl>
    <w:p w14:paraId="5BA58C1D" w14:textId="77777777" w:rsidR="00E667DF" w:rsidRPr="00622F49" w:rsidRDefault="00E667DF" w:rsidP="00E667DF">
      <w:pPr>
        <w:spacing w:line="360" w:lineRule="auto"/>
        <w:ind w:left="360"/>
        <w:rPr>
          <w:rFonts w:ascii="Times New Roman" w:hAnsi="Times New Roman" w:cs="Times New Roman"/>
          <w:b/>
          <w:bCs/>
          <w:sz w:val="20"/>
          <w:szCs w:val="20"/>
        </w:rPr>
      </w:pPr>
    </w:p>
    <w:p w14:paraId="12299F0A" w14:textId="77777777" w:rsidR="007F367A" w:rsidRPr="00622F49" w:rsidRDefault="007F367A" w:rsidP="007F367A">
      <w:pPr>
        <w:spacing w:line="360" w:lineRule="auto"/>
        <w:rPr>
          <w:rFonts w:ascii="Times New Roman" w:hAnsi="Times New Roman" w:cs="Times New Roman"/>
          <w:sz w:val="20"/>
          <w:szCs w:val="20"/>
        </w:rPr>
      </w:pPr>
    </w:p>
    <w:p w14:paraId="6496BF50" w14:textId="77777777" w:rsidR="007F367A" w:rsidRPr="00622F49" w:rsidRDefault="007F367A" w:rsidP="00C50070">
      <w:pPr>
        <w:spacing w:line="360" w:lineRule="auto"/>
        <w:rPr>
          <w:rFonts w:ascii="Times New Roman" w:hAnsi="Times New Roman" w:cs="Times New Roman"/>
          <w:sz w:val="20"/>
          <w:szCs w:val="20"/>
        </w:rPr>
      </w:pPr>
    </w:p>
    <w:p w14:paraId="6317E5FE" w14:textId="77777777" w:rsidR="00C50070" w:rsidRPr="00622F49" w:rsidRDefault="00C50070" w:rsidP="00C50070">
      <w:pPr>
        <w:spacing w:line="360" w:lineRule="auto"/>
        <w:rPr>
          <w:rFonts w:ascii="Times New Roman" w:hAnsi="Times New Roman" w:cs="Times New Roman"/>
          <w:sz w:val="20"/>
          <w:szCs w:val="20"/>
        </w:rPr>
      </w:pPr>
    </w:p>
    <w:sectPr w:rsidR="00C50070" w:rsidRPr="00622F49">
      <w:foot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6308A" w14:textId="77777777" w:rsidR="00781413" w:rsidRDefault="00781413" w:rsidP="007F367A">
      <w:pPr>
        <w:spacing w:after="0" w:line="240" w:lineRule="auto"/>
      </w:pPr>
      <w:r>
        <w:separator/>
      </w:r>
    </w:p>
  </w:endnote>
  <w:endnote w:type="continuationSeparator" w:id="0">
    <w:p w14:paraId="148229DD" w14:textId="77777777" w:rsidR="00781413" w:rsidRDefault="00781413" w:rsidP="007F36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75558229"/>
      <w:docPartObj>
        <w:docPartGallery w:val="Page Numbers (Bottom of Page)"/>
        <w:docPartUnique/>
      </w:docPartObj>
    </w:sdtPr>
    <w:sdtEndPr>
      <w:rPr>
        <w:noProof/>
      </w:rPr>
    </w:sdtEndPr>
    <w:sdtContent>
      <w:p w14:paraId="37B8206A" w14:textId="45DD6870" w:rsidR="007F367A" w:rsidRDefault="007F367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C5FDD9A" w14:textId="77777777" w:rsidR="007F367A" w:rsidRDefault="007F36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CF6B1E" w14:textId="77777777" w:rsidR="00781413" w:rsidRDefault="00781413" w:rsidP="007F367A">
      <w:pPr>
        <w:spacing w:after="0" w:line="240" w:lineRule="auto"/>
      </w:pPr>
      <w:r>
        <w:separator/>
      </w:r>
    </w:p>
  </w:footnote>
  <w:footnote w:type="continuationSeparator" w:id="0">
    <w:p w14:paraId="11F30FC2" w14:textId="77777777" w:rsidR="00781413" w:rsidRDefault="00781413" w:rsidP="007F36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F233D2"/>
    <w:multiLevelType w:val="hybridMultilevel"/>
    <w:tmpl w:val="6AAA5F32"/>
    <w:lvl w:ilvl="0" w:tplc="E1CCDD0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4F6132"/>
    <w:multiLevelType w:val="hybridMultilevel"/>
    <w:tmpl w:val="1FEABCF8"/>
    <w:lvl w:ilvl="0" w:tplc="643484D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58436C4"/>
    <w:multiLevelType w:val="hybridMultilevel"/>
    <w:tmpl w:val="701A12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3886EE1"/>
    <w:multiLevelType w:val="hybridMultilevel"/>
    <w:tmpl w:val="F81CFF8A"/>
    <w:lvl w:ilvl="0" w:tplc="692EA18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22157A2"/>
    <w:multiLevelType w:val="hybridMultilevel"/>
    <w:tmpl w:val="2FE866F8"/>
    <w:lvl w:ilvl="0" w:tplc="ED6A896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9837912"/>
    <w:multiLevelType w:val="hybridMultilevel"/>
    <w:tmpl w:val="FA1245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F9A194B"/>
    <w:multiLevelType w:val="hybridMultilevel"/>
    <w:tmpl w:val="A8D8E7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4788817">
    <w:abstractNumId w:val="2"/>
  </w:num>
  <w:num w:numId="2" w16cid:durableId="1661229418">
    <w:abstractNumId w:val="5"/>
  </w:num>
  <w:num w:numId="3" w16cid:durableId="1427461835">
    <w:abstractNumId w:val="6"/>
  </w:num>
  <w:num w:numId="4" w16cid:durableId="1398015031">
    <w:abstractNumId w:val="4"/>
  </w:num>
  <w:num w:numId="5" w16cid:durableId="65733109">
    <w:abstractNumId w:val="3"/>
  </w:num>
  <w:num w:numId="6" w16cid:durableId="478614075">
    <w:abstractNumId w:val="0"/>
  </w:num>
  <w:num w:numId="7" w16cid:durableId="8125247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7383"/>
    <w:rsid w:val="00036734"/>
    <w:rsid w:val="00055709"/>
    <w:rsid w:val="000720E3"/>
    <w:rsid w:val="00161F37"/>
    <w:rsid w:val="006208AB"/>
    <w:rsid w:val="00622F49"/>
    <w:rsid w:val="00781413"/>
    <w:rsid w:val="00784AAA"/>
    <w:rsid w:val="007F367A"/>
    <w:rsid w:val="00802E88"/>
    <w:rsid w:val="008372B7"/>
    <w:rsid w:val="00873F60"/>
    <w:rsid w:val="008C5322"/>
    <w:rsid w:val="008C7383"/>
    <w:rsid w:val="00932AEF"/>
    <w:rsid w:val="00A144DA"/>
    <w:rsid w:val="00A45284"/>
    <w:rsid w:val="00B457A3"/>
    <w:rsid w:val="00B67129"/>
    <w:rsid w:val="00B90FC8"/>
    <w:rsid w:val="00BD19F7"/>
    <w:rsid w:val="00C50070"/>
    <w:rsid w:val="00C55AD2"/>
    <w:rsid w:val="00E33566"/>
    <w:rsid w:val="00E667DF"/>
    <w:rsid w:val="00F279A5"/>
    <w:rsid w:val="00F705DE"/>
    <w:rsid w:val="00FD6F1A"/>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83603B"/>
  <w15:chartTrackingRefBased/>
  <w15:docId w15:val="{C1B8A080-BA02-4932-8B67-817911932D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zh-CN"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Normal"/>
    <w:next w:val="Normal"/>
    <w:link w:val="Heading1Char"/>
    <w:uiPriority w:val="9"/>
    <w:qFormat/>
    <w:rsid w:val="008C738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8C738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8C738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8C7383"/>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8C738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8C738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C738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C738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C738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7383"/>
    <w:rPr>
      <w:rFonts w:asciiTheme="majorHAnsi" w:eastAsiaTheme="majorEastAsia" w:hAnsiTheme="majorHAnsi" w:cstheme="majorBidi"/>
      <w:color w:val="2F5496" w:themeColor="accent1" w:themeShade="BF"/>
      <w:sz w:val="40"/>
      <w:szCs w:val="40"/>
      <w:lang w:val="en-US"/>
    </w:rPr>
  </w:style>
  <w:style w:type="character" w:customStyle="1" w:styleId="Heading2Char">
    <w:name w:val="Heading 2 Char"/>
    <w:basedOn w:val="DefaultParagraphFont"/>
    <w:link w:val="Heading2"/>
    <w:uiPriority w:val="9"/>
    <w:semiHidden/>
    <w:rsid w:val="008C7383"/>
    <w:rPr>
      <w:rFonts w:asciiTheme="majorHAnsi" w:eastAsiaTheme="majorEastAsia" w:hAnsiTheme="majorHAnsi" w:cstheme="majorBidi"/>
      <w:color w:val="2F5496" w:themeColor="accent1" w:themeShade="BF"/>
      <w:sz w:val="32"/>
      <w:szCs w:val="32"/>
      <w:lang w:val="en-US"/>
    </w:rPr>
  </w:style>
  <w:style w:type="character" w:customStyle="1" w:styleId="Heading3Char">
    <w:name w:val="Heading 3 Char"/>
    <w:basedOn w:val="DefaultParagraphFont"/>
    <w:link w:val="Heading3"/>
    <w:uiPriority w:val="9"/>
    <w:semiHidden/>
    <w:rsid w:val="008C7383"/>
    <w:rPr>
      <w:rFonts w:eastAsiaTheme="majorEastAsia" w:cstheme="majorBidi"/>
      <w:color w:val="2F5496" w:themeColor="accent1" w:themeShade="BF"/>
      <w:sz w:val="28"/>
      <w:szCs w:val="28"/>
      <w:lang w:val="en-US"/>
    </w:rPr>
  </w:style>
  <w:style w:type="character" w:customStyle="1" w:styleId="Heading4Char">
    <w:name w:val="Heading 4 Char"/>
    <w:basedOn w:val="DefaultParagraphFont"/>
    <w:link w:val="Heading4"/>
    <w:uiPriority w:val="9"/>
    <w:semiHidden/>
    <w:rsid w:val="008C7383"/>
    <w:rPr>
      <w:rFonts w:eastAsiaTheme="majorEastAsia" w:cstheme="majorBidi"/>
      <w:i/>
      <w:iCs/>
      <w:color w:val="2F5496" w:themeColor="accent1" w:themeShade="BF"/>
      <w:lang w:val="en-US"/>
    </w:rPr>
  </w:style>
  <w:style w:type="character" w:customStyle="1" w:styleId="Heading5Char">
    <w:name w:val="Heading 5 Char"/>
    <w:basedOn w:val="DefaultParagraphFont"/>
    <w:link w:val="Heading5"/>
    <w:uiPriority w:val="9"/>
    <w:semiHidden/>
    <w:rsid w:val="008C7383"/>
    <w:rPr>
      <w:rFonts w:eastAsiaTheme="majorEastAsia" w:cstheme="majorBidi"/>
      <w:color w:val="2F5496" w:themeColor="accent1" w:themeShade="BF"/>
      <w:lang w:val="en-US"/>
    </w:rPr>
  </w:style>
  <w:style w:type="character" w:customStyle="1" w:styleId="Heading6Char">
    <w:name w:val="Heading 6 Char"/>
    <w:basedOn w:val="DefaultParagraphFont"/>
    <w:link w:val="Heading6"/>
    <w:uiPriority w:val="9"/>
    <w:semiHidden/>
    <w:rsid w:val="008C7383"/>
    <w:rPr>
      <w:rFonts w:eastAsiaTheme="majorEastAsia" w:cstheme="majorBidi"/>
      <w:i/>
      <w:iCs/>
      <w:color w:val="595959" w:themeColor="text1" w:themeTint="A6"/>
      <w:lang w:val="en-US"/>
    </w:rPr>
  </w:style>
  <w:style w:type="character" w:customStyle="1" w:styleId="Heading7Char">
    <w:name w:val="Heading 7 Char"/>
    <w:basedOn w:val="DefaultParagraphFont"/>
    <w:link w:val="Heading7"/>
    <w:uiPriority w:val="9"/>
    <w:semiHidden/>
    <w:rsid w:val="008C7383"/>
    <w:rPr>
      <w:rFonts w:eastAsiaTheme="majorEastAsia" w:cstheme="majorBidi"/>
      <w:color w:val="595959" w:themeColor="text1" w:themeTint="A6"/>
      <w:lang w:val="en-US"/>
    </w:rPr>
  </w:style>
  <w:style w:type="character" w:customStyle="1" w:styleId="Heading8Char">
    <w:name w:val="Heading 8 Char"/>
    <w:basedOn w:val="DefaultParagraphFont"/>
    <w:link w:val="Heading8"/>
    <w:uiPriority w:val="9"/>
    <w:semiHidden/>
    <w:rsid w:val="008C7383"/>
    <w:rPr>
      <w:rFonts w:eastAsiaTheme="majorEastAsia" w:cstheme="majorBidi"/>
      <w:i/>
      <w:iCs/>
      <w:color w:val="272727" w:themeColor="text1" w:themeTint="D8"/>
      <w:lang w:val="en-US"/>
    </w:rPr>
  </w:style>
  <w:style w:type="character" w:customStyle="1" w:styleId="Heading9Char">
    <w:name w:val="Heading 9 Char"/>
    <w:basedOn w:val="DefaultParagraphFont"/>
    <w:link w:val="Heading9"/>
    <w:uiPriority w:val="9"/>
    <w:semiHidden/>
    <w:rsid w:val="008C7383"/>
    <w:rPr>
      <w:rFonts w:eastAsiaTheme="majorEastAsia" w:cstheme="majorBidi"/>
      <w:color w:val="272727" w:themeColor="text1" w:themeTint="D8"/>
      <w:lang w:val="en-US"/>
    </w:rPr>
  </w:style>
  <w:style w:type="paragraph" w:styleId="Title">
    <w:name w:val="Title"/>
    <w:basedOn w:val="Normal"/>
    <w:next w:val="Normal"/>
    <w:link w:val="TitleChar"/>
    <w:uiPriority w:val="10"/>
    <w:qFormat/>
    <w:rsid w:val="008C738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C7383"/>
    <w:rPr>
      <w:rFonts w:asciiTheme="majorHAnsi" w:eastAsiaTheme="majorEastAsia" w:hAnsiTheme="majorHAnsi" w:cstheme="majorBidi"/>
      <w:spacing w:val="-10"/>
      <w:kern w:val="28"/>
      <w:sz w:val="56"/>
      <w:szCs w:val="56"/>
      <w:lang w:val="en-US"/>
    </w:rPr>
  </w:style>
  <w:style w:type="paragraph" w:styleId="Subtitle">
    <w:name w:val="Subtitle"/>
    <w:basedOn w:val="Normal"/>
    <w:next w:val="Normal"/>
    <w:link w:val="SubtitleChar"/>
    <w:uiPriority w:val="11"/>
    <w:qFormat/>
    <w:rsid w:val="008C738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C7383"/>
    <w:rPr>
      <w:rFonts w:eastAsiaTheme="majorEastAsia" w:cstheme="majorBidi"/>
      <w:color w:val="595959" w:themeColor="text1" w:themeTint="A6"/>
      <w:spacing w:val="15"/>
      <w:sz w:val="28"/>
      <w:szCs w:val="28"/>
      <w:lang w:val="en-US"/>
    </w:rPr>
  </w:style>
  <w:style w:type="paragraph" w:styleId="Quote">
    <w:name w:val="Quote"/>
    <w:basedOn w:val="Normal"/>
    <w:next w:val="Normal"/>
    <w:link w:val="QuoteChar"/>
    <w:uiPriority w:val="29"/>
    <w:qFormat/>
    <w:rsid w:val="008C7383"/>
    <w:pPr>
      <w:spacing w:before="160"/>
      <w:jc w:val="center"/>
    </w:pPr>
    <w:rPr>
      <w:i/>
      <w:iCs/>
      <w:color w:val="404040" w:themeColor="text1" w:themeTint="BF"/>
    </w:rPr>
  </w:style>
  <w:style w:type="character" w:customStyle="1" w:styleId="QuoteChar">
    <w:name w:val="Quote Char"/>
    <w:basedOn w:val="DefaultParagraphFont"/>
    <w:link w:val="Quote"/>
    <w:uiPriority w:val="29"/>
    <w:rsid w:val="008C7383"/>
    <w:rPr>
      <w:i/>
      <w:iCs/>
      <w:color w:val="404040" w:themeColor="text1" w:themeTint="BF"/>
      <w:lang w:val="en-US"/>
    </w:rPr>
  </w:style>
  <w:style w:type="paragraph" w:styleId="ListParagraph">
    <w:name w:val="List Paragraph"/>
    <w:basedOn w:val="Normal"/>
    <w:uiPriority w:val="34"/>
    <w:qFormat/>
    <w:rsid w:val="008C7383"/>
    <w:pPr>
      <w:ind w:left="720"/>
      <w:contextualSpacing/>
    </w:pPr>
  </w:style>
  <w:style w:type="character" w:styleId="IntenseEmphasis">
    <w:name w:val="Intense Emphasis"/>
    <w:basedOn w:val="DefaultParagraphFont"/>
    <w:uiPriority w:val="21"/>
    <w:qFormat/>
    <w:rsid w:val="008C7383"/>
    <w:rPr>
      <w:i/>
      <w:iCs/>
      <w:color w:val="2F5496" w:themeColor="accent1" w:themeShade="BF"/>
    </w:rPr>
  </w:style>
  <w:style w:type="paragraph" w:styleId="IntenseQuote">
    <w:name w:val="Intense Quote"/>
    <w:basedOn w:val="Normal"/>
    <w:next w:val="Normal"/>
    <w:link w:val="IntenseQuoteChar"/>
    <w:uiPriority w:val="30"/>
    <w:qFormat/>
    <w:rsid w:val="008C738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C7383"/>
    <w:rPr>
      <w:i/>
      <w:iCs/>
      <w:color w:val="2F5496" w:themeColor="accent1" w:themeShade="BF"/>
      <w:lang w:val="en-US"/>
    </w:rPr>
  </w:style>
  <w:style w:type="character" w:styleId="IntenseReference">
    <w:name w:val="Intense Reference"/>
    <w:basedOn w:val="DefaultParagraphFont"/>
    <w:uiPriority w:val="32"/>
    <w:qFormat/>
    <w:rsid w:val="008C7383"/>
    <w:rPr>
      <w:b/>
      <w:bCs/>
      <w:smallCaps/>
      <w:color w:val="2F5496" w:themeColor="accent1" w:themeShade="BF"/>
      <w:spacing w:val="5"/>
    </w:rPr>
  </w:style>
  <w:style w:type="paragraph" w:styleId="Header">
    <w:name w:val="header"/>
    <w:basedOn w:val="Normal"/>
    <w:link w:val="HeaderChar"/>
    <w:uiPriority w:val="99"/>
    <w:unhideWhenUsed/>
    <w:rsid w:val="007F367A"/>
    <w:pPr>
      <w:tabs>
        <w:tab w:val="center" w:pos="4819"/>
        <w:tab w:val="right" w:pos="9638"/>
      </w:tabs>
      <w:spacing w:after="0" w:line="240" w:lineRule="auto"/>
    </w:pPr>
  </w:style>
  <w:style w:type="character" w:customStyle="1" w:styleId="HeaderChar">
    <w:name w:val="Header Char"/>
    <w:basedOn w:val="DefaultParagraphFont"/>
    <w:link w:val="Header"/>
    <w:uiPriority w:val="99"/>
    <w:rsid w:val="007F367A"/>
    <w:rPr>
      <w:lang w:val="en-US"/>
    </w:rPr>
  </w:style>
  <w:style w:type="paragraph" w:styleId="Footer">
    <w:name w:val="footer"/>
    <w:basedOn w:val="Normal"/>
    <w:link w:val="FooterChar"/>
    <w:uiPriority w:val="99"/>
    <w:unhideWhenUsed/>
    <w:rsid w:val="007F367A"/>
    <w:pPr>
      <w:tabs>
        <w:tab w:val="center" w:pos="4819"/>
        <w:tab w:val="right" w:pos="9638"/>
      </w:tabs>
      <w:spacing w:after="0" w:line="240" w:lineRule="auto"/>
    </w:pPr>
  </w:style>
  <w:style w:type="character" w:customStyle="1" w:styleId="FooterChar">
    <w:name w:val="Footer Char"/>
    <w:basedOn w:val="DefaultParagraphFont"/>
    <w:link w:val="Footer"/>
    <w:uiPriority w:val="99"/>
    <w:rsid w:val="007F367A"/>
    <w:rPr>
      <w:lang w:val="en-US"/>
    </w:rPr>
  </w:style>
  <w:style w:type="table" w:styleId="TableGrid">
    <w:name w:val="Table Grid"/>
    <w:basedOn w:val="TableNormal"/>
    <w:uiPriority w:val="39"/>
    <w:rsid w:val="00B90FC8"/>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155</TotalTime>
  <Pages>8</Pages>
  <Words>2753</Words>
  <Characters>14137</Characters>
  <Application>Microsoft Office Word</Application>
  <DocSecurity>0</DocSecurity>
  <Lines>709</Lines>
  <Paragraphs>541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Ferri</dc:creator>
  <cp:keywords/>
  <dc:description/>
  <cp:lastModifiedBy>Nicola Ferri</cp:lastModifiedBy>
  <cp:revision>11</cp:revision>
  <dcterms:created xsi:type="dcterms:W3CDTF">2025-11-12T10:21:00Z</dcterms:created>
  <dcterms:modified xsi:type="dcterms:W3CDTF">2025-11-25T17:49:00Z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2b1ed9e6-a8db-4445-86bb-f0d1d627ccef</vt:lpwstr>
  </property>
</Properties>
</file>