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EE9DC" w14:textId="4C9EDB16" w:rsidR="00C66E8A" w:rsidRPr="00BF0D27" w:rsidRDefault="00C66E8A" w:rsidP="00675684">
      <w:pPr>
        <w:jc w:val="center"/>
        <w:rPr>
          <w:rFonts w:ascii="Arial" w:hAnsi="Arial" w:cs="Arial"/>
          <w:b/>
          <w:bCs/>
          <w:lang w:val="en-US"/>
        </w:rPr>
      </w:pPr>
      <w:r w:rsidRPr="00BF0D27">
        <w:rPr>
          <w:rFonts w:ascii="Arial" w:hAnsi="Arial" w:cs="Arial"/>
          <w:b/>
          <w:bCs/>
          <w:lang w:val="en-US"/>
        </w:rPr>
        <w:t>Optimal parameters for reliable PMv–M1 facilitation identified with dual coil TMS</w:t>
      </w:r>
    </w:p>
    <w:p w14:paraId="0E3B759B" w14:textId="465712E5" w:rsidR="00F74703" w:rsidRPr="00BF0D27" w:rsidRDefault="00F74703" w:rsidP="00CE68BE">
      <w:pPr>
        <w:jc w:val="center"/>
        <w:rPr>
          <w:rFonts w:ascii="Arial" w:hAnsi="Arial" w:cs="Arial"/>
          <w:vertAlign w:val="superscript"/>
          <w:lang w:val="it-IT"/>
        </w:rPr>
      </w:pPr>
      <w:r w:rsidRPr="00BF0D27">
        <w:rPr>
          <w:rFonts w:ascii="Arial" w:hAnsi="Arial" w:cs="Arial"/>
          <w:lang w:val="it-IT"/>
        </w:rPr>
        <w:t>Bevacqua, N.</w:t>
      </w:r>
      <w:r w:rsidR="001574B0" w:rsidRPr="00BF0D27">
        <w:rPr>
          <w:rFonts w:ascii="Arial" w:hAnsi="Arial" w:cs="Arial"/>
          <w:vertAlign w:val="superscript"/>
          <w:lang w:val="it-IT"/>
        </w:rPr>
        <w:t>1,2</w:t>
      </w:r>
      <w:r w:rsidRPr="00BF0D27">
        <w:rPr>
          <w:rFonts w:ascii="Arial" w:hAnsi="Arial" w:cs="Arial"/>
          <w:lang w:val="it-IT"/>
        </w:rPr>
        <w:t>, Turrini, S.</w:t>
      </w:r>
      <w:r w:rsidR="001574B0" w:rsidRPr="00BF0D27">
        <w:rPr>
          <w:rFonts w:ascii="Arial" w:hAnsi="Arial" w:cs="Arial"/>
          <w:vertAlign w:val="superscript"/>
          <w:lang w:val="it-IT"/>
        </w:rPr>
        <w:t>1</w:t>
      </w:r>
      <w:r w:rsidR="001574B0" w:rsidRPr="00BF0D27">
        <w:rPr>
          <w:rFonts w:ascii="Arial" w:hAnsi="Arial" w:cs="Arial"/>
          <w:lang w:val="it-IT"/>
        </w:rPr>
        <w:t>, Avenanti, A.</w:t>
      </w:r>
      <w:r w:rsidR="001574B0" w:rsidRPr="00BF0D27">
        <w:rPr>
          <w:rFonts w:ascii="Arial" w:hAnsi="Arial" w:cs="Arial"/>
          <w:vertAlign w:val="superscript"/>
          <w:lang w:val="it-IT"/>
        </w:rPr>
        <w:t>1,</w:t>
      </w:r>
      <w:r w:rsidR="001F1F21">
        <w:rPr>
          <w:rFonts w:ascii="Arial" w:hAnsi="Arial" w:cs="Arial"/>
          <w:vertAlign w:val="superscript"/>
          <w:lang w:val="it-IT"/>
        </w:rPr>
        <w:t>3</w:t>
      </w:r>
      <w:r w:rsidR="00125F55" w:rsidRPr="00BF0D27">
        <w:rPr>
          <w:rFonts w:ascii="Arial" w:hAnsi="Arial" w:cs="Arial"/>
          <w:lang w:val="it-IT"/>
        </w:rPr>
        <w:t>*</w:t>
      </w:r>
    </w:p>
    <w:p w14:paraId="1324841B" w14:textId="77777777" w:rsidR="001574B0" w:rsidRPr="00BF0D27" w:rsidRDefault="001574B0" w:rsidP="00CE68BE">
      <w:pPr>
        <w:spacing w:after="0" w:line="360" w:lineRule="auto"/>
        <w:rPr>
          <w:rFonts w:ascii="Arial" w:eastAsiaTheme="majorEastAsia" w:hAnsi="Arial" w:cs="Arial"/>
          <w:sz w:val="20"/>
          <w:szCs w:val="20"/>
          <w:lang w:val="it-IT"/>
        </w:rPr>
      </w:pPr>
      <w:bookmarkStart w:id="0" w:name="_Hlk164775852"/>
      <w:r w:rsidRPr="00BF0D27">
        <w:rPr>
          <w:rFonts w:ascii="Arial" w:eastAsiaTheme="majorEastAsia" w:hAnsi="Arial" w:cs="Arial"/>
          <w:sz w:val="20"/>
          <w:szCs w:val="20"/>
          <w:vertAlign w:val="superscript"/>
          <w:lang w:val="it-IT"/>
        </w:rPr>
        <w:t xml:space="preserve">1 </w:t>
      </w:r>
      <w:r w:rsidRPr="00BF0D27">
        <w:rPr>
          <w:rFonts w:ascii="Arial" w:eastAsiaTheme="majorEastAsia" w:hAnsi="Arial" w:cs="Arial"/>
          <w:sz w:val="20"/>
          <w:szCs w:val="20"/>
          <w:lang w:val="it-IT"/>
        </w:rPr>
        <w:t>Centro studi e ricerche in Neuroscienze Cognitive, Dipartimento di Psicologia “Renzo Canestrari”, Campus di Cesena, Alma Mater Studiorum Università di Bologna, 47521 Cesena, Italy;</w:t>
      </w:r>
    </w:p>
    <w:p w14:paraId="7AECCA6F" w14:textId="77777777" w:rsidR="001574B0" w:rsidRPr="00BF0D27" w:rsidRDefault="001574B0" w:rsidP="00CE68BE">
      <w:pPr>
        <w:spacing w:after="0" w:line="360" w:lineRule="auto"/>
        <w:rPr>
          <w:rFonts w:ascii="Arial" w:eastAsiaTheme="majorEastAsia" w:hAnsi="Arial" w:cs="Arial"/>
          <w:sz w:val="20"/>
          <w:szCs w:val="20"/>
          <w:lang w:val="it-IT"/>
        </w:rPr>
      </w:pPr>
      <w:r w:rsidRPr="00BF0D27">
        <w:rPr>
          <w:rFonts w:ascii="Arial" w:eastAsiaTheme="majorEastAsia" w:hAnsi="Arial" w:cs="Arial"/>
          <w:sz w:val="20"/>
          <w:szCs w:val="20"/>
          <w:vertAlign w:val="superscript"/>
          <w:lang w:val="it-IT"/>
        </w:rPr>
        <w:t xml:space="preserve">2 </w:t>
      </w:r>
      <w:r w:rsidRPr="00BF0D27">
        <w:rPr>
          <w:rFonts w:ascii="Arial" w:eastAsiaTheme="majorEastAsia" w:hAnsi="Arial" w:cs="Arial"/>
          <w:sz w:val="20"/>
          <w:szCs w:val="20"/>
          <w:lang w:val="it-IT"/>
        </w:rPr>
        <w:t>Dipartimento di Psicologia, Sapienza Università di Roma, 00185 Rome, Italy;</w:t>
      </w:r>
    </w:p>
    <w:p w14:paraId="657F067A" w14:textId="0BBF6B36" w:rsidR="001574B0" w:rsidRPr="00BF0D27" w:rsidRDefault="001574B0" w:rsidP="00CE68BE">
      <w:pPr>
        <w:spacing w:after="0" w:line="360" w:lineRule="auto"/>
        <w:rPr>
          <w:rFonts w:ascii="Arial" w:eastAsiaTheme="majorEastAsia" w:hAnsi="Arial" w:cs="Arial"/>
          <w:sz w:val="20"/>
          <w:szCs w:val="20"/>
          <w:lang w:val="es-CL"/>
        </w:rPr>
      </w:pPr>
      <w:r w:rsidRPr="00BF0D27">
        <w:rPr>
          <w:rFonts w:ascii="Arial" w:eastAsiaTheme="majorEastAsia" w:hAnsi="Arial" w:cs="Arial"/>
          <w:sz w:val="20"/>
          <w:szCs w:val="20"/>
          <w:vertAlign w:val="superscript"/>
          <w:lang w:val="it-IT"/>
        </w:rPr>
        <w:t>3</w:t>
      </w:r>
      <w:r w:rsidRPr="00BF0D27">
        <w:rPr>
          <w:rFonts w:ascii="Arial" w:eastAsiaTheme="majorEastAsia" w:hAnsi="Arial" w:cs="Arial"/>
          <w:sz w:val="20"/>
          <w:szCs w:val="20"/>
          <w:vertAlign w:val="superscript"/>
          <w:lang w:val="es-CL"/>
        </w:rPr>
        <w:t xml:space="preserve"> </w:t>
      </w:r>
      <w:r w:rsidRPr="00BF0D27">
        <w:rPr>
          <w:rFonts w:ascii="Arial" w:eastAsiaTheme="majorEastAsia" w:hAnsi="Arial" w:cs="Arial"/>
          <w:sz w:val="20"/>
          <w:szCs w:val="20"/>
          <w:lang w:val="es-CL"/>
        </w:rPr>
        <w:t>Centro de Investigación en Neuropsicología y Neurosciencias Cognitivas (CINPSI Neurocog), Universidad Católica Del Maule, 3460000 Talca, Chile.</w:t>
      </w:r>
    </w:p>
    <w:p w14:paraId="70C02256" w14:textId="5D337C84" w:rsidR="00125F55" w:rsidRPr="00BF0D27" w:rsidRDefault="00125F55" w:rsidP="00075463">
      <w:pPr>
        <w:rPr>
          <w:rFonts w:ascii="Arial" w:hAnsi="Arial" w:cs="Arial"/>
          <w:sz w:val="20"/>
          <w:szCs w:val="20"/>
          <w:lang w:val="es-CL"/>
        </w:rPr>
      </w:pPr>
      <w:r w:rsidRPr="00BF0D27">
        <w:rPr>
          <w:rFonts w:ascii="Arial" w:hAnsi="Arial" w:cs="Arial"/>
          <w:sz w:val="20"/>
          <w:szCs w:val="20"/>
          <w:lang w:val="es-CL"/>
        </w:rPr>
        <w:t>* corresponding author</w:t>
      </w:r>
    </w:p>
    <w:bookmarkEnd w:id="0"/>
    <w:p w14:paraId="75C462B9" w14:textId="77777777" w:rsidR="00F74703" w:rsidRPr="00BF0D27" w:rsidRDefault="00F74703" w:rsidP="006D79F0">
      <w:pPr>
        <w:jc w:val="both"/>
        <w:rPr>
          <w:rFonts w:ascii="Arial" w:hAnsi="Arial" w:cs="Arial"/>
          <w:lang w:val="es-CL"/>
        </w:rPr>
      </w:pPr>
    </w:p>
    <w:p w14:paraId="4C396941" w14:textId="37DB8BB2" w:rsidR="001574B0" w:rsidRPr="00BF0D27" w:rsidRDefault="00E34BE2" w:rsidP="00075463">
      <w:pPr>
        <w:spacing w:after="0" w:line="360" w:lineRule="auto"/>
        <w:jc w:val="both"/>
        <w:rPr>
          <w:rFonts w:ascii="Arial" w:hAnsi="Arial" w:cs="Arial"/>
          <w:b/>
          <w:bCs/>
          <w:lang w:val="en-US"/>
        </w:rPr>
      </w:pPr>
      <w:r>
        <w:rPr>
          <w:rFonts w:ascii="Arial" w:hAnsi="Arial" w:cs="Arial"/>
          <w:b/>
          <w:bCs/>
          <w:lang w:val="en-US"/>
        </w:rPr>
        <w:t xml:space="preserve">1. </w:t>
      </w:r>
      <w:r w:rsidR="001574B0" w:rsidRPr="00BF0D27">
        <w:rPr>
          <w:rFonts w:ascii="Arial" w:hAnsi="Arial" w:cs="Arial"/>
          <w:b/>
          <w:bCs/>
          <w:lang w:val="en-US"/>
        </w:rPr>
        <w:t>Supplementary Methods</w:t>
      </w:r>
    </w:p>
    <w:p w14:paraId="59786FD6" w14:textId="7C8B0D11" w:rsidR="00A96516" w:rsidRPr="00BF0D27" w:rsidRDefault="00E34BE2" w:rsidP="006D79F0">
      <w:pPr>
        <w:spacing w:before="240" w:after="0"/>
        <w:jc w:val="both"/>
        <w:rPr>
          <w:rFonts w:ascii="Arial" w:hAnsi="Arial" w:cs="Arial"/>
          <w:lang w:val="es-CL"/>
        </w:rPr>
      </w:pPr>
      <w:r>
        <w:rPr>
          <w:rFonts w:ascii="Arial" w:hAnsi="Arial" w:cs="Arial"/>
          <w:i/>
          <w:iCs/>
          <w:lang w:val="es-CL"/>
        </w:rPr>
        <w:t xml:space="preserve">1.1 </w:t>
      </w:r>
      <w:r w:rsidR="00B40871" w:rsidRPr="00BF0D27">
        <w:rPr>
          <w:rFonts w:ascii="Arial" w:hAnsi="Arial" w:cs="Arial"/>
          <w:i/>
          <w:iCs/>
          <w:lang w:val="es-CL"/>
        </w:rPr>
        <w:t>Pa</w:t>
      </w:r>
      <w:r w:rsidR="00A96516" w:rsidRPr="00BF0D27">
        <w:rPr>
          <w:rFonts w:ascii="Arial" w:hAnsi="Arial" w:cs="Arial"/>
          <w:i/>
          <w:iCs/>
          <w:lang w:val="es-CL"/>
        </w:rPr>
        <w:t>r</w:t>
      </w:r>
      <w:r w:rsidR="00B40871" w:rsidRPr="00BF0D27">
        <w:rPr>
          <w:rFonts w:ascii="Arial" w:hAnsi="Arial" w:cs="Arial"/>
          <w:i/>
          <w:iCs/>
          <w:lang w:val="es-CL"/>
        </w:rPr>
        <w:t xml:space="preserve">ticipants </w:t>
      </w:r>
    </w:p>
    <w:p w14:paraId="3DB0DD06" w14:textId="6AAA66CD" w:rsidR="00B40871" w:rsidRPr="00BF0D27" w:rsidRDefault="009B57F7" w:rsidP="003866F2">
      <w:pPr>
        <w:ind w:firstLine="708"/>
        <w:jc w:val="both"/>
        <w:rPr>
          <w:rFonts w:ascii="Arial" w:hAnsi="Arial" w:cs="Arial"/>
          <w:lang w:val="es-CL"/>
        </w:rPr>
      </w:pPr>
      <w:r w:rsidRPr="00BF0D27">
        <w:rPr>
          <w:rFonts w:ascii="Arial" w:hAnsi="Arial" w:cs="Arial"/>
          <w:lang w:val="es-CL"/>
        </w:rPr>
        <w:t xml:space="preserve">To </w:t>
      </w:r>
      <w:r w:rsidR="00AB7981" w:rsidRPr="00BF0D27">
        <w:rPr>
          <w:rFonts w:ascii="Arial" w:hAnsi="Arial" w:cs="Arial"/>
          <w:lang w:val="es-CL"/>
        </w:rPr>
        <w:t>determine the sample size, we conducted an a priori power analysis using GPower software (3.1.9.7 version) for a mixed-design ANOVA with within-between factors covering 2 groups and 15 measurements</w:t>
      </w:r>
      <w:r w:rsidR="00CB364B" w:rsidRPr="00BF0D27">
        <w:rPr>
          <w:rFonts w:ascii="Arial" w:hAnsi="Arial" w:cs="Arial"/>
          <w:lang w:val="es-CL"/>
        </w:rPr>
        <w:t xml:space="preserve"> (5 intensities*3 ISI)</w:t>
      </w:r>
      <w:r w:rsidR="009C2AFC" w:rsidRPr="00BF0D27">
        <w:rPr>
          <w:rFonts w:ascii="Arial" w:hAnsi="Arial" w:cs="Arial"/>
          <w:lang w:val="es-CL"/>
        </w:rPr>
        <w:t xml:space="preserve">. </w:t>
      </w:r>
      <w:r w:rsidR="00AF3D2F" w:rsidRPr="00BF0D27">
        <w:rPr>
          <w:rFonts w:ascii="Arial" w:hAnsi="Arial" w:cs="Arial"/>
          <w:lang w:val="es-CL"/>
        </w:rPr>
        <w:t xml:space="preserve">We aimed to achieve a </w:t>
      </w:r>
      <w:r w:rsidR="00AE031B" w:rsidRPr="00BF0D27">
        <w:rPr>
          <w:rFonts w:ascii="Arial" w:hAnsi="Arial" w:cs="Arial"/>
          <w:lang w:val="es-CL"/>
        </w:rPr>
        <w:t>statistical power of .95 and set the significan</w:t>
      </w:r>
      <w:r w:rsidR="00A426A9" w:rsidRPr="00BF0D27">
        <w:rPr>
          <w:rFonts w:ascii="Arial" w:hAnsi="Arial" w:cs="Arial"/>
          <w:lang w:val="es-CL"/>
        </w:rPr>
        <w:t>ce level at .05.</w:t>
      </w:r>
      <w:r w:rsidR="000666FE" w:rsidRPr="00BF0D27">
        <w:rPr>
          <w:rFonts w:ascii="Arial" w:hAnsi="Arial" w:cs="Arial"/>
          <w:lang w:val="es-CL"/>
        </w:rPr>
        <w:t xml:space="preserve"> </w:t>
      </w:r>
      <w:r w:rsidR="001710ED" w:rsidRPr="00BF0D27">
        <w:rPr>
          <w:rFonts w:ascii="Arial" w:hAnsi="Arial" w:cs="Arial"/>
          <w:lang w:val="es-CL"/>
        </w:rPr>
        <w:t>Since the effect size w</w:t>
      </w:r>
      <w:r w:rsidR="00A60C4B" w:rsidRPr="00BF0D27">
        <w:rPr>
          <w:rFonts w:ascii="Arial" w:hAnsi="Arial" w:cs="Arial"/>
          <w:lang w:val="es-CL"/>
        </w:rPr>
        <w:t>as rarely reported</w:t>
      </w:r>
      <w:r w:rsidR="00370824" w:rsidRPr="00BF0D27">
        <w:rPr>
          <w:rFonts w:ascii="Arial" w:hAnsi="Arial" w:cs="Arial"/>
          <w:lang w:val="es-CL"/>
        </w:rPr>
        <w:t xml:space="preserve"> and the</w:t>
      </w:r>
      <w:r w:rsidR="001D62A3">
        <w:rPr>
          <w:rFonts w:ascii="Arial" w:hAnsi="Arial" w:cs="Arial"/>
          <w:lang w:val="es-CL"/>
        </w:rPr>
        <w:t>re is a</w:t>
      </w:r>
      <w:r w:rsidR="00370824" w:rsidRPr="00BF0D27">
        <w:rPr>
          <w:rFonts w:ascii="Arial" w:hAnsi="Arial" w:cs="Arial"/>
          <w:lang w:val="es-CL"/>
        </w:rPr>
        <w:t xml:space="preserve"> discrepancy of the dual</w:t>
      </w:r>
      <w:r w:rsidR="00972F7F" w:rsidRPr="00BF0D27">
        <w:rPr>
          <w:rFonts w:ascii="Arial" w:hAnsi="Arial" w:cs="Arial"/>
          <w:lang w:val="es-CL"/>
        </w:rPr>
        <w:t xml:space="preserve"> coil </w:t>
      </w:r>
      <w:r w:rsidR="001D62A3">
        <w:rPr>
          <w:rFonts w:ascii="Arial" w:hAnsi="Arial" w:cs="Arial"/>
          <w:lang w:val="es-CL"/>
        </w:rPr>
        <w:t>effect</w:t>
      </w:r>
      <w:r w:rsidR="00972F7F" w:rsidRPr="00BF0D27">
        <w:rPr>
          <w:rFonts w:ascii="Arial" w:hAnsi="Arial" w:cs="Arial"/>
          <w:lang w:val="es-CL"/>
        </w:rPr>
        <w:t xml:space="preserve"> </w:t>
      </w:r>
      <w:r w:rsidR="00972F7F" w:rsidRPr="00BF0D27">
        <w:rPr>
          <w:rFonts w:ascii="Arial" w:hAnsi="Arial" w:cs="Arial"/>
          <w:lang w:val="es-CL"/>
        </w:rPr>
        <w:fldChar w:fldCharType="begin"/>
      </w:r>
      <w:r w:rsidR="00AE03F8">
        <w:rPr>
          <w:rFonts w:ascii="Arial" w:hAnsi="Arial" w:cs="Arial"/>
          <w:lang w:val="es-CL"/>
        </w:rPr>
        <w:instrText xml:space="preserve"> ADDIN ZOTERO_ITEM CSL_CITATION {"citationID":"Q7RW7OQV","properties":{"formattedCitation":"(Van Malderen et al., 2023)","plainCitation":"(Van Malderen et al., 2023)","noteIndex":0},"citationItems":[{"id":12596,"uris":["http://zotero.org/users/10009444/items/Z9WAS3Z6"],"itemData":{"id":12596,"type":"article-journal","abstract":"Dual-site transcranial magnetic stimulation (ds-TMS) is well suited to investigate the causal effect of distant brain regions on the primary motor cortex, both at rest and during motor performance and learning. However, given the broad set of stimulation parameters, clarity about which parameters are most effective for identifying particular interactions is lacking. Here, evidence describing inter- and intra-hemispheric interactions during rest and in the context of motor tasks is reviewed. Our aims are threefold: (1) provide a detailed overview of ds-TMS literature regarding inter- and intra-hemispheric connectivity; (2) describe the applicability and contributions of these interactions to motor control, and; (3) discuss the practical implications and future directions. Of the 3659 studies screened, 109 were included and discussed. Overall, there is remarkable variability in the experimental context for assessing ds-TMS interactions, as well as in the use and reporting of stimulation parameters, hindering a quantitative comparison of results across studies. Further studies examining ds-TMS interactions in a systematic manner, and in which all critical parameters are carefully reported, are needed.","container-title":"Reviews in the Neurosciences","DOI":"10.1515/revneuro-2022-0020","ISSN":"2191-0200","issue":"2","language":"en","license":"De Gruyter expressly reserves the right to use all content for commercial text and data mining within the meaning of Section 44b of the German Copyright Act.","note":"publisher: De Gruyter","page":"129-221","source":"www.degruyter.com","title":"Dual-site TMS as a tool to probe effective interactions within the motor network: a review","title-short":"Dual-site TMS as a tool to probe effective interactions within the motor network","volume":"34","author":[{"family":"Van Malderen","given":"Shanti Van"},{"family":"Hehl","given":"Melina"},{"family":"Verstraelen","given":"Stefanie"},{"family":"Swinnen","given":"Stephan P."},{"family":"Cuypers","given":"Koen"}],"issued":{"date-parts":[["2023",2,1]]}}}],"schema":"https://github.com/citation-style-language/schema/raw/master/csl-citation.json"} </w:instrText>
      </w:r>
      <w:r w:rsidR="00972F7F" w:rsidRPr="00BF0D27">
        <w:rPr>
          <w:rFonts w:ascii="Arial" w:hAnsi="Arial" w:cs="Arial"/>
          <w:lang w:val="es-CL"/>
        </w:rPr>
        <w:fldChar w:fldCharType="separate"/>
      </w:r>
      <w:r w:rsidR="00AE03F8" w:rsidRPr="00AE03F8">
        <w:rPr>
          <w:rFonts w:ascii="Arial" w:hAnsi="Arial" w:cs="Arial"/>
        </w:rPr>
        <w:t>(Van Malderen et al., 2023)</w:t>
      </w:r>
      <w:r w:rsidR="00972F7F" w:rsidRPr="00BF0D27">
        <w:rPr>
          <w:rFonts w:ascii="Arial" w:hAnsi="Arial" w:cs="Arial"/>
          <w:lang w:val="es-CL"/>
        </w:rPr>
        <w:fldChar w:fldCharType="end"/>
      </w:r>
      <w:r w:rsidR="00972F7F" w:rsidRPr="00BF0D27">
        <w:rPr>
          <w:rFonts w:ascii="Arial" w:hAnsi="Arial" w:cs="Arial"/>
          <w:lang w:val="es-CL"/>
        </w:rPr>
        <w:t>,</w:t>
      </w:r>
      <w:r w:rsidR="001D62A3">
        <w:rPr>
          <w:rFonts w:ascii="Arial" w:hAnsi="Arial" w:cs="Arial"/>
          <w:lang w:val="es-CL"/>
        </w:rPr>
        <w:t xml:space="preserve"> we used</w:t>
      </w:r>
      <w:r w:rsidR="00972F7F" w:rsidRPr="00BF0D27">
        <w:rPr>
          <w:rFonts w:ascii="Arial" w:hAnsi="Arial" w:cs="Arial"/>
          <w:lang w:val="es-CL"/>
        </w:rPr>
        <w:t xml:space="preserve"> a</w:t>
      </w:r>
      <w:r w:rsidR="00B4079A" w:rsidRPr="00BF0D27">
        <w:rPr>
          <w:rFonts w:ascii="Arial" w:hAnsi="Arial" w:cs="Arial"/>
          <w:lang w:val="es-CL"/>
        </w:rPr>
        <w:t xml:space="preserve"> </w:t>
      </w:r>
      <w:r w:rsidR="000666FE" w:rsidRPr="00BF0D27">
        <w:rPr>
          <w:rFonts w:ascii="Arial" w:hAnsi="Arial" w:cs="Arial"/>
          <w:lang w:val="es-CL"/>
        </w:rPr>
        <w:t>small-to-medium effect size (</w:t>
      </w:r>
      <w:r w:rsidR="006909F2" w:rsidRPr="00BF0D27">
        <w:rPr>
          <w:rFonts w:ascii="Arial" w:hAnsi="Arial" w:cs="Arial"/>
          <w:lang w:val="es-CL"/>
        </w:rPr>
        <w:t>partial η</w:t>
      </w:r>
      <w:r w:rsidR="006909F2" w:rsidRPr="00BF0D27">
        <w:rPr>
          <w:rFonts w:ascii="Arial" w:hAnsi="Arial" w:cs="Arial"/>
          <w:vertAlign w:val="superscript"/>
          <w:lang w:val="es-CL"/>
        </w:rPr>
        <w:t>2</w:t>
      </w:r>
      <w:r w:rsidR="006909F2" w:rsidRPr="00BF0D27">
        <w:rPr>
          <w:rFonts w:ascii="Arial" w:hAnsi="Arial" w:cs="Arial"/>
          <w:lang w:val="es-CL"/>
        </w:rPr>
        <w:t>=</w:t>
      </w:r>
      <w:r w:rsidR="00305FE1" w:rsidRPr="00BF0D27">
        <w:rPr>
          <w:rFonts w:ascii="Arial" w:hAnsi="Arial" w:cs="Arial"/>
          <w:lang w:val="es-CL"/>
        </w:rPr>
        <w:t>.03</w:t>
      </w:r>
      <w:r w:rsidR="00A426A9" w:rsidRPr="00BF0D27">
        <w:rPr>
          <w:rFonts w:ascii="Arial" w:hAnsi="Arial" w:cs="Arial"/>
          <w:lang w:val="es-CL"/>
        </w:rPr>
        <w:t>; f=.18</w:t>
      </w:r>
      <w:r w:rsidR="000666FE" w:rsidRPr="00BF0D27">
        <w:rPr>
          <w:rFonts w:ascii="Arial" w:hAnsi="Arial" w:cs="Arial"/>
          <w:lang w:val="es-CL"/>
        </w:rPr>
        <w:t>)</w:t>
      </w:r>
      <w:r w:rsidR="002D0930" w:rsidRPr="00BF0D27">
        <w:rPr>
          <w:rFonts w:ascii="Arial" w:hAnsi="Arial" w:cs="Arial"/>
          <w:lang w:val="es-CL"/>
        </w:rPr>
        <w:t xml:space="preserve">. </w:t>
      </w:r>
      <w:r w:rsidR="00D53A2F" w:rsidRPr="00BF0D27">
        <w:rPr>
          <w:rFonts w:ascii="Arial" w:hAnsi="Arial" w:cs="Arial"/>
          <w:lang w:val="es-CL"/>
        </w:rPr>
        <w:t xml:space="preserve">The power analysis </w:t>
      </w:r>
      <w:r w:rsidR="00AB7981" w:rsidRPr="00BF0D27">
        <w:rPr>
          <w:rFonts w:ascii="Arial" w:hAnsi="Arial" w:cs="Arial"/>
          <w:lang w:val="es-CL"/>
        </w:rPr>
        <w:t>indicates</w:t>
      </w:r>
      <w:r w:rsidR="00D53A2F" w:rsidRPr="00BF0D27">
        <w:rPr>
          <w:rFonts w:ascii="Arial" w:hAnsi="Arial" w:cs="Arial"/>
          <w:lang w:val="es-CL"/>
        </w:rPr>
        <w:t xml:space="preserve"> that 30 participants w</w:t>
      </w:r>
      <w:r w:rsidR="00DC4D19" w:rsidRPr="00BF0D27">
        <w:rPr>
          <w:rFonts w:ascii="Arial" w:hAnsi="Arial" w:cs="Arial"/>
          <w:lang w:val="es-CL"/>
        </w:rPr>
        <w:t xml:space="preserve">ere necessary to adequately power the study. </w:t>
      </w:r>
      <w:r w:rsidR="00AB7981" w:rsidRPr="00BF0D27">
        <w:rPr>
          <w:rFonts w:ascii="Arial" w:hAnsi="Arial" w:cs="Arial"/>
          <w:lang w:val="es-CL"/>
        </w:rPr>
        <w:t>Consequently</w:t>
      </w:r>
      <w:r w:rsidR="00DC4D19" w:rsidRPr="00BF0D27">
        <w:rPr>
          <w:rFonts w:ascii="Arial" w:hAnsi="Arial" w:cs="Arial"/>
          <w:lang w:val="es-CL"/>
        </w:rPr>
        <w:t>,</w:t>
      </w:r>
      <w:r w:rsidR="003866F2" w:rsidRPr="00BF0D27">
        <w:rPr>
          <w:rFonts w:ascii="Arial" w:hAnsi="Arial" w:cs="Arial"/>
          <w:lang w:val="es-CL"/>
        </w:rPr>
        <w:t xml:space="preserve"> </w:t>
      </w:r>
      <w:r w:rsidR="00B40871" w:rsidRPr="00BF0D27">
        <w:rPr>
          <w:rFonts w:ascii="Arial" w:hAnsi="Arial" w:cs="Arial"/>
          <w:lang w:val="es-CL"/>
        </w:rPr>
        <w:t>30 young healty participants (</w:t>
      </w:r>
      <w:r w:rsidR="00B40871" w:rsidRPr="00BF0D27">
        <w:rPr>
          <w:rFonts w:ascii="Arial" w:hAnsi="Arial" w:cs="Arial"/>
          <w:kern w:val="0"/>
          <w:lang w:val="en-US"/>
          <w14:ligatures w14:val="none"/>
        </w:rPr>
        <w:t>mean age</w:t>
      </w:r>
      <w:r w:rsidR="00050306" w:rsidRPr="00BF0D27">
        <w:rPr>
          <w:rFonts w:ascii="Arial" w:hAnsi="Arial" w:cs="Arial"/>
          <w:kern w:val="0"/>
          <w:lang w:val="en-US"/>
          <w14:ligatures w14:val="none"/>
        </w:rPr>
        <w:t xml:space="preserve"> </w:t>
      </w:r>
      <w:r w:rsidR="000B72E2" w:rsidRPr="00BF0D27">
        <w:rPr>
          <w:rFonts w:ascii="Arial" w:hAnsi="Arial" w:cs="Arial"/>
          <w:kern w:val="0"/>
          <w:lang w:val="en-US"/>
          <w14:ligatures w14:val="none"/>
        </w:rPr>
        <w:t>±</w:t>
      </w:r>
      <w:r w:rsidR="00050306" w:rsidRPr="00BF0D27">
        <w:rPr>
          <w:rFonts w:ascii="Arial" w:hAnsi="Arial" w:cs="Arial"/>
          <w:kern w:val="0"/>
          <w:lang w:val="en-US"/>
          <w14:ligatures w14:val="none"/>
        </w:rPr>
        <w:t xml:space="preserve"> </w:t>
      </w:r>
      <w:r w:rsidR="00F0230A" w:rsidRPr="00BF0D27">
        <w:rPr>
          <w:rFonts w:ascii="Arial" w:hAnsi="Arial" w:cs="Arial"/>
          <w:kern w:val="0"/>
          <w:lang w:val="en-US"/>
          <w14:ligatures w14:val="none"/>
        </w:rPr>
        <w:t xml:space="preserve">standard deviation = </w:t>
      </w:r>
      <w:r w:rsidR="00B40871" w:rsidRPr="00BF0D27">
        <w:rPr>
          <w:rFonts w:ascii="Arial" w:hAnsi="Arial" w:cs="Arial"/>
          <w:kern w:val="0"/>
          <w:lang w:val="en-US"/>
          <w14:ligatures w14:val="none"/>
        </w:rPr>
        <w:t>24.8 y</w:t>
      </w:r>
      <w:r w:rsidR="00F0230A" w:rsidRPr="00BF0D27">
        <w:rPr>
          <w:rFonts w:ascii="Arial" w:hAnsi="Arial" w:cs="Arial"/>
          <w:kern w:val="0"/>
          <w:lang w:val="en-US"/>
          <w14:ligatures w14:val="none"/>
        </w:rPr>
        <w:t>±</w:t>
      </w:r>
      <w:r w:rsidR="00B40871" w:rsidRPr="00BF0D27">
        <w:rPr>
          <w:rFonts w:ascii="Arial" w:hAnsi="Arial" w:cs="Arial"/>
          <w:kern w:val="0"/>
          <w:lang w:val="en-US"/>
          <w14:ligatures w14:val="none"/>
        </w:rPr>
        <w:t>4.5; 18 females)</w:t>
      </w:r>
      <w:r w:rsidR="00664B9E" w:rsidRPr="00BF0D27">
        <w:rPr>
          <w:rFonts w:ascii="Arial" w:hAnsi="Arial" w:cs="Arial"/>
          <w:kern w:val="0"/>
          <w:lang w:val="en-US"/>
          <w14:ligatures w14:val="none"/>
        </w:rPr>
        <w:t xml:space="preserve"> were tested and</w:t>
      </w:r>
      <w:r w:rsidR="00B40871" w:rsidRPr="00BF0D27">
        <w:rPr>
          <w:rFonts w:ascii="Arial" w:hAnsi="Arial" w:cs="Arial"/>
          <w:kern w:val="0"/>
          <w:lang w:val="en-US"/>
          <w14:ligatures w14:val="none"/>
        </w:rPr>
        <w:t xml:space="preserve"> divided randomly in two groups (N = 15 each) based on the intensity of the transcranial magnetic stimulation (TMS) test pulse (see </w:t>
      </w:r>
      <w:r w:rsidR="00D67C9F" w:rsidRPr="00BF0D27">
        <w:rPr>
          <w:rFonts w:ascii="Arial" w:hAnsi="Arial" w:cs="Arial"/>
          <w:kern w:val="0"/>
          <w:lang w:val="en-US"/>
          <w14:ligatures w14:val="none"/>
        </w:rPr>
        <w:t xml:space="preserve">Electromyography recording and TMS protocol </w:t>
      </w:r>
      <w:r w:rsidR="00983095" w:rsidRPr="00BF0D27">
        <w:rPr>
          <w:rFonts w:ascii="Arial" w:hAnsi="Arial" w:cs="Arial"/>
          <w:kern w:val="0"/>
          <w:lang w:val="en-US"/>
          <w14:ligatures w14:val="none"/>
        </w:rPr>
        <w:t>section</w:t>
      </w:r>
      <w:r w:rsidR="00B40871" w:rsidRPr="00BF0D27">
        <w:rPr>
          <w:rFonts w:ascii="Arial" w:hAnsi="Arial" w:cs="Arial"/>
          <w:kern w:val="0"/>
          <w:lang w:val="en-US"/>
          <w14:ligatures w14:val="none"/>
        </w:rPr>
        <w:t>)</w:t>
      </w:r>
      <w:r w:rsidR="0016499E" w:rsidRPr="00BF0D27">
        <w:rPr>
          <w:rFonts w:ascii="Arial" w:hAnsi="Arial" w:cs="Arial"/>
          <w:kern w:val="0"/>
          <w:lang w:val="en-US"/>
          <w14:ligatures w14:val="none"/>
        </w:rPr>
        <w:t xml:space="preserve">: the </w:t>
      </w:r>
      <w:r w:rsidR="006B2CAF" w:rsidRPr="00BF0D27">
        <w:rPr>
          <w:rFonts w:ascii="Arial" w:hAnsi="Arial" w:cs="Arial"/>
          <w:kern w:val="0"/>
          <w:lang w:val="en-US"/>
          <w14:ligatures w14:val="none"/>
        </w:rPr>
        <w:t>TS</w:t>
      </w:r>
      <w:r w:rsidR="0016499E" w:rsidRPr="00BF0D27">
        <w:rPr>
          <w:rFonts w:ascii="Arial" w:hAnsi="Arial" w:cs="Arial"/>
          <w:kern w:val="0"/>
          <w:vertAlign w:val="subscript"/>
          <w:lang w:val="en-US"/>
          <w14:ligatures w14:val="none"/>
        </w:rPr>
        <w:t>1mV</w:t>
      </w:r>
      <w:r w:rsidR="0016499E" w:rsidRPr="00BF0D27">
        <w:rPr>
          <w:rFonts w:ascii="Arial" w:hAnsi="Arial" w:cs="Arial"/>
          <w:kern w:val="0"/>
          <w:lang w:val="en-US"/>
          <w14:ligatures w14:val="none"/>
        </w:rPr>
        <w:t xml:space="preserve"> group </w:t>
      </w:r>
      <w:r w:rsidR="00983095" w:rsidRPr="00BF0D27">
        <w:rPr>
          <w:rFonts w:ascii="Arial" w:hAnsi="Arial" w:cs="Arial"/>
          <w:kern w:val="0"/>
          <w:lang w:val="en-US"/>
          <w14:ligatures w14:val="none"/>
        </w:rPr>
        <w:t xml:space="preserve">and the </w:t>
      </w:r>
      <w:r w:rsidR="006B2CAF" w:rsidRPr="00BF0D27">
        <w:rPr>
          <w:rFonts w:ascii="Arial" w:hAnsi="Arial" w:cs="Arial"/>
          <w:kern w:val="0"/>
          <w:lang w:val="en-US"/>
          <w14:ligatures w14:val="none"/>
        </w:rPr>
        <w:t>TS</w:t>
      </w:r>
      <w:r w:rsidR="00983095" w:rsidRPr="00BF0D27">
        <w:rPr>
          <w:rFonts w:ascii="Arial" w:hAnsi="Arial" w:cs="Arial"/>
          <w:kern w:val="0"/>
          <w:vertAlign w:val="subscript"/>
          <w:lang w:val="en-US"/>
          <w14:ligatures w14:val="none"/>
        </w:rPr>
        <w:t>2mV</w:t>
      </w:r>
      <w:r w:rsidR="00983095" w:rsidRPr="00BF0D27">
        <w:rPr>
          <w:rFonts w:ascii="Arial" w:hAnsi="Arial" w:cs="Arial"/>
          <w:kern w:val="0"/>
          <w:lang w:val="en-US"/>
          <w14:ligatures w14:val="none"/>
        </w:rPr>
        <w:t xml:space="preserve"> group </w:t>
      </w:r>
      <w:r w:rsidR="00146371" w:rsidRPr="00BF0D27">
        <w:rPr>
          <w:rFonts w:ascii="Arial" w:hAnsi="Arial" w:cs="Arial"/>
          <w:kern w:val="0"/>
          <w:lang w:val="en-US"/>
          <w14:ligatures w14:val="none"/>
        </w:rPr>
        <w:t>(see Table 1</w:t>
      </w:r>
      <w:r w:rsidR="002E42FD" w:rsidRPr="00BF0D27">
        <w:rPr>
          <w:rFonts w:ascii="Arial" w:hAnsi="Arial" w:cs="Arial"/>
          <w:kern w:val="0"/>
          <w:lang w:val="en-US"/>
          <w14:ligatures w14:val="none"/>
        </w:rPr>
        <w:t>S</w:t>
      </w:r>
      <w:r w:rsidR="00146371" w:rsidRPr="00BF0D27">
        <w:rPr>
          <w:rFonts w:ascii="Arial" w:hAnsi="Arial" w:cs="Arial"/>
          <w:kern w:val="0"/>
          <w:lang w:val="en-US"/>
          <w14:ligatures w14:val="none"/>
        </w:rPr>
        <w:t xml:space="preserve"> for demographic information). </w:t>
      </w:r>
      <w:r w:rsidR="00983095" w:rsidRPr="00BF0D27">
        <w:rPr>
          <w:rFonts w:ascii="Arial" w:hAnsi="Arial" w:cs="Arial"/>
          <w:kern w:val="0"/>
          <w:lang w:val="en-US"/>
          <w14:ligatures w14:val="none"/>
        </w:rPr>
        <w:t xml:space="preserve">All participants were right-handed according to the Edinburgh Handedness Inventory </w:t>
      </w:r>
      <w:r w:rsidR="00983095" w:rsidRPr="00BF0D27">
        <w:rPr>
          <w:rFonts w:ascii="Arial" w:hAnsi="Arial" w:cs="Arial"/>
          <w:kern w:val="0"/>
          <w:lang w:val="en-US"/>
          <w14:ligatures w14:val="none"/>
        </w:rPr>
        <w:fldChar w:fldCharType="begin"/>
      </w:r>
      <w:r w:rsidR="00AE03F8">
        <w:rPr>
          <w:rFonts w:ascii="Arial" w:hAnsi="Arial" w:cs="Arial"/>
          <w:kern w:val="0"/>
          <w:lang w:val="en-US"/>
          <w14:ligatures w14:val="none"/>
        </w:rPr>
        <w:instrText xml:space="preserve"> ADDIN ZOTERO_ITEM CSL_CITATION {"citationID":"fPsZv6xG","properties":{"formattedCitation":"(Oldfield, 1971)","plainCitation":"(Oldfield, 1971)","noteIndex":0},"citationItems":[{"id":4915,"uris":["http://zotero.org/users/10009444/items/VD9NHYCU"],"itemData":{"id":4915,"type":"article-journal","abstract":"The need for a simply applied quantitative assessment of handedness is discussed and some previous forms reviewed. An inventory of 20 items with a set of instructions and response- and computational-conventions is proposed and the results obtained from a young adult population numbering some 1100 individuals are reported. The separate items are examined from the point of view of sex, cultural and socio-economic factors which might appertain to them and also of their inter-relationship to each other and to the measure computed from them all. Criteria derived from these considerations are then applied to eliminate 10 of the original 20 items and the results recomputed to provide frequency-distribution and cumulative frequency functions and a revised item-analysis. The difference of incidence of handedness between the sexes is discussed.\nRésumé\nLa nécessité d'une évaluation quantitative et d'application simple de la fréquence manuelle est discutée. Les inventaires déjà proposés sont passés en revue. Un inventaire de 20 items avec une série d'instructions et de conventions de réponse—et de calcul—est présenté de même que les résultats obtenus sur une population de 1100 jeunes adultes. Les items sont examinés séparément du point de vue des facteurs de sexe, culturel et socio-économiques qui pourraient se rapporter à ces items. Ils sont aussi examinés sous l'angle de leur interrelation mutuelle et avec la mesure globale calculée sur l'ensemble. Les critères obtenus sur ces bases ont été alors appliqués pour éliminer 10 des 20 items originaux et les résultats sont à nouveau calculés pour procurer des fonctions de distribution de fréquence et de fréquence cumulative. De même, une révision de l'analyse des items a été pratiquée sur ces bases. On discute enfin la différence d'incidence de la prévalence manuelle selon les sexes.\nZusammenfassung\nEs wird die Notwendigkeit für eine einfach anwendbare quantitative Einschätzung der Händigkeit diskutiert und über einige frühere Angehungsweisen berichtet. Eine Liste von 20 Teilkomplexen sowie den jeweiligen Instruktionen und Antworten und deren Berechnung wird dargestelt und es wird auβerdem über die damit gewonnenen Untersuchungsergebnisse bei einer Populationsgruppe von 1100 jungen Menschen berichtet. Getrennte Testbewertung erfolgte unter dem Gesichtspunkt des Geschlechts, des kulturellen und sozialökonomischen Status der Probanden und den jeweiligen Beziehungen zwischen ihnen. Alles wurde mit Computer berechnet. Aus den Untersuchungen lieβ sich folgern, daβ 10 der ursprünglich 20 Teiltests und deren Ergebnisse allein geeignet sind, Häufigkeitsbeurteilung der Händigkeit, überwiegende Zahl von Einzelfunktionen und eine revidierte Item-Analyse zu liefern. Es wird der Geschlechtsunterschied der Händigkeit diskutiert.","container-title":"Neuropsychologia","DOI":"10.1016/0028-3932(71)90067-4","ISSN":"0028-3932","issue":"1","journalAbbreviation":"Neuropsychologia","language":"en","page":"97-113","source":"ScienceDirect","title":"The assessment and analysis of handedness: The Edinburgh inventory","title-short":"The assessment and analysis of handedness","volume":"9","author":[{"family":"Oldfield","given":"R. C."}],"issued":{"date-parts":[["1971",3,1]]}}}],"schema":"https://github.com/citation-style-language/schema/raw/master/csl-citation.json"} </w:instrText>
      </w:r>
      <w:r w:rsidR="00983095" w:rsidRPr="00BF0D27">
        <w:rPr>
          <w:rFonts w:ascii="Arial" w:hAnsi="Arial" w:cs="Arial"/>
          <w:kern w:val="0"/>
          <w:lang w:val="en-US"/>
          <w14:ligatures w14:val="none"/>
        </w:rPr>
        <w:fldChar w:fldCharType="separate"/>
      </w:r>
      <w:r w:rsidR="00AE03F8" w:rsidRPr="00AE03F8">
        <w:rPr>
          <w:rFonts w:ascii="Arial" w:hAnsi="Arial" w:cs="Arial"/>
        </w:rPr>
        <w:t>(Oldfield, 1971)</w:t>
      </w:r>
      <w:r w:rsidR="00983095" w:rsidRPr="00BF0D27">
        <w:rPr>
          <w:rFonts w:ascii="Arial" w:hAnsi="Arial" w:cs="Arial"/>
          <w:kern w:val="0"/>
          <w:lang w:val="en-US"/>
          <w14:ligatures w14:val="none"/>
        </w:rPr>
        <w:fldChar w:fldCharType="end"/>
      </w:r>
      <w:r w:rsidR="00983095" w:rsidRPr="00BF0D27">
        <w:rPr>
          <w:rFonts w:ascii="Arial" w:hAnsi="Arial" w:cs="Arial"/>
          <w:kern w:val="0"/>
          <w:lang w:val="en-US"/>
          <w14:ligatures w14:val="none"/>
        </w:rPr>
        <w:t>, had normal or corrected-to-normal eyesight</w:t>
      </w:r>
      <w:r w:rsidR="00664B9E" w:rsidRPr="00BF0D27">
        <w:rPr>
          <w:rFonts w:ascii="Arial" w:hAnsi="Arial" w:cs="Arial"/>
          <w:kern w:val="0"/>
          <w:lang w:val="en-US"/>
          <w14:ligatures w14:val="none"/>
        </w:rPr>
        <w:t>,</w:t>
      </w:r>
      <w:r w:rsidR="00983095" w:rsidRPr="00BF0D27">
        <w:rPr>
          <w:rFonts w:ascii="Arial" w:hAnsi="Arial" w:cs="Arial"/>
          <w:kern w:val="0"/>
          <w:lang w:val="en-US"/>
          <w14:ligatures w14:val="none"/>
        </w:rPr>
        <w:t xml:space="preserve"> were naïve </w:t>
      </w:r>
      <w:r w:rsidR="00664B9E" w:rsidRPr="00BF0D27">
        <w:rPr>
          <w:rFonts w:ascii="Arial" w:hAnsi="Arial" w:cs="Arial"/>
          <w:kern w:val="0"/>
          <w:lang w:val="en-US"/>
          <w14:ligatures w14:val="none"/>
        </w:rPr>
        <w:t xml:space="preserve">about </w:t>
      </w:r>
      <w:r w:rsidR="00983095" w:rsidRPr="00BF0D27">
        <w:rPr>
          <w:rFonts w:ascii="Arial" w:hAnsi="Arial" w:cs="Arial"/>
          <w:kern w:val="0"/>
          <w:lang w:val="en-US"/>
          <w14:ligatures w14:val="none"/>
        </w:rPr>
        <w:t xml:space="preserve">the goal of the experiment, and </w:t>
      </w:r>
      <w:r w:rsidR="00664B9E" w:rsidRPr="00BF0D27">
        <w:rPr>
          <w:rFonts w:ascii="Arial" w:hAnsi="Arial" w:cs="Arial"/>
          <w:kern w:val="0"/>
          <w:lang w:val="en-US"/>
          <w14:ligatures w14:val="none"/>
        </w:rPr>
        <w:t xml:space="preserve">reported </w:t>
      </w:r>
      <w:r w:rsidR="00983095" w:rsidRPr="00BF0D27">
        <w:rPr>
          <w:rFonts w:ascii="Arial" w:hAnsi="Arial" w:cs="Arial"/>
          <w:kern w:val="0"/>
          <w:lang w:val="en-US"/>
          <w14:ligatures w14:val="none"/>
        </w:rPr>
        <w:t xml:space="preserve">no contraindications to TMS </w:t>
      </w:r>
      <w:r w:rsidR="00983095" w:rsidRPr="00BF0D27">
        <w:rPr>
          <w:rFonts w:ascii="Arial" w:hAnsi="Arial" w:cs="Arial"/>
          <w:kern w:val="0"/>
          <w:lang w:val="en-US"/>
          <w14:ligatures w14:val="none"/>
        </w:rPr>
        <w:fldChar w:fldCharType="begin"/>
      </w:r>
      <w:r w:rsidR="00AE03F8">
        <w:rPr>
          <w:rFonts w:ascii="Arial" w:hAnsi="Arial" w:cs="Arial"/>
          <w:kern w:val="0"/>
          <w:lang w:val="en-US"/>
          <w14:ligatures w14:val="none"/>
        </w:rPr>
        <w:instrText xml:space="preserve"> ADDIN ZOTERO_ITEM CSL_CITATION {"citationID":"2kkLFJef","properties":{"formattedCitation":"(Rossi et al., 2021)","plainCitation":"(Rossi et al., 2021)","noteIndex":0},"citationItems":[{"id":3087,"uris":["http://zotero.org/users/10009444/items/ACTJV5SF"],"itemData":{"id":3087,"type":"article-journal","abstract":"This article is based on a consensus conference, promoted and supported by the International Federation of Clinical Neurophysiology (IFCN), which took place in Siena (Italy) in October 2018. The meeting intended to update the ten-year-old safety guidelines for the application of transcranial magnetic stimulation (TMS) in research and clinical settings (Rossi et al., 2009). Therefore, only emerging and new issues are covered in detail, leaving still valid the 2009 recommendations regarding the description of conventional or patterned TMS protocols, the screening of subjects/patients, the need of neurophysiological monitoring for new protocols, the utilization of reference thresholds of stimulation, the managing of seizures and the list of minor side effects. New issues discussed in detail from the meeting up to April 2020 are safety issues of recently developed stimulation devices and pulse configurations; duties and responsibility of device makers; novel scenarios of TMS applications such as in the neuroimaging context or imaging-guided and robot-guided TMS; TMS interleaved with transcranial electrical stimulation; safety during paired associative stimulation interventions; and risks of using TMS to induce therapeutic seizures (magnetic seizure therapy). An update on the possible induction of seizures, theoretically the most serious risk of TMS, is provided. It has become apparent that such a risk is low, even in patients taking drugs acting on the central nervous system, at least with the use of traditional stimulation parameters and focal coils for which large data sets are available. Finally, new operational guidelines are provided for safety in planning future trials based on traditional and patterned TMS protocols, as well as a summary of the minimal training requirements for operators, and a note on ethics of neuroenhancement.","container-title":"Clinical Neurophysiology","DOI":"10.1016/j.clinph.2020.10.003","ISSN":"1388-2457","issue":"1","journalAbbreviation":"Clinical Neurophysiology","language":"en","page":"269-306","source":"ScienceDirect","title":"Safety and recommendations for TMS use in healthy subjects and patient populations, with updates on training, ethical and regulatory issues: Expert Guidelines","title-short":"Safety and recommendations for TMS use in healthy subjects and patient populations, with updates on training, ethical and regulatory issues","volume":"132","author":[{"family":"Rossi","given":"Simone"},{"family":"Antal","given":"Andrea"},{"family":"Bestmann","given":"Sven"},{"family":"Bikson","given":"Marom"},{"family":"Brewer","given":"Carmen"},{"family":"Brockmöller","given":"Jürgen"},{"family":"Carpenter","given":"Linda L."},{"family":"Cincotta","given":"Massimo"},{"family":"Chen","given":"Robert"},{"family":"Daskalakis","given":"Jeff D."},{"family":"Di Lazzaro","given":"Vincenzo"},{"family":"Fox","given":"Michael D."},{"family":"George","given":"Mark S."},{"family":"Gilbert","given":"Donald"},{"family":"Kimiskidis","given":"Vasilios K."},{"family":"Koch","given":"Giacomo"},{"family":"Ilmoniemi","given":"Risto J."},{"family":"Lefaucheur","given":"Jean Pascal"},{"family":"Leocani","given":"Letizia"},{"family":"Lisanby","given":"Sarah H."},{"family":"Miniussi","given":"Carlo"},{"family":"Padberg","given":"Frank"},{"family":"Pascual-Leone","given":"Alvaro"},{"family":"Paulus","given":"Walter"},{"family":"Peterchev","given":"Angel V."},{"family":"Quartarone","given":"Angelo"},{"family":"Rotenberg","given":"Alexander"},{"family":"Rothwell","given":"John"},{"family":"Rossini","given":"Paolo M."},{"family":"Santarnecchi","given":"Emiliano"},{"family":"Shafi","given":"Mouhsin M."},{"family":"Siebner","given":"Hartwig R."},{"family":"Ugawa","given":"Yoshikatzu"},{"family":"Wassermann","given":"Eric M."},{"family":"Zangen","given":"Abraham"},{"family":"Ziemann","given":"Ulf"},{"family":"Hallett","given":"Mark"}],"issued":{"date-parts":[["2021",1,1]]}}}],"schema":"https://github.com/citation-style-language/schema/raw/master/csl-citation.json"} </w:instrText>
      </w:r>
      <w:r w:rsidR="00983095" w:rsidRPr="00BF0D27">
        <w:rPr>
          <w:rFonts w:ascii="Arial" w:hAnsi="Arial" w:cs="Arial"/>
          <w:kern w:val="0"/>
          <w:lang w:val="en-US"/>
          <w14:ligatures w14:val="none"/>
        </w:rPr>
        <w:fldChar w:fldCharType="separate"/>
      </w:r>
      <w:r w:rsidR="00AE03F8" w:rsidRPr="00AE03F8">
        <w:rPr>
          <w:rFonts w:ascii="Arial" w:hAnsi="Arial" w:cs="Arial"/>
        </w:rPr>
        <w:t>(Rossi et al., 2021)</w:t>
      </w:r>
      <w:r w:rsidR="00983095" w:rsidRPr="00BF0D27">
        <w:rPr>
          <w:rFonts w:ascii="Arial" w:hAnsi="Arial" w:cs="Arial"/>
          <w:kern w:val="0"/>
          <w:lang w:val="en-US"/>
          <w14:ligatures w14:val="none"/>
        </w:rPr>
        <w:fldChar w:fldCharType="end"/>
      </w:r>
      <w:r w:rsidR="00983095" w:rsidRPr="00BF0D27">
        <w:rPr>
          <w:rFonts w:ascii="Arial" w:hAnsi="Arial" w:cs="Arial"/>
          <w:kern w:val="0"/>
          <w:lang w:val="en-US"/>
          <w14:ligatures w14:val="none"/>
        </w:rPr>
        <w:t xml:space="preserve">. All experimental procedures were carried out in accordance with the 1964 Helsinki Declaration and its amendments </w:t>
      </w:r>
      <w:r w:rsidR="00983095" w:rsidRPr="00BF0D27">
        <w:rPr>
          <w:rFonts w:ascii="Arial" w:hAnsi="Arial" w:cs="Arial"/>
          <w:kern w:val="0"/>
          <w:lang w:val="en-US"/>
          <w14:ligatures w14:val="none"/>
        </w:rPr>
        <w:fldChar w:fldCharType="begin"/>
      </w:r>
      <w:r w:rsidR="00AE03F8">
        <w:rPr>
          <w:rFonts w:ascii="Arial" w:hAnsi="Arial" w:cs="Arial"/>
          <w:kern w:val="0"/>
          <w:lang w:val="en-US"/>
          <w14:ligatures w14:val="none"/>
        </w:rPr>
        <w:instrText xml:space="preserve"> ADDIN ZOTERO_ITEM CSL_CITATION {"citationID":"NeoUj6Lc","properties":{"formattedCitation":"(World Medical Association, 2013)","plainCitation":"(World Medical Association, 2013)","noteIndex":0},"citationItems":[{"id":5126,"uris":["http://zotero.org/users/10009444/items/XFWB2VWZ"],"itemData":{"id":5126,"type":"article-journal","container-title":"JAMA","DOI":"10.1001/jama.2013.281053","ISSN":"0098-7484","issue":"20","journalAbbreviation":"JAMA","page":"2191-2194","source":"Silverchair","title":"World Medical Association Declaration of Helsinki: Ethical Principles for Medical Research Involving Human Subjects","title-short":"World Medical Association Declaration of Helsinki","volume":"310","author":[{"literal":"World Medical Association"}],"issued":{"date-parts":[["2013",11,27]]}}}],"schema":"https://github.com/citation-style-language/schema/raw/master/csl-citation.json"} </w:instrText>
      </w:r>
      <w:r w:rsidR="00983095" w:rsidRPr="00BF0D27">
        <w:rPr>
          <w:rFonts w:ascii="Arial" w:hAnsi="Arial" w:cs="Arial"/>
          <w:kern w:val="0"/>
          <w:lang w:val="en-US"/>
          <w14:ligatures w14:val="none"/>
        </w:rPr>
        <w:fldChar w:fldCharType="separate"/>
      </w:r>
      <w:r w:rsidR="00AE03F8" w:rsidRPr="00AE03F8">
        <w:rPr>
          <w:rFonts w:ascii="Arial" w:hAnsi="Arial" w:cs="Arial"/>
        </w:rPr>
        <w:t>(World Medical Association, 2013)</w:t>
      </w:r>
      <w:r w:rsidR="00983095" w:rsidRPr="00BF0D27">
        <w:rPr>
          <w:rFonts w:ascii="Arial" w:hAnsi="Arial" w:cs="Arial"/>
          <w:kern w:val="0"/>
          <w:lang w:val="en-US"/>
          <w14:ligatures w14:val="none"/>
        </w:rPr>
        <w:fldChar w:fldCharType="end"/>
      </w:r>
      <w:r w:rsidR="00983095" w:rsidRPr="00BF0D27">
        <w:rPr>
          <w:rFonts w:ascii="Arial" w:hAnsi="Arial" w:cs="Arial"/>
          <w:kern w:val="0"/>
          <w:lang w:val="en-US"/>
          <w14:ligatures w14:val="none"/>
        </w:rPr>
        <w:t xml:space="preserve"> and were approved by the University of Bologna's Department of Psychology "Renzo Canestrari" Ethical Committee and the Bioethics Committee. </w:t>
      </w:r>
      <w:r w:rsidR="001E6B43" w:rsidRPr="00BF0D27">
        <w:rPr>
          <w:rFonts w:ascii="Arial" w:hAnsi="Arial" w:cs="Arial"/>
          <w:kern w:val="0"/>
          <w:lang w:val="en-US"/>
          <w14:ligatures w14:val="none"/>
        </w:rPr>
        <w:t xml:space="preserve">No adverse responses or TMS-related discomfort were </w:t>
      </w:r>
      <w:r w:rsidR="00983095" w:rsidRPr="00BF0D27">
        <w:rPr>
          <w:rFonts w:ascii="Arial" w:hAnsi="Arial" w:cs="Arial"/>
          <w:kern w:val="0"/>
          <w:lang w:val="en-US"/>
          <w14:ligatures w14:val="none"/>
        </w:rPr>
        <w:t xml:space="preserve">reported by subjects or observed by experimenters. </w:t>
      </w:r>
    </w:p>
    <w:p w14:paraId="1E65E37A" w14:textId="39FB092F" w:rsidR="0072772D" w:rsidRPr="00BF0D27" w:rsidRDefault="00E34BE2" w:rsidP="006D79F0">
      <w:pPr>
        <w:spacing w:before="240" w:after="0"/>
        <w:jc w:val="both"/>
        <w:rPr>
          <w:rFonts w:ascii="Arial" w:hAnsi="Arial" w:cs="Arial"/>
          <w:i/>
          <w:iCs/>
          <w:lang w:val="es-CL"/>
        </w:rPr>
      </w:pPr>
      <w:r>
        <w:rPr>
          <w:rFonts w:ascii="Arial" w:hAnsi="Arial" w:cs="Arial"/>
          <w:i/>
          <w:iCs/>
          <w:lang w:val="es-CL"/>
        </w:rPr>
        <w:t xml:space="preserve">1.2 </w:t>
      </w:r>
      <w:r w:rsidR="0072772D" w:rsidRPr="00BF0D27">
        <w:rPr>
          <w:rFonts w:ascii="Arial" w:hAnsi="Arial" w:cs="Arial"/>
          <w:i/>
          <w:iCs/>
          <w:lang w:val="es-CL"/>
        </w:rPr>
        <w:t>General experimental design</w:t>
      </w:r>
    </w:p>
    <w:p w14:paraId="45D47A4A" w14:textId="70A2100B" w:rsidR="0072772D" w:rsidRPr="00BF0D27" w:rsidRDefault="0072772D" w:rsidP="006D79F0">
      <w:pPr>
        <w:ind w:firstLine="708"/>
        <w:jc w:val="both"/>
        <w:rPr>
          <w:rFonts w:ascii="Arial" w:hAnsi="Arial" w:cs="Arial"/>
          <w:kern w:val="0"/>
          <w:lang w:val="en-US"/>
          <w14:ligatures w14:val="none"/>
        </w:rPr>
      </w:pPr>
      <w:r w:rsidRPr="00BF0D27">
        <w:rPr>
          <w:rFonts w:ascii="Arial" w:hAnsi="Arial" w:cs="Arial"/>
          <w:kern w:val="0"/>
          <w:lang w:val="en-US"/>
          <w14:ligatures w14:val="none"/>
        </w:rPr>
        <w:t>The present study aimed to elucidate the effects of different stimulation intensities of both the conditioning (i.e., PMv) and test (i.e., M1) TMS pulses and of the</w:t>
      </w:r>
      <w:r w:rsidR="006724A2" w:rsidRPr="00BF0D27">
        <w:rPr>
          <w:rFonts w:ascii="Arial" w:hAnsi="Arial" w:cs="Arial"/>
          <w:kern w:val="0"/>
          <w:lang w:val="en-US"/>
          <w14:ligatures w14:val="none"/>
        </w:rPr>
        <w:t>ir</w:t>
      </w:r>
      <w:r w:rsidRPr="00BF0D27">
        <w:rPr>
          <w:rFonts w:ascii="Arial" w:hAnsi="Arial" w:cs="Arial"/>
          <w:kern w:val="0"/>
          <w:lang w:val="en-US"/>
          <w14:ligatures w14:val="none"/>
        </w:rPr>
        <w:t xml:space="preserve"> interstimulus interval (ISI)</w:t>
      </w:r>
      <w:r w:rsidR="006724A2" w:rsidRPr="00BF0D27">
        <w:rPr>
          <w:rFonts w:ascii="Arial" w:hAnsi="Arial" w:cs="Arial"/>
          <w:kern w:val="0"/>
          <w:lang w:val="en-US"/>
          <w14:ligatures w14:val="none"/>
        </w:rPr>
        <w:t xml:space="preserve"> </w:t>
      </w:r>
      <w:r w:rsidRPr="00BF0D27">
        <w:rPr>
          <w:rFonts w:ascii="Arial" w:hAnsi="Arial" w:cs="Arial"/>
          <w:kern w:val="0"/>
          <w:lang w:val="en-US"/>
          <w14:ligatures w14:val="none"/>
        </w:rPr>
        <w:t>on cortico-cortical connectivity between the PMv and M1, as assessed by dual coil TMS. The dual-coil stimulation comprised the first stimulation (conditioning stimulus, CS) of PMv closely followed by the second pulse (test stimulus, TS) on M1, that elicited motor evoked potentials (MEPs) recorded from the first dorsal intraosseous (FDI). Dual-coil</w:t>
      </w:r>
      <w:r w:rsidR="001677E4">
        <w:rPr>
          <w:rFonts w:ascii="Arial" w:hAnsi="Arial" w:cs="Arial"/>
          <w:kern w:val="0"/>
          <w:lang w:val="en-US"/>
          <w14:ligatures w14:val="none"/>
        </w:rPr>
        <w:t xml:space="preserve"> TMS</w:t>
      </w:r>
      <w:r w:rsidRPr="00BF0D27">
        <w:rPr>
          <w:rFonts w:ascii="Arial" w:hAnsi="Arial" w:cs="Arial"/>
          <w:kern w:val="0"/>
          <w:lang w:val="en-US"/>
          <w14:ligatures w14:val="none"/>
        </w:rPr>
        <w:t xml:space="preserve"> MEPs (</w:t>
      </w:r>
      <w:r w:rsidRPr="00BF0D27">
        <w:rPr>
          <w:rFonts w:ascii="Arial" w:hAnsi="Arial" w:cs="Arial"/>
          <w:lang w:val="en-US"/>
        </w:rPr>
        <w:t>dc</w:t>
      </w:r>
      <w:r w:rsidR="001677E4">
        <w:rPr>
          <w:rFonts w:ascii="Arial" w:hAnsi="Arial" w:cs="Arial"/>
          <w:lang w:val="en-US"/>
        </w:rPr>
        <w:t xml:space="preserve">TMS </w:t>
      </w:r>
      <w:r w:rsidRPr="00BF0D27">
        <w:rPr>
          <w:rFonts w:ascii="Arial" w:hAnsi="Arial" w:cs="Arial"/>
          <w:lang w:val="en-US"/>
        </w:rPr>
        <w:t>MEPs</w:t>
      </w:r>
      <w:r w:rsidRPr="00BF0D27">
        <w:rPr>
          <w:rFonts w:ascii="Arial" w:hAnsi="Arial" w:cs="Arial"/>
          <w:kern w:val="0"/>
          <w:lang w:val="en-US"/>
          <w14:ligatures w14:val="none"/>
        </w:rPr>
        <w:t>) were intermixed with MEPs elicited by the TS only (sp</w:t>
      </w:r>
      <w:r w:rsidR="001677E4">
        <w:rPr>
          <w:rFonts w:ascii="Arial" w:hAnsi="Arial" w:cs="Arial"/>
          <w:kern w:val="0"/>
          <w:lang w:val="en-US"/>
          <w14:ligatures w14:val="none"/>
        </w:rPr>
        <w:t xml:space="preserve">TMS </w:t>
      </w:r>
      <w:r w:rsidRPr="00BF0D27">
        <w:rPr>
          <w:rFonts w:ascii="Arial" w:hAnsi="Arial" w:cs="Arial"/>
          <w:kern w:val="0"/>
          <w:lang w:val="en-US"/>
          <w14:ligatures w14:val="none"/>
        </w:rPr>
        <w:t>MEPs), which provided a measure of M1 corticospinal excitability.</w:t>
      </w:r>
    </w:p>
    <w:p w14:paraId="6154A0E3" w14:textId="72EED997" w:rsidR="0072772D" w:rsidRPr="00BF0D27" w:rsidRDefault="0072772D" w:rsidP="006D79F0">
      <w:pPr>
        <w:ind w:firstLine="708"/>
        <w:jc w:val="both"/>
        <w:rPr>
          <w:rFonts w:ascii="Arial" w:hAnsi="Arial" w:cs="Arial"/>
          <w:lang w:val="en-US"/>
        </w:rPr>
      </w:pPr>
      <w:r w:rsidRPr="00BF0D27">
        <w:rPr>
          <w:rFonts w:ascii="Arial" w:hAnsi="Arial" w:cs="Arial"/>
          <w:kern w:val="0"/>
          <w:lang w:val="en-US"/>
          <w14:ligatures w14:val="none"/>
        </w:rPr>
        <w:t xml:space="preserve">The experiment started with the EMG setup, the detection of the </w:t>
      </w:r>
      <w:r w:rsidR="001176E7" w:rsidRPr="00BF0D27">
        <w:rPr>
          <w:rFonts w:ascii="Arial" w:hAnsi="Arial" w:cs="Arial"/>
          <w:kern w:val="0"/>
          <w:lang w:val="en-US"/>
          <w14:ligatures w14:val="none"/>
        </w:rPr>
        <w:t xml:space="preserve">M1 </w:t>
      </w:r>
      <w:r w:rsidRPr="00BF0D27">
        <w:rPr>
          <w:rFonts w:ascii="Arial" w:hAnsi="Arial" w:cs="Arial"/>
          <w:kern w:val="0"/>
          <w:lang w:val="en-US"/>
          <w14:ligatures w14:val="none"/>
        </w:rPr>
        <w:t>hotspot corresponding to the</w:t>
      </w:r>
      <w:r w:rsidR="001176E7" w:rsidRPr="00BF0D27">
        <w:rPr>
          <w:rFonts w:ascii="Arial" w:hAnsi="Arial" w:cs="Arial"/>
          <w:kern w:val="0"/>
          <w:lang w:val="en-US"/>
          <w14:ligatures w14:val="none"/>
        </w:rPr>
        <w:t xml:space="preserve"> cortical representation of the</w:t>
      </w:r>
      <w:r w:rsidRPr="00BF0D27">
        <w:rPr>
          <w:rFonts w:ascii="Arial" w:hAnsi="Arial" w:cs="Arial"/>
          <w:kern w:val="0"/>
          <w:lang w:val="en-US"/>
          <w14:ligatures w14:val="none"/>
        </w:rPr>
        <w:t xml:space="preserve"> right FDI and its resting motor threshold (rMT</w:t>
      </w:r>
      <w:r w:rsidR="003B2DA7" w:rsidRPr="00BF0D27">
        <w:rPr>
          <w:rFonts w:ascii="Arial" w:hAnsi="Arial" w:cs="Arial"/>
          <w:kern w:val="0"/>
          <w:lang w:val="en-US"/>
          <w14:ligatures w14:val="none"/>
        </w:rPr>
        <w:t xml:space="preserve">; </w:t>
      </w:r>
      <w:r w:rsidR="003B2DA7" w:rsidRPr="00BF0D27">
        <w:rPr>
          <w:rFonts w:ascii="Arial" w:hAnsi="Arial" w:cs="Arial"/>
          <w:lang w:val="en-US"/>
        </w:rPr>
        <w:t>see Table 1S for statistical analysis</w:t>
      </w:r>
      <w:r w:rsidRPr="00BF0D27">
        <w:rPr>
          <w:rFonts w:ascii="Arial" w:hAnsi="Arial" w:cs="Arial"/>
          <w:lang w:val="en-US"/>
        </w:rPr>
        <w:t xml:space="preserve">), defined as the minimum stimulator output intensity necessary to induce MEPs ~50 μV in 5 out of 10 consecutive trials </w:t>
      </w:r>
      <w:r w:rsidRPr="00BF0D27">
        <w:rPr>
          <w:rFonts w:ascii="Arial" w:hAnsi="Arial" w:cs="Arial"/>
          <w:lang w:val="en-US"/>
        </w:rPr>
        <w:fldChar w:fldCharType="begin"/>
      </w:r>
      <w:r w:rsidR="00AE03F8">
        <w:rPr>
          <w:rFonts w:ascii="Arial" w:hAnsi="Arial" w:cs="Arial"/>
          <w:lang w:val="en-US"/>
        </w:rPr>
        <w:instrText xml:space="preserve"> ADDIN ZOTERO_ITEM CSL_CITATION {"citationID":"PwF5YpRi","properties":{"formattedCitation":"(Rossini et al., 2015)","plainCitation":"(Rossini et al., 2015)","noteIndex":0},"citationItems":[{"id":557,"uris":["http://zotero.org/users/10009444/items/AMHEH5AK"],"itemData":{"id":557,"type":"article-journal","abstract":"These guidelines provide an up-date of previous IFCN report on \"Non-invasive electrical and magnetic stimulation of the brain, spinal cord and roots: basic principles and procedures for routine clinical application\" (. Rossini et al., 1994). A new Committee, composed of international experts, some of whom were in the panel of the 1994 \"Report\", was selected to produce a current state-of-the-art review of non-invasive stimulation both for clinical application and research in neuroscience.Since 1994, the international scientific community has seen a rapid increase in non-invasive brain stimulation in studying cognition, brain-behavior relationship and pathophysiology of various neurologic and psychiatric disorders. New paradigms of stimulation and new techniques have been developed. Furthermore, a large number of studies and clinical trials have demonstrated potential therapeutic applications of non-invasive brain stimulation, especially for TMS. Recent guidelines can be found in the literature covering specific aspects of non-invasive brain stimulation, such as safety (. Rossi et al., 2009), methodology (. Groppa et al., 2012) and therapeutic applications (. Lefaucheur et al., 2014).This up-dated review covers theoretical, physiological and practical aspects of non-invasive stimulation of brain, spinal cord, nerve roots and peripheral nerves in the light of more updated knowledge, and include some recent extensions and developments.","container-title":"Clinical Neurophysiology","DOI":"10.1016/j.clinph.2015.02.001","ISSN":"18728952","issue":"6","note":"PMID: 25797650\npublisher: Elsevier Ireland Ltd","page":"1071-1107","title":"Non-invasive electrical and magnetic stimulation of the brain, spinal cord, roots and peripheral nerves: Basic principles and procedures for routine clinical and research application: An updated report from an I.F.C.N. Committee","volume":"126","author":[{"family":"Rossini","given":"P. M."},{"family":"Burke","given":"D."},{"family":"Chen","given":"R."},{"family":"Cohen","given":"L. G."},{"family":"Daskalakis","given":"Z."},{"family":"Di Iorio","given":"R."},{"family":"Di Lazzaro","given":"V."},{"family":"Ferreri","given":"F."},{"family":"Fitzgerald","given":"P. B."},{"family":"George","given":"M. S."},{"family":"Hallett","given":"M."},{"family":"Lefaucheur","given":"J. P."},{"family":"Langguth","given":"B."},{"family":"Matsumoto","given":"H."},{"family":"Miniussi","given":"C."},{"family":"Nitsche","given":"M. A."},{"family":"Pascual-Leone","given":"A."},{"family":"Paulus","given":"W."},{"family":"Rossi","given":"S."},{"family":"Rothwell","given":"J. C."},{"family":"Siebner","given":"H. R."},{"family":"Ugawa","given":"Y."},{"family":"Walsh","given":"V."},{"family":"Ziemann","given":"U."}],"issued":{"date-parts":[["2015",6,1]]}}}],"schema":"https://github.com/citation-style-language/schema/raw/master/csl-citation.json"} </w:instrText>
      </w:r>
      <w:r w:rsidRPr="00BF0D27">
        <w:rPr>
          <w:rFonts w:ascii="Arial" w:hAnsi="Arial" w:cs="Arial"/>
          <w:lang w:val="en-US"/>
        </w:rPr>
        <w:fldChar w:fldCharType="separate"/>
      </w:r>
      <w:r w:rsidR="00AE03F8" w:rsidRPr="00AE03F8">
        <w:rPr>
          <w:rFonts w:ascii="Arial" w:hAnsi="Arial" w:cs="Arial"/>
        </w:rPr>
        <w:t>(Rossini et al., 2015)</w:t>
      </w:r>
      <w:r w:rsidRPr="00BF0D27">
        <w:rPr>
          <w:rFonts w:ascii="Arial" w:hAnsi="Arial" w:cs="Arial"/>
          <w:lang w:val="en-US"/>
        </w:rPr>
        <w:fldChar w:fldCharType="end"/>
      </w:r>
      <w:r w:rsidRPr="00BF0D27">
        <w:rPr>
          <w:rFonts w:ascii="Arial" w:hAnsi="Arial" w:cs="Arial"/>
          <w:lang w:val="en-US"/>
        </w:rPr>
        <w:t xml:space="preserve">, and the localization of the PMv site by means of a neuronavigation system. </w:t>
      </w:r>
      <w:r w:rsidRPr="00BF0D27">
        <w:rPr>
          <w:rFonts w:ascii="Arial" w:hAnsi="Arial" w:cs="Arial"/>
          <w:kern w:val="0"/>
          <w:lang w:val="en-US"/>
          <w14:ligatures w14:val="none"/>
        </w:rPr>
        <w:t>T</w:t>
      </w:r>
      <w:r w:rsidRPr="00BF0D27">
        <w:rPr>
          <w:rFonts w:ascii="Arial" w:hAnsi="Arial" w:cs="Arial"/>
          <w:lang w:val="en-US"/>
        </w:rPr>
        <w:t xml:space="preserve">o investigate the role of CS intensity we tested five different CS stimulation intensities: 70%, 80%, 90%, 100%, and 110% of the participants’ rMT. To investigate the role of TS intensity, we collected data from two different groups in which we </w:t>
      </w:r>
      <w:r w:rsidRPr="00BF0D27">
        <w:rPr>
          <w:rFonts w:ascii="Arial" w:hAnsi="Arial" w:cs="Arial"/>
          <w:lang w:val="en-US"/>
        </w:rPr>
        <w:lastRenderedPageBreak/>
        <w:t>adjusted the TS to evoke MEPs with an amplitude of ~1 mV (</w:t>
      </w:r>
      <w:r w:rsidR="00C9303D" w:rsidRPr="00BF0D27">
        <w:rPr>
          <w:rFonts w:ascii="Arial" w:hAnsi="Arial" w:cs="Arial"/>
          <w:lang w:val="en-US"/>
        </w:rPr>
        <w:t>TS</w:t>
      </w:r>
      <w:r w:rsidRPr="00BF0D27">
        <w:rPr>
          <w:rFonts w:ascii="Arial" w:hAnsi="Arial" w:cs="Arial"/>
          <w:vertAlign w:val="subscript"/>
          <w:lang w:val="en-US"/>
        </w:rPr>
        <w:t>1mV</w:t>
      </w:r>
      <w:r w:rsidRPr="00BF0D27">
        <w:rPr>
          <w:rFonts w:ascii="Arial" w:hAnsi="Arial" w:cs="Arial"/>
          <w:lang w:val="en-US"/>
        </w:rPr>
        <w:t xml:space="preserve"> group) or ~2 mV (</w:t>
      </w:r>
      <w:r w:rsidR="00C9303D" w:rsidRPr="00BF0D27">
        <w:rPr>
          <w:rFonts w:ascii="Arial" w:hAnsi="Arial" w:cs="Arial"/>
          <w:lang w:val="en-US"/>
        </w:rPr>
        <w:t>TS</w:t>
      </w:r>
      <w:r w:rsidRPr="00BF0D27">
        <w:rPr>
          <w:rFonts w:ascii="Arial" w:hAnsi="Arial" w:cs="Arial"/>
          <w:vertAlign w:val="subscript"/>
          <w:lang w:val="en-US"/>
        </w:rPr>
        <w:t>2mV</w:t>
      </w:r>
      <w:r w:rsidRPr="00BF0D27">
        <w:rPr>
          <w:rFonts w:ascii="Arial" w:hAnsi="Arial" w:cs="Arial"/>
          <w:lang w:val="en-US"/>
        </w:rPr>
        <w:t xml:space="preserve"> group</w:t>
      </w:r>
      <w:r w:rsidR="002E42FD" w:rsidRPr="00BF0D27">
        <w:rPr>
          <w:rFonts w:ascii="Arial" w:hAnsi="Arial" w:cs="Arial"/>
          <w:lang w:val="en-US"/>
        </w:rPr>
        <w:t xml:space="preserve">; see Table 1S for statistical </w:t>
      </w:r>
      <w:r w:rsidR="003B2DA7" w:rsidRPr="00BF0D27">
        <w:rPr>
          <w:rFonts w:ascii="Arial" w:hAnsi="Arial" w:cs="Arial"/>
          <w:lang w:val="en-US"/>
        </w:rPr>
        <w:t>analysis</w:t>
      </w:r>
      <w:r w:rsidRPr="00BF0D27">
        <w:rPr>
          <w:rFonts w:ascii="Arial" w:hAnsi="Arial" w:cs="Arial"/>
          <w:lang w:val="en-US"/>
        </w:rPr>
        <w:t>).</w:t>
      </w:r>
      <w:r w:rsidRPr="00BF0D27">
        <w:rPr>
          <w:rFonts w:ascii="Arial" w:hAnsi="Arial" w:cs="Arial"/>
        </w:rPr>
        <w:t xml:space="preserve"> Finally, </w:t>
      </w:r>
      <w:r w:rsidRPr="00BF0D27">
        <w:rPr>
          <w:rFonts w:ascii="Arial" w:hAnsi="Arial" w:cs="Arial"/>
          <w:lang w:val="en-US"/>
        </w:rPr>
        <w:t xml:space="preserve">we studied three different ISIs (6,7,8 ms). The experiment </w:t>
      </w:r>
      <w:r w:rsidR="001E6B43" w:rsidRPr="00BF0D27">
        <w:rPr>
          <w:rFonts w:ascii="Arial" w:hAnsi="Arial" w:cs="Arial"/>
          <w:lang w:val="en-US"/>
        </w:rPr>
        <w:t>comprised</w:t>
      </w:r>
      <w:r w:rsidRPr="00BF0D27">
        <w:rPr>
          <w:rFonts w:ascii="Arial" w:hAnsi="Arial" w:cs="Arial"/>
          <w:lang w:val="en-US"/>
        </w:rPr>
        <w:t xml:space="preserve"> 5 recording blocks, one for each CS intensity, in randomized and counterbalanced order. Each block was composed of 90 MEPs: 20 conditioned MEPs for each ISI (</w:t>
      </w:r>
      <w:r w:rsidR="00E54941" w:rsidRPr="00BF0D27">
        <w:rPr>
          <w:rFonts w:ascii="Arial" w:hAnsi="Arial" w:cs="Arial"/>
          <w:lang w:val="en-US"/>
        </w:rPr>
        <w:t>6 ms, 7 ms and 8 ms</w:t>
      </w:r>
      <w:r w:rsidRPr="00BF0D27">
        <w:rPr>
          <w:rFonts w:ascii="Arial" w:hAnsi="Arial" w:cs="Arial"/>
          <w:lang w:val="en-US"/>
        </w:rPr>
        <w:t>), and 30 sp</w:t>
      </w:r>
      <w:r w:rsidR="00CA4354">
        <w:rPr>
          <w:rFonts w:ascii="Arial" w:hAnsi="Arial" w:cs="Arial"/>
          <w:lang w:val="en-US"/>
        </w:rPr>
        <w:t xml:space="preserve">TMS </w:t>
      </w:r>
      <w:r w:rsidRPr="00BF0D27">
        <w:rPr>
          <w:rFonts w:ascii="Arial" w:hAnsi="Arial" w:cs="Arial"/>
          <w:lang w:val="en-US"/>
        </w:rPr>
        <w:t>MEPs</w:t>
      </w:r>
      <w:r w:rsidR="00BB3635" w:rsidRPr="00BF0D27">
        <w:rPr>
          <w:rFonts w:ascii="Arial" w:hAnsi="Arial" w:cs="Arial"/>
          <w:lang w:val="en-US"/>
        </w:rPr>
        <w:t xml:space="preserve"> (random intertrial jitter between 7-9s). Each block lasted ~10 minutes, the experiment lasted ~2 hours. </w:t>
      </w:r>
      <w:r w:rsidRPr="00BF0D27">
        <w:rPr>
          <w:rFonts w:ascii="Arial" w:hAnsi="Arial" w:cs="Arial"/>
          <w:lang w:val="en-US"/>
        </w:rPr>
        <w:t xml:space="preserve">Throughout the recording blocks, participants were seated in a padded chair and asked to keep their hands relaxed and look </w:t>
      </w:r>
      <w:r w:rsidR="001B318E" w:rsidRPr="00BF0D27">
        <w:rPr>
          <w:rFonts w:ascii="Arial" w:hAnsi="Arial" w:cs="Arial"/>
          <w:lang w:val="en-US"/>
        </w:rPr>
        <w:t>at</w:t>
      </w:r>
      <w:r w:rsidRPr="00BF0D27">
        <w:rPr>
          <w:rFonts w:ascii="Arial" w:hAnsi="Arial" w:cs="Arial"/>
          <w:lang w:val="en-US"/>
        </w:rPr>
        <w:t xml:space="preserve"> a fixation point.</w:t>
      </w:r>
    </w:p>
    <w:tbl>
      <w:tblPr>
        <w:tblStyle w:val="Tabellasemplice-3"/>
        <w:tblW w:w="0" w:type="auto"/>
        <w:jc w:val="center"/>
        <w:tblLook w:val="04A0" w:firstRow="1" w:lastRow="0" w:firstColumn="1" w:lastColumn="0" w:noHBand="0" w:noVBand="1"/>
      </w:tblPr>
      <w:tblGrid>
        <w:gridCol w:w="2185"/>
        <w:gridCol w:w="1403"/>
        <w:gridCol w:w="1316"/>
        <w:gridCol w:w="1316"/>
        <w:gridCol w:w="1316"/>
      </w:tblGrid>
      <w:tr w:rsidR="00A01638" w:rsidRPr="00BF0D27" w14:paraId="2DF99DEA" w14:textId="77777777" w:rsidTr="00075463">
        <w:trPr>
          <w:cnfStyle w:val="100000000000" w:firstRow="1" w:lastRow="0" w:firstColumn="0" w:lastColumn="0" w:oddVBand="0" w:evenVBand="0" w:oddHBand="0" w:evenHBand="0" w:firstRowFirstColumn="0" w:firstRowLastColumn="0" w:lastRowFirstColumn="0" w:lastRowLastColumn="0"/>
          <w:jc w:val="center"/>
        </w:trPr>
        <w:tc>
          <w:tcPr>
            <w:cnfStyle w:val="001000000100" w:firstRow="0" w:lastRow="0" w:firstColumn="1" w:lastColumn="0" w:oddVBand="0" w:evenVBand="0" w:oddHBand="0" w:evenHBand="0" w:firstRowFirstColumn="1" w:firstRowLastColumn="0" w:lastRowFirstColumn="0" w:lastRowLastColumn="0"/>
            <w:tcW w:w="0" w:type="auto"/>
            <w:vAlign w:val="center"/>
          </w:tcPr>
          <w:p w14:paraId="3C840786" w14:textId="77777777" w:rsidR="00A01638" w:rsidRPr="00BF0D27" w:rsidRDefault="00A01638" w:rsidP="00075463">
            <w:pPr>
              <w:jc w:val="center"/>
              <w:rPr>
                <w:rFonts w:ascii="Arial" w:hAnsi="Arial" w:cs="Arial"/>
                <w:lang w:val="es-CL"/>
              </w:rPr>
            </w:pPr>
          </w:p>
        </w:tc>
        <w:tc>
          <w:tcPr>
            <w:tcW w:w="0" w:type="auto"/>
            <w:vAlign w:val="center"/>
          </w:tcPr>
          <w:p w14:paraId="30217D7E" w14:textId="7559EA69" w:rsidR="00A01638" w:rsidRPr="00BF0D27" w:rsidRDefault="00A01638" w:rsidP="00075463">
            <w:pPr>
              <w:jc w:val="center"/>
              <w:cnfStyle w:val="100000000000" w:firstRow="1" w:lastRow="0" w:firstColumn="0" w:lastColumn="0" w:oddVBand="0" w:evenVBand="0" w:oddHBand="0" w:evenHBand="0" w:firstRowFirstColumn="0" w:firstRowLastColumn="0" w:lastRowFirstColumn="0" w:lastRowLastColumn="0"/>
              <w:rPr>
                <w:rFonts w:ascii="Arial" w:hAnsi="Arial" w:cs="Arial"/>
                <w:caps w:val="0"/>
                <w:lang w:val="es-CL"/>
              </w:rPr>
            </w:pPr>
            <w:r w:rsidRPr="00BF0D27">
              <w:rPr>
                <w:rFonts w:ascii="Arial" w:hAnsi="Arial" w:cs="Arial"/>
                <w:lang w:val="es-CL"/>
              </w:rPr>
              <w:t>Gender</w:t>
            </w:r>
          </w:p>
        </w:tc>
        <w:tc>
          <w:tcPr>
            <w:tcW w:w="0" w:type="auto"/>
            <w:vAlign w:val="center"/>
          </w:tcPr>
          <w:p w14:paraId="0FD80E23" w14:textId="5E3D1779" w:rsidR="00A01638" w:rsidRPr="00BF0D27" w:rsidRDefault="00A01638" w:rsidP="00075463">
            <w:pPr>
              <w:jc w:val="center"/>
              <w:cnfStyle w:val="100000000000" w:firstRow="1" w:lastRow="0" w:firstColumn="0" w:lastColumn="0" w:oddVBand="0" w:evenVBand="0" w:oddHBand="0" w:evenHBand="0" w:firstRowFirstColumn="0" w:firstRowLastColumn="0" w:lastRowFirstColumn="0" w:lastRowLastColumn="0"/>
              <w:rPr>
                <w:rFonts w:ascii="Arial" w:hAnsi="Arial" w:cs="Arial"/>
                <w:caps w:val="0"/>
                <w:lang w:val="es-CL"/>
              </w:rPr>
            </w:pPr>
            <w:r w:rsidRPr="00BF0D27">
              <w:rPr>
                <w:rFonts w:ascii="Arial" w:hAnsi="Arial" w:cs="Arial"/>
                <w:lang w:val="es-CL"/>
              </w:rPr>
              <w:t>Age</w:t>
            </w:r>
          </w:p>
        </w:tc>
        <w:tc>
          <w:tcPr>
            <w:tcW w:w="0" w:type="auto"/>
            <w:vAlign w:val="center"/>
          </w:tcPr>
          <w:p w14:paraId="6EA31381" w14:textId="4A3D2F22" w:rsidR="00A01638" w:rsidRPr="00BF0D27" w:rsidRDefault="00A01638" w:rsidP="00075463">
            <w:pPr>
              <w:jc w:val="center"/>
              <w:cnfStyle w:val="100000000000" w:firstRow="1" w:lastRow="0" w:firstColumn="0" w:lastColumn="0" w:oddVBand="0" w:evenVBand="0" w:oddHBand="0" w:evenHBand="0" w:firstRowFirstColumn="0" w:firstRowLastColumn="0" w:lastRowFirstColumn="0" w:lastRowLastColumn="0"/>
              <w:rPr>
                <w:rFonts w:ascii="Arial" w:hAnsi="Arial" w:cs="Arial"/>
                <w:caps w:val="0"/>
                <w:lang w:val="es-CL"/>
              </w:rPr>
            </w:pPr>
            <w:r w:rsidRPr="00BF0D27">
              <w:rPr>
                <w:rFonts w:ascii="Arial" w:hAnsi="Arial" w:cs="Arial"/>
                <w:lang w:val="es-CL"/>
              </w:rPr>
              <w:t>rMT</w:t>
            </w:r>
          </w:p>
        </w:tc>
        <w:tc>
          <w:tcPr>
            <w:tcW w:w="0" w:type="auto"/>
            <w:vAlign w:val="center"/>
          </w:tcPr>
          <w:p w14:paraId="01301DF3" w14:textId="0B9B9C1D" w:rsidR="00A01638" w:rsidRPr="00BF0D27" w:rsidRDefault="00014BCE" w:rsidP="00075463">
            <w:pPr>
              <w:jc w:val="center"/>
              <w:cnfStyle w:val="100000000000" w:firstRow="1" w:lastRow="0" w:firstColumn="0" w:lastColumn="0" w:oddVBand="0" w:evenVBand="0" w:oddHBand="0" w:evenHBand="0" w:firstRowFirstColumn="0" w:firstRowLastColumn="0" w:lastRowFirstColumn="0" w:lastRowLastColumn="0"/>
              <w:rPr>
                <w:rFonts w:ascii="Arial" w:hAnsi="Arial" w:cs="Arial"/>
                <w:caps w:val="0"/>
                <w:lang w:val="es-CL"/>
              </w:rPr>
            </w:pPr>
            <w:r w:rsidRPr="00BF0D27">
              <w:rPr>
                <w:rFonts w:ascii="Arial" w:hAnsi="Arial" w:cs="Arial"/>
                <w:lang w:val="es-CL"/>
              </w:rPr>
              <w:t xml:space="preserve">TS </w:t>
            </w:r>
            <w:r w:rsidR="00A01638" w:rsidRPr="00BF0D27">
              <w:rPr>
                <w:rFonts w:ascii="Arial" w:hAnsi="Arial" w:cs="Arial"/>
                <w:lang w:val="es-CL"/>
              </w:rPr>
              <w:t>mV</w:t>
            </w:r>
          </w:p>
        </w:tc>
      </w:tr>
      <w:tr w:rsidR="00A01638" w:rsidRPr="00BF0D27" w14:paraId="6E7CDA1B" w14:textId="77777777" w:rsidTr="000754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5C2BDB0C" w14:textId="726E3F92" w:rsidR="00A01638" w:rsidRPr="00BF0D27" w:rsidRDefault="00A01638" w:rsidP="00075463">
            <w:pPr>
              <w:jc w:val="center"/>
              <w:rPr>
                <w:rFonts w:ascii="Arial" w:hAnsi="Arial" w:cs="Arial"/>
                <w:lang w:val="es-CL"/>
              </w:rPr>
            </w:pPr>
            <w:r w:rsidRPr="00BF0D27">
              <w:rPr>
                <w:rFonts w:ascii="Arial" w:hAnsi="Arial" w:cs="Arial"/>
                <w:caps w:val="0"/>
                <w:lang w:val="en-US"/>
              </w:rPr>
              <w:t>TS</w:t>
            </w:r>
            <w:r w:rsidRPr="00BF0D27">
              <w:rPr>
                <w:rFonts w:ascii="Arial" w:hAnsi="Arial" w:cs="Arial"/>
                <w:caps w:val="0"/>
                <w:vertAlign w:val="subscript"/>
                <w:lang w:val="en-US"/>
              </w:rPr>
              <w:t>1mV</w:t>
            </w:r>
            <w:r w:rsidRPr="00BF0D27">
              <w:rPr>
                <w:rFonts w:ascii="Arial" w:hAnsi="Arial" w:cs="Arial"/>
                <w:caps w:val="0"/>
                <w:lang w:val="en-US"/>
              </w:rPr>
              <w:t xml:space="preserve"> group</w:t>
            </w:r>
          </w:p>
        </w:tc>
        <w:tc>
          <w:tcPr>
            <w:tcW w:w="0" w:type="auto"/>
            <w:vAlign w:val="center"/>
          </w:tcPr>
          <w:p w14:paraId="197F33D1" w14:textId="39FE1244" w:rsidR="00A01638" w:rsidRPr="00BF0D27" w:rsidRDefault="005F42B1" w:rsidP="00075463">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CL"/>
              </w:rPr>
            </w:pPr>
            <w:r w:rsidRPr="00BF0D27">
              <w:rPr>
                <w:rFonts w:ascii="Arial" w:hAnsi="Arial" w:cs="Arial"/>
                <w:lang w:val="es-CL"/>
              </w:rPr>
              <w:t>F = 9; M = 6</w:t>
            </w:r>
          </w:p>
        </w:tc>
        <w:tc>
          <w:tcPr>
            <w:tcW w:w="0" w:type="auto"/>
            <w:vAlign w:val="center"/>
          </w:tcPr>
          <w:p w14:paraId="3FF389A1" w14:textId="4987511D" w:rsidR="00A01638" w:rsidRPr="00BF0D27" w:rsidRDefault="008A16CC" w:rsidP="00075463">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CL"/>
              </w:rPr>
            </w:pPr>
            <w:r w:rsidRPr="00BF0D27">
              <w:rPr>
                <w:rFonts w:ascii="Arial" w:hAnsi="Arial" w:cs="Arial"/>
                <w:lang w:val="es-CL"/>
              </w:rPr>
              <w:t>26.33±</w:t>
            </w:r>
            <w:r w:rsidR="00D54042" w:rsidRPr="00BF0D27">
              <w:rPr>
                <w:rFonts w:ascii="Arial" w:hAnsi="Arial" w:cs="Arial"/>
                <w:lang w:val="es-CL"/>
              </w:rPr>
              <w:t>5.65</w:t>
            </w:r>
          </w:p>
        </w:tc>
        <w:tc>
          <w:tcPr>
            <w:tcW w:w="0" w:type="auto"/>
            <w:vAlign w:val="center"/>
          </w:tcPr>
          <w:p w14:paraId="7CF3C1DF" w14:textId="02347AC0" w:rsidR="00A01638" w:rsidRPr="00BF0D27" w:rsidRDefault="00D54042" w:rsidP="00075463">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CL"/>
              </w:rPr>
            </w:pPr>
            <w:r w:rsidRPr="00BF0D27">
              <w:rPr>
                <w:rFonts w:ascii="Arial" w:hAnsi="Arial" w:cs="Arial"/>
                <w:lang w:val="es-CL"/>
              </w:rPr>
              <w:t>49.93±7.10</w:t>
            </w:r>
          </w:p>
        </w:tc>
        <w:tc>
          <w:tcPr>
            <w:tcW w:w="0" w:type="auto"/>
            <w:vAlign w:val="center"/>
          </w:tcPr>
          <w:p w14:paraId="2E6186CB" w14:textId="3EF59AC0" w:rsidR="00A01638" w:rsidRPr="00BF0D27" w:rsidRDefault="00712044" w:rsidP="00075463">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CL"/>
              </w:rPr>
            </w:pPr>
            <w:r w:rsidRPr="00BF0D27">
              <w:rPr>
                <w:rFonts w:ascii="Arial" w:hAnsi="Arial" w:cs="Arial"/>
                <w:lang w:val="es-CL"/>
              </w:rPr>
              <w:t>55.93±8.72</w:t>
            </w:r>
          </w:p>
        </w:tc>
      </w:tr>
      <w:tr w:rsidR="00A01638" w:rsidRPr="00BF0D27" w14:paraId="26912C1E" w14:textId="77777777" w:rsidTr="00075463">
        <w:trPr>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46C83F22" w14:textId="0A89C286" w:rsidR="00A01638" w:rsidRPr="00BF0D27" w:rsidRDefault="00A01638" w:rsidP="00075463">
            <w:pPr>
              <w:jc w:val="center"/>
              <w:rPr>
                <w:rFonts w:ascii="Arial" w:hAnsi="Arial" w:cs="Arial"/>
                <w:lang w:val="es-CL"/>
              </w:rPr>
            </w:pPr>
            <w:r w:rsidRPr="00BF0D27">
              <w:rPr>
                <w:rFonts w:ascii="Arial" w:hAnsi="Arial" w:cs="Arial"/>
                <w:caps w:val="0"/>
                <w:lang w:val="en-US"/>
              </w:rPr>
              <w:t>TS</w:t>
            </w:r>
            <w:r w:rsidRPr="00BF0D27">
              <w:rPr>
                <w:rFonts w:ascii="Arial" w:hAnsi="Arial" w:cs="Arial"/>
                <w:caps w:val="0"/>
                <w:vertAlign w:val="subscript"/>
                <w:lang w:val="en-US"/>
              </w:rPr>
              <w:t>2mV</w:t>
            </w:r>
            <w:r w:rsidRPr="00BF0D27">
              <w:rPr>
                <w:rFonts w:ascii="Arial" w:hAnsi="Arial" w:cs="Arial"/>
                <w:caps w:val="0"/>
                <w:lang w:val="en-US"/>
              </w:rPr>
              <w:t xml:space="preserve"> group</w:t>
            </w:r>
          </w:p>
        </w:tc>
        <w:tc>
          <w:tcPr>
            <w:tcW w:w="0" w:type="auto"/>
            <w:vAlign w:val="center"/>
          </w:tcPr>
          <w:p w14:paraId="0B2AE8FA" w14:textId="01C7DE6D" w:rsidR="00A01638" w:rsidRPr="00BF0D27" w:rsidRDefault="005F42B1" w:rsidP="00075463">
            <w:pPr>
              <w:jc w:val="center"/>
              <w:cnfStyle w:val="000000000000" w:firstRow="0" w:lastRow="0" w:firstColumn="0" w:lastColumn="0" w:oddVBand="0" w:evenVBand="0" w:oddHBand="0" w:evenHBand="0" w:firstRowFirstColumn="0" w:firstRowLastColumn="0" w:lastRowFirstColumn="0" w:lastRowLastColumn="0"/>
              <w:rPr>
                <w:rFonts w:ascii="Arial" w:hAnsi="Arial" w:cs="Arial"/>
                <w:lang w:val="es-CL"/>
              </w:rPr>
            </w:pPr>
            <w:r w:rsidRPr="00BF0D27">
              <w:rPr>
                <w:rFonts w:ascii="Arial" w:hAnsi="Arial" w:cs="Arial"/>
                <w:lang w:val="es-CL"/>
              </w:rPr>
              <w:t>F = 9; M = 6</w:t>
            </w:r>
          </w:p>
        </w:tc>
        <w:tc>
          <w:tcPr>
            <w:tcW w:w="0" w:type="auto"/>
            <w:vAlign w:val="center"/>
          </w:tcPr>
          <w:p w14:paraId="08386856" w14:textId="6B7D7830" w:rsidR="00A01638" w:rsidRPr="00BF0D27" w:rsidRDefault="00D54042" w:rsidP="00075463">
            <w:pPr>
              <w:jc w:val="center"/>
              <w:cnfStyle w:val="000000000000" w:firstRow="0" w:lastRow="0" w:firstColumn="0" w:lastColumn="0" w:oddVBand="0" w:evenVBand="0" w:oddHBand="0" w:evenHBand="0" w:firstRowFirstColumn="0" w:firstRowLastColumn="0" w:lastRowFirstColumn="0" w:lastRowLastColumn="0"/>
              <w:rPr>
                <w:rFonts w:ascii="Arial" w:hAnsi="Arial" w:cs="Arial"/>
                <w:lang w:val="es-CL"/>
              </w:rPr>
            </w:pPr>
            <w:r w:rsidRPr="00BF0D27">
              <w:rPr>
                <w:rFonts w:ascii="Arial" w:hAnsi="Arial" w:cs="Arial"/>
                <w:lang w:val="es-CL"/>
              </w:rPr>
              <w:t>23.33±2.13</w:t>
            </w:r>
          </w:p>
        </w:tc>
        <w:tc>
          <w:tcPr>
            <w:tcW w:w="0" w:type="auto"/>
            <w:vAlign w:val="center"/>
          </w:tcPr>
          <w:p w14:paraId="7707507B" w14:textId="2D6CE806" w:rsidR="00A01638" w:rsidRPr="00BF0D27" w:rsidRDefault="00D54042" w:rsidP="00075463">
            <w:pPr>
              <w:jc w:val="center"/>
              <w:cnfStyle w:val="000000000000" w:firstRow="0" w:lastRow="0" w:firstColumn="0" w:lastColumn="0" w:oddVBand="0" w:evenVBand="0" w:oddHBand="0" w:evenHBand="0" w:firstRowFirstColumn="0" w:firstRowLastColumn="0" w:lastRowFirstColumn="0" w:lastRowLastColumn="0"/>
              <w:rPr>
                <w:rFonts w:ascii="Arial" w:hAnsi="Arial" w:cs="Arial"/>
                <w:lang w:val="es-CL"/>
              </w:rPr>
            </w:pPr>
            <w:r w:rsidRPr="00BF0D27">
              <w:rPr>
                <w:rFonts w:ascii="Arial" w:hAnsi="Arial" w:cs="Arial"/>
                <w:lang w:val="es-CL"/>
              </w:rPr>
              <w:t>45.73±7.92</w:t>
            </w:r>
          </w:p>
        </w:tc>
        <w:tc>
          <w:tcPr>
            <w:tcW w:w="0" w:type="auto"/>
            <w:vAlign w:val="center"/>
          </w:tcPr>
          <w:p w14:paraId="6EA76316" w14:textId="5ECFED9A" w:rsidR="00A01638" w:rsidRPr="00BF0D27" w:rsidRDefault="00712044" w:rsidP="00075463">
            <w:pPr>
              <w:jc w:val="center"/>
              <w:cnfStyle w:val="000000000000" w:firstRow="0" w:lastRow="0" w:firstColumn="0" w:lastColumn="0" w:oddVBand="0" w:evenVBand="0" w:oddHBand="0" w:evenHBand="0" w:firstRowFirstColumn="0" w:firstRowLastColumn="0" w:lastRowFirstColumn="0" w:lastRowLastColumn="0"/>
              <w:rPr>
                <w:rFonts w:ascii="Arial" w:hAnsi="Arial" w:cs="Arial"/>
                <w:lang w:val="es-CL"/>
              </w:rPr>
            </w:pPr>
            <w:r w:rsidRPr="00BF0D27">
              <w:rPr>
                <w:rFonts w:ascii="Arial" w:hAnsi="Arial" w:cs="Arial"/>
                <w:lang w:val="es-CL"/>
              </w:rPr>
              <w:t>51.67±10</w:t>
            </w:r>
          </w:p>
        </w:tc>
      </w:tr>
      <w:tr w:rsidR="00014BCE" w:rsidRPr="00BF0D27" w14:paraId="7DACCF95" w14:textId="77777777" w:rsidTr="0007546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0642C282" w14:textId="61F8332B" w:rsidR="00014BCE" w:rsidRPr="00BF0D27" w:rsidRDefault="00014BCE" w:rsidP="00075463">
            <w:pPr>
              <w:jc w:val="center"/>
              <w:rPr>
                <w:rFonts w:ascii="Arial" w:hAnsi="Arial" w:cs="Arial"/>
                <w:lang w:val="es-CL"/>
              </w:rPr>
            </w:pPr>
            <w:r w:rsidRPr="00BF0D27">
              <w:rPr>
                <w:rFonts w:ascii="Arial" w:hAnsi="Arial" w:cs="Arial"/>
                <w:caps w:val="0"/>
                <w:lang w:val="en-US"/>
              </w:rPr>
              <w:t>Statistical analysis</w:t>
            </w:r>
          </w:p>
        </w:tc>
        <w:tc>
          <w:tcPr>
            <w:tcW w:w="0" w:type="auto"/>
            <w:vAlign w:val="center"/>
          </w:tcPr>
          <w:p w14:paraId="4A2CBA50" w14:textId="0442270E" w:rsidR="00014BCE" w:rsidRPr="00BF0D27" w:rsidRDefault="00B25D03" w:rsidP="00075463">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CL"/>
              </w:rPr>
            </w:pPr>
            <w:r w:rsidRPr="00BF0D27">
              <w:rPr>
                <w:rFonts w:ascii="Arial" w:hAnsi="Arial" w:cs="Arial"/>
                <w:lang w:val="es-CL"/>
              </w:rPr>
              <w:t>χ</w:t>
            </w:r>
            <w:r w:rsidRPr="00BF0D27">
              <w:rPr>
                <w:rFonts w:ascii="Arial" w:hAnsi="Arial" w:cs="Arial"/>
                <w:vertAlign w:val="superscript"/>
                <w:lang w:val="es-CL"/>
              </w:rPr>
              <w:t>2</w:t>
            </w:r>
            <w:r w:rsidRPr="00BF0D27">
              <w:rPr>
                <w:rFonts w:ascii="Arial" w:hAnsi="Arial" w:cs="Arial"/>
                <w:lang w:val="es-CL"/>
              </w:rPr>
              <w:t>=0; p=1</w:t>
            </w:r>
          </w:p>
        </w:tc>
        <w:tc>
          <w:tcPr>
            <w:tcW w:w="0" w:type="auto"/>
            <w:gridSpan w:val="3"/>
            <w:vAlign w:val="center"/>
          </w:tcPr>
          <w:p w14:paraId="50663FDD" w14:textId="33276798" w:rsidR="00014BCE" w:rsidRPr="00BF0D27" w:rsidRDefault="008C446F" w:rsidP="00075463">
            <w:pPr>
              <w:jc w:val="center"/>
              <w:cnfStyle w:val="000000100000" w:firstRow="0" w:lastRow="0" w:firstColumn="0" w:lastColumn="0" w:oddVBand="0" w:evenVBand="0" w:oddHBand="1" w:evenHBand="0" w:firstRowFirstColumn="0" w:firstRowLastColumn="0" w:lastRowFirstColumn="0" w:lastRowLastColumn="0"/>
              <w:rPr>
                <w:rFonts w:ascii="Arial" w:hAnsi="Arial" w:cs="Arial"/>
                <w:lang w:val="es-CL"/>
              </w:rPr>
            </w:pPr>
            <w:r w:rsidRPr="00BF0D27">
              <w:rPr>
                <w:rFonts w:ascii="Arial" w:eastAsia="Times New Roman" w:hAnsi="Arial" w:cs="Arial"/>
                <w:color w:val="000000"/>
                <w:kern w:val="0"/>
                <w:lang w:val="it-IT" w:eastAsia="ja-JP"/>
                <w14:ligatures w14:val="none"/>
              </w:rPr>
              <w:t>all t</w:t>
            </w:r>
            <w:r w:rsidRPr="00BF0D27">
              <w:rPr>
                <w:rFonts w:ascii="Arial" w:eastAsia="Times New Roman" w:hAnsi="Arial" w:cs="Arial"/>
                <w:color w:val="000000"/>
                <w:kern w:val="0"/>
                <w:vertAlign w:val="subscript"/>
                <w:lang w:val="it-IT" w:eastAsia="ja-JP"/>
                <w14:ligatures w14:val="none"/>
              </w:rPr>
              <w:t>28</w:t>
            </w:r>
            <w:r w:rsidRPr="00BF0D27">
              <w:rPr>
                <w:rFonts w:ascii="Arial" w:eastAsia="Times New Roman" w:hAnsi="Arial" w:cs="Arial"/>
                <w:color w:val="000000"/>
                <w:kern w:val="0"/>
                <w:lang w:val="it-IT" w:eastAsia="ja-JP"/>
                <w14:ligatures w14:val="none"/>
              </w:rPr>
              <w:t>≤1.92; all p≥.07</w:t>
            </w:r>
          </w:p>
        </w:tc>
      </w:tr>
    </w:tbl>
    <w:p w14:paraId="33716C41" w14:textId="59F067AE" w:rsidR="003B2DA7" w:rsidRPr="000A7F9C" w:rsidRDefault="002058EA" w:rsidP="00996906">
      <w:pPr>
        <w:tabs>
          <w:tab w:val="left" w:pos="4450"/>
        </w:tabs>
        <w:jc w:val="both"/>
        <w:rPr>
          <w:rFonts w:ascii="Arial" w:hAnsi="Arial" w:cs="Arial"/>
          <w:i/>
          <w:iCs/>
          <w:lang w:val="es-CL"/>
        </w:rPr>
      </w:pPr>
      <w:r w:rsidRPr="000A7F9C">
        <w:rPr>
          <w:rFonts w:ascii="Arial" w:hAnsi="Arial" w:cs="Arial"/>
          <w:i/>
          <w:iCs/>
          <w:lang w:val="es-CL"/>
        </w:rPr>
        <w:t>Table 1S. Mean</w:t>
      </w:r>
      <w:r w:rsidR="000A7F9C">
        <w:rPr>
          <w:rFonts w:ascii="Arial" w:hAnsi="Arial" w:cs="Arial"/>
          <w:i/>
          <w:iCs/>
          <w:lang w:val="es-CL"/>
        </w:rPr>
        <w:t xml:space="preserve">, </w:t>
      </w:r>
      <w:r w:rsidRPr="000A7F9C">
        <w:rPr>
          <w:rFonts w:ascii="Arial" w:hAnsi="Arial" w:cs="Arial"/>
          <w:i/>
          <w:iCs/>
          <w:lang w:val="es-CL"/>
        </w:rPr>
        <w:t>standard deviation</w:t>
      </w:r>
      <w:r w:rsidR="000A7F9C">
        <w:rPr>
          <w:rFonts w:ascii="Arial" w:hAnsi="Arial" w:cs="Arial"/>
          <w:i/>
          <w:iCs/>
          <w:lang w:val="es-CL"/>
        </w:rPr>
        <w:t>, and statistical comparison</w:t>
      </w:r>
      <w:r w:rsidRPr="000A7F9C">
        <w:rPr>
          <w:rFonts w:ascii="Arial" w:hAnsi="Arial" w:cs="Arial"/>
          <w:i/>
          <w:iCs/>
          <w:lang w:val="es-CL"/>
        </w:rPr>
        <w:t xml:space="preserve"> o</w:t>
      </w:r>
      <w:r w:rsidR="00996906" w:rsidRPr="000A7F9C">
        <w:rPr>
          <w:rFonts w:ascii="Arial" w:hAnsi="Arial" w:cs="Arial"/>
          <w:i/>
          <w:iCs/>
          <w:lang w:val="es-CL"/>
        </w:rPr>
        <w:t xml:space="preserve">f the demographic details and </w:t>
      </w:r>
      <w:r w:rsidR="000A7F9C" w:rsidRPr="000A7F9C">
        <w:rPr>
          <w:rFonts w:ascii="Arial" w:hAnsi="Arial" w:cs="Arial"/>
          <w:i/>
          <w:iCs/>
          <w:lang w:val="es-CL"/>
        </w:rPr>
        <w:t>stimulation</w:t>
      </w:r>
      <w:r w:rsidR="00996906" w:rsidRPr="000A7F9C">
        <w:rPr>
          <w:rFonts w:ascii="Arial" w:hAnsi="Arial" w:cs="Arial"/>
          <w:i/>
          <w:iCs/>
          <w:lang w:val="es-CL"/>
        </w:rPr>
        <w:t xml:space="preserve"> parameters </w:t>
      </w:r>
      <w:r w:rsidR="000A7F9C" w:rsidRPr="000A7F9C">
        <w:rPr>
          <w:rFonts w:ascii="Arial" w:hAnsi="Arial" w:cs="Arial"/>
          <w:i/>
          <w:iCs/>
          <w:lang w:val="en-US"/>
        </w:rPr>
        <w:t>in both groups.</w:t>
      </w:r>
    </w:p>
    <w:p w14:paraId="720C5318" w14:textId="658D9341" w:rsidR="00D02365" w:rsidRPr="00BF0D27" w:rsidRDefault="00E34BE2" w:rsidP="006D79F0">
      <w:pPr>
        <w:spacing w:before="240" w:after="0"/>
        <w:jc w:val="both"/>
        <w:rPr>
          <w:rFonts w:ascii="Arial" w:hAnsi="Arial" w:cs="Arial"/>
          <w:i/>
          <w:iCs/>
          <w:kern w:val="0"/>
          <w:lang w:val="en-US"/>
          <w14:ligatures w14:val="none"/>
        </w:rPr>
      </w:pPr>
      <w:r>
        <w:rPr>
          <w:rFonts w:ascii="Arial" w:hAnsi="Arial" w:cs="Arial"/>
          <w:i/>
          <w:iCs/>
          <w:kern w:val="0"/>
          <w:lang w:val="en-US"/>
          <w14:ligatures w14:val="none"/>
        </w:rPr>
        <w:t xml:space="preserve">1.3 </w:t>
      </w:r>
      <w:r w:rsidR="001A4AE7" w:rsidRPr="00BF0D27">
        <w:rPr>
          <w:rFonts w:ascii="Arial" w:hAnsi="Arial" w:cs="Arial"/>
          <w:i/>
          <w:iCs/>
          <w:kern w:val="0"/>
          <w:lang w:val="en-US"/>
          <w14:ligatures w14:val="none"/>
        </w:rPr>
        <w:t>EMG recording, TMS specifics, and neuronavigation</w:t>
      </w:r>
    </w:p>
    <w:p w14:paraId="0A6153D8" w14:textId="0DA24E44" w:rsidR="001A4AE7" w:rsidRPr="00BF0D27" w:rsidRDefault="000D527E" w:rsidP="006D79F0">
      <w:pPr>
        <w:ind w:firstLine="708"/>
        <w:jc w:val="both"/>
        <w:rPr>
          <w:rFonts w:ascii="Arial" w:hAnsi="Arial" w:cs="Arial"/>
          <w:kern w:val="0"/>
          <w:lang w:val="en-US"/>
          <w14:ligatures w14:val="none"/>
        </w:rPr>
      </w:pPr>
      <w:r w:rsidRPr="00BF0D27">
        <w:rPr>
          <w:rFonts w:ascii="Arial" w:hAnsi="Arial" w:cs="Arial"/>
          <w:kern w:val="0"/>
          <w:lang w:val="en-US"/>
          <w14:ligatures w14:val="none"/>
        </w:rPr>
        <w:t>MEPs were recorded b</w:t>
      </w:r>
      <w:r w:rsidR="00F83687" w:rsidRPr="00BF0D27">
        <w:rPr>
          <w:rFonts w:ascii="Arial" w:hAnsi="Arial" w:cs="Arial"/>
          <w:kern w:val="0"/>
          <w:lang w:val="en-US"/>
          <w14:ligatures w14:val="none"/>
        </w:rPr>
        <w:t xml:space="preserve">y means of surface Ag/AgCl electrodes placed in a belly-tendon montage. A Biopac MP-35 (Biopac, USA) electromyograph was used to acquire </w:t>
      </w:r>
      <w:r w:rsidR="0072772D" w:rsidRPr="00BF0D27">
        <w:rPr>
          <w:rFonts w:ascii="Arial" w:hAnsi="Arial" w:cs="Arial"/>
          <w:kern w:val="0"/>
          <w:lang w:val="en-US"/>
          <w14:ligatures w14:val="none"/>
        </w:rPr>
        <w:t>the muscular contraction of the FDI in response to single pulse and dual-coil TMS</w:t>
      </w:r>
      <w:r w:rsidR="00F83687" w:rsidRPr="00BF0D27">
        <w:rPr>
          <w:rFonts w:ascii="Arial" w:hAnsi="Arial" w:cs="Arial"/>
          <w:kern w:val="0"/>
          <w:lang w:val="en-US"/>
          <w14:ligatures w14:val="none"/>
        </w:rPr>
        <w:t xml:space="preserve"> (band-pass filter: 30–500 Hz; sampling rate: </w:t>
      </w:r>
      <w:r w:rsidR="00C871CF" w:rsidRPr="00BF0D27">
        <w:rPr>
          <w:rFonts w:ascii="Arial" w:hAnsi="Arial" w:cs="Arial"/>
          <w:kern w:val="0"/>
          <w:lang w:val="en-US"/>
          <w14:ligatures w14:val="none"/>
        </w:rPr>
        <w:t>5000</w:t>
      </w:r>
      <w:r w:rsidR="00F83687" w:rsidRPr="00BF0D27">
        <w:rPr>
          <w:rFonts w:ascii="Arial" w:hAnsi="Arial" w:cs="Arial"/>
          <w:kern w:val="0"/>
          <w:lang w:val="en-US"/>
          <w14:ligatures w14:val="none"/>
        </w:rPr>
        <w:t xml:space="preserve"> Hz).  </w:t>
      </w:r>
      <w:r w:rsidR="0072772D" w:rsidRPr="00BF0D27">
        <w:rPr>
          <w:rFonts w:ascii="Arial" w:hAnsi="Arial" w:cs="Arial"/>
          <w:kern w:val="0"/>
          <w:lang w:val="en-US"/>
          <w14:ligatures w14:val="none"/>
        </w:rPr>
        <w:t>EMG traces were saved and stored for offline analysis.</w:t>
      </w:r>
    </w:p>
    <w:p w14:paraId="6E2D138B" w14:textId="14041287" w:rsidR="008E3F5A" w:rsidRPr="00BF0D27" w:rsidRDefault="00F83687" w:rsidP="00075463">
      <w:pPr>
        <w:ind w:firstLine="708"/>
        <w:jc w:val="both"/>
        <w:rPr>
          <w:rFonts w:ascii="Arial" w:hAnsi="Arial" w:cs="Arial"/>
        </w:rPr>
      </w:pPr>
      <w:r w:rsidRPr="00BF0D27">
        <w:rPr>
          <w:rFonts w:ascii="Arial" w:hAnsi="Arial" w:cs="Arial"/>
          <w:kern w:val="0"/>
          <w:lang w:val="en-US"/>
          <w14:ligatures w14:val="none"/>
        </w:rPr>
        <w:t>The left M1 coil was positioned tangentially to the scalp and at a 45-degree angle to the midline, resulting in a posterior-anterior current flow, optimal for the stimulation of M1</w:t>
      </w:r>
      <w:r w:rsidR="00D67C9F" w:rsidRPr="00BF0D27">
        <w:rPr>
          <w:rFonts w:ascii="Arial" w:hAnsi="Arial" w:cs="Arial"/>
          <w:kern w:val="0"/>
          <w:lang w:val="en-US"/>
          <w14:ligatures w14:val="none"/>
        </w:rPr>
        <w:t xml:space="preserve"> </w:t>
      </w:r>
      <w:r w:rsidR="00D67C9F" w:rsidRPr="00BF0D27">
        <w:rPr>
          <w:rFonts w:ascii="Arial" w:hAnsi="Arial" w:cs="Arial"/>
          <w:kern w:val="0"/>
          <w:lang w:val="en-US"/>
          <w14:ligatures w14:val="none"/>
        </w:rPr>
        <w:fldChar w:fldCharType="begin"/>
      </w:r>
      <w:r w:rsidR="00AE03F8">
        <w:rPr>
          <w:rFonts w:ascii="Arial" w:hAnsi="Arial" w:cs="Arial"/>
          <w:kern w:val="0"/>
          <w:lang w:val="en-US"/>
          <w14:ligatures w14:val="none"/>
        </w:rPr>
        <w:instrText xml:space="preserve"> ADDIN ZOTERO_ITEM CSL_CITATION {"citationID":"UMJOUfLu","properties":{"formattedCitation":"(Kammer et al., 2001)","plainCitation":"(Kammer et al., 2001)","noteIndex":0},"citationItems":[{"id":4429,"uris":["http://zotero.org/users/10009444/items/LBQD5MLD"],"itemData":{"id":4429,"type":"article-journal","abstract":"Objectives: To evaluate the stimulation effectiveness of different magnetic stimulator devices with respect to pulse waveform and current direction in the motor cortex. Methods: In 8 normal subjects we determined motor thresholds of transcranial magnetic stimulation in a small hand muscle. We used focal figure-of-eight coils of 3 common stimulators (Dantec Magpro, Magstim 200 and Magstim Rapid) and systematically varied current direction (postero-anterior versus antero-posterior, perpendicular to the central sulcus) as well as pulse waveform (monophasic versus biphasic). The coil position was kept constant with a stereotactic positioning device. Results: Motor thresholds varied consistently with changing stimulus parameters, despite substantial interindividual variability. By normalizing the values with respect to the square root of the energy of the capacitors in the different stimulators, we found a homogeneous pattern of threshold variations. The normalized Magstim threshold values were consistently higher than the normalized Dantec thresholds by a factor of 1.3. For both stimulator types the monophasic pulse was more effective if the current passed the motor cortex in a postero-anterior direction rather than antero-posterior. In contrast, the biphasic pulse was weaker with the first upstroke in the postero-anterior direction. We calculated mean factors for transforming the intensity values of a particular configuration into that of another configuration by normalizing the different threshold values of each individual subject to his lowest threshold value. Conclusions: Our transformation factors allow us to compare stimulation intensities from studies using different devices and pulse forms. The effectiveness of stimulation as a function of waveform and current direction follows the same pattern as in a peripheral nerve preparation (J Physiol (Lond) 513 (1998) 571).","container-title":"Clinical Neurophysiology","DOI":"10.1016/S1388-2457(00)00513-7","ISSN":"1388-2457","issue":"2","journalAbbreviation":"Clinical Neurophysiology","language":"en","page":"250-258","source":"ScienceDirect","title":"Motor thresholds in humans: a transcranial magnetic stimulation study comparing different pulse waveforms, current directions and stimulator types","title-short":"Motor thresholds in humans","volume":"112","author":[{"family":"Kammer","given":"Thomas"},{"family":"Beck","given":"Sandra"},{"family":"Thielscher","given":"Axel"},{"family":"Laubis-Herrmann","given":"Ulrike"},{"family":"Topka","given":"Helge"}],"issued":{"date-parts":[["2001",2,1]]}}}],"schema":"https://github.com/citation-style-language/schema/raw/master/csl-citation.json"} </w:instrText>
      </w:r>
      <w:r w:rsidR="00D67C9F" w:rsidRPr="00BF0D27">
        <w:rPr>
          <w:rFonts w:ascii="Arial" w:hAnsi="Arial" w:cs="Arial"/>
          <w:kern w:val="0"/>
          <w:lang w:val="en-US"/>
          <w14:ligatures w14:val="none"/>
        </w:rPr>
        <w:fldChar w:fldCharType="separate"/>
      </w:r>
      <w:r w:rsidR="00AE03F8" w:rsidRPr="00AE03F8">
        <w:rPr>
          <w:rFonts w:ascii="Arial" w:hAnsi="Arial" w:cs="Arial"/>
        </w:rPr>
        <w:t>(Kammer et al., 2001)</w:t>
      </w:r>
      <w:r w:rsidR="00D67C9F" w:rsidRPr="00BF0D27">
        <w:rPr>
          <w:rFonts w:ascii="Arial" w:hAnsi="Arial" w:cs="Arial"/>
          <w:kern w:val="0"/>
          <w:lang w:val="en-US"/>
          <w14:ligatures w14:val="none"/>
        </w:rPr>
        <w:fldChar w:fldCharType="end"/>
      </w:r>
      <w:r w:rsidR="00D67C9F" w:rsidRPr="00BF0D27">
        <w:rPr>
          <w:rFonts w:ascii="Arial" w:hAnsi="Arial" w:cs="Arial"/>
          <w:kern w:val="0"/>
          <w:lang w:val="en-US"/>
          <w14:ligatures w14:val="none"/>
        </w:rPr>
        <w:t>.</w:t>
      </w:r>
      <w:r w:rsidRPr="00BF0D27">
        <w:rPr>
          <w:rFonts w:ascii="Arial" w:hAnsi="Arial" w:cs="Arial"/>
          <w:kern w:val="0"/>
          <w:lang w:val="en-US"/>
          <w14:ligatures w14:val="none"/>
        </w:rPr>
        <w:t xml:space="preserve"> In accordance with prior dual coil studies, the left PMv coil was positioned tangentially to the scalp, causing a current flow in the brain </w:t>
      </w:r>
      <w:r w:rsidR="001712CB" w:rsidRPr="00BF0D27">
        <w:rPr>
          <w:rFonts w:ascii="Arial" w:hAnsi="Arial" w:cs="Arial"/>
          <w:kern w:val="0"/>
          <w:lang w:val="en-US"/>
          <w14:ligatures w14:val="none"/>
        </w:rPr>
        <w:t xml:space="preserve">directed </w:t>
      </w:r>
      <w:r w:rsidRPr="00BF0D27">
        <w:rPr>
          <w:rFonts w:ascii="Arial" w:hAnsi="Arial" w:cs="Arial"/>
          <w:kern w:val="0"/>
          <w:lang w:val="en-US"/>
          <w14:ligatures w14:val="none"/>
        </w:rPr>
        <w:t>toward the M1 coil</w:t>
      </w:r>
      <w:r w:rsidR="00C871CF" w:rsidRPr="00BF0D27">
        <w:rPr>
          <w:rFonts w:ascii="Arial" w:hAnsi="Arial" w:cs="Arial"/>
          <w:kern w:val="0"/>
          <w:lang w:val="en-US"/>
          <w14:ligatures w14:val="none"/>
        </w:rPr>
        <w:t xml:space="preserve"> </w:t>
      </w:r>
      <w:r w:rsidR="00C871CF" w:rsidRPr="00BF0D27">
        <w:rPr>
          <w:rFonts w:ascii="Arial" w:hAnsi="Arial" w:cs="Arial"/>
          <w:kern w:val="0"/>
          <w:lang w:val="en-US"/>
          <w14:ligatures w14:val="none"/>
        </w:rPr>
        <w:fldChar w:fldCharType="begin"/>
      </w:r>
      <w:r w:rsidR="00AE03F8">
        <w:rPr>
          <w:rFonts w:ascii="Arial" w:hAnsi="Arial" w:cs="Arial"/>
          <w:kern w:val="0"/>
          <w:lang w:val="en-US"/>
          <w14:ligatures w14:val="none"/>
        </w:rPr>
        <w:instrText xml:space="preserve"> ADDIN ZOTERO_ITEM CSL_CITATION {"citationID":"oWKDagGZ","properties":{"formattedCitation":"(Buch et al., 2011; Johnen et al., 2015; Turrini et al., 2023b)","plainCitation":"(Buch et al., 2011; Johnen et al., 2015; Turrini et al., 2023b)","noteIndex":0},"citationItems":[{"id":3938,"uris":["http://zotero.org/users/10009444/items/4TEVZ2AQ"],"itemData":{"id":3938,"type":"article-journal","abstract":"Correlations in brain activity between two areas (functional connectivity) have been shown to relate to their underlying structural connections. We examine the possibility that functional connectivity also reflects short-term changes in synaptic efficacy. We demonstrate that paired transcranial magnetic stimulation (TMS) near ventral premotor cortex (PMv) and primary motor cortex (M1) with a short 8-ms inter-pulse interval evoking synchronous pre- and post-synaptic activity and which strengthens interregional connectivity between the two areas in a pattern consistent with Hebbian plasticity, leads to increased functional connectivity between PMv and M1 as measured with functional magnetic resonance imaging (fMRI). Moreover, we show that strengthening connectivity between these nodes has effects on a wider network of areas, such as decreasing coupling in a parallel motor programming stream. A control experiment revealed that identical TMS pulses at identical frequencies caused no change in fMRI-measured functional connectivity when the inter-pulse-interval was too long for Hebbian-like plasticity.","container-title":"eLife","DOI":"10.7554/eLife.04585","ISSN":"2050-084X","note":"publisher: eLife Sciences Publications, Ltd","page":"e04585","source":"eLife","title":"Causal manipulation of functional connectivity in a specific neural pathway during behaviour and at rest","volume":"4","author":[{"family":"Johnen","given":"Vanessa M"},{"family":"Neubert","given":"Franz-Xaver"},{"family":"Buch","given":"Ethan R"},{"family":"Verhagen","given":"Lennart"},{"family":"O'Reilly","given":"Jill X"},{"family":"Mars","given":"Rogier B"},{"family":"Rushworth","given":"Matthew F S"}],"editor":[{"family":"Culham","given":"Jody C"}],"issued":{"date-parts":[["2015",2,9]]}}},{"id":4407,"uris":["http://zotero.org/users/10009444/items/9EV2XH9A"],"itemData":{"id":4407,"type":"article-journal","abstract":"Coincident pairing of presynaptic and postsynaptic activity selectively strengthens synaptic connections, a key mechanism underlying cortical plasticity. Using paired associative transcranial magnetic stimulation (TMS), we demonstrate selective potentiation of physiological connectivity between two human brain regions, ventral premotor cortex (PMv) and primary motor cortex (M1) after repeated paired-pulse TMS of PMv and M1. The effect was anatomically specific: paired stimulation of the presupplementary motor area and M1 did not induce changes in PMv–M1 pathway connectivity. The effect was dependent on stimulation order: repeated stimulation of PMv before M1 led to strengthening of the PMv–M1 pathway, while repeated stimulation of M1 before PMv diminished the strength of the PMv–M1 pathway. The expression of the change in the pathway depended on the cognitive state of the subject at the time of testing: when the subject was tested at rest, paired PMv–M1 stimulation led to an increased inhibitory influence of PMv over M1, but when the subject was tested while engaged in a visuomotor task, PMv–M1 stimulation led to an increased facilitatory influence of PMv over M1. Plasticity evolved rapidly, lasted for at least 1 h, and began to reverse 3 h after intervention.","container-title":"Journal of Neuroscience","DOI":"10.1523/JNEUROSCI.1513-11.2011","ISSN":"0270-6474, 1529-2401","issue":"48","journalAbbreviation":"J. Neurosci.","language":"en","license":"Copyright © 2011 the authors 0270-6474/11/3117669-11$15.00/0","note":"publisher: Society for Neuroscience\nsection: Articles\nPMID: 22131427","page":"17669-17679","source":"www.jneurosci.org","title":"Noninvasive Associative Plasticity Induction in a Corticocortical Pathway of the Human Brain","volume":"31","author":[{"family":"Buch","given":"Ethan R."},{"family":"Johnen","given":"Vanessa M."},{"family":"Nelissen","given":"Natalie"},{"family":"O'Shea","given":"Jacinta"},{"family":"Rushworth","given":"Matthew F. S."}],"issued":{"date-parts":[["2011",11,30]]}}},{"id":12560,"uris":["http://zotero.org/users/10009444/items/6PJPJJ2V","http://zotero.org/users/10009444/items/AL9JA4CL"],"itemData":{"id":12560,"type":"article-journal","abstract":"Transcranial magnetic stimulation (TMS) studies have shown that cortico-cortical paired associative stimulation (ccPAS) can strengthen connectivity between the ventral premotor cortex (PMv) and the primary motor cortex (M1) by modulating convergent input over M1 via Hebbian spike-timing-dependent plasticity (STDP). However, whether ccPAS locally affects M1 activity remains unclear. We tested 60 right-handed young healthy humans in two studies, using a combination of dual coil TMS and ccPAS over the left PMv and M1 to probe and manipulate PMv-to-M1 connectivity, and single- and paired-pulse TMS to assess neural activity within M1. We provide convergent evidence that ccPAS, relying on repeated activations of excitatory PMv-to-M1 connections, acts locally over M1. During ccPAS, motor-evoked potentials (MEPs) induced by paired PMv-M1 stimulation gradually increased. Following ccPAS, the threshold for inducing MEPs of different amplitudes decreased, and the input-output curve (IO) slope increased, highlighting increased M1 corticospinal excitability. Moreover, ccPAS reduced the magnitude of short-interval intracortical inhibition (SICI), reflecting suppression of GABA-ergic interneuronal mechanisms within M1, without affecting intracortical facilitation (ICF). These changes were specific to ccPAS Hebbian strengthening of PMv-to-M1 connectivity, as no modulations were observed when reversing the order of the PMv-M1 stimulation during a control ccPAS protocol. These findings expand prior ccPAS research that focused on the malleability of cortico-cortical connectivity at the network-level, and highlight local changes in the area of convergent activation (i.e., M1) during plasticity induction. These findings provide new mechanistic insights into the physiological basis of ccPAS that are relevant for protocol optimization.","container-title":"NeuroImage","DOI":"10.1016/j.neuroimage.2023.120027","ISSN":"1053-8119","journalAbbreviation":"NeuroImage","page":"120027","source":"ScienceDirect","title":"Cortico-cortical paired associative stimulation (ccPAS) over premotor-motor areas affects local circuitries in the human motor cortex via Hebbian plasticity","volume":"271","author":[{"family":"Turrini","given":"Sonia"},{"family":"Fiori","given":"Francesca"},{"family":"Chiappini","given":"Emilio"},{"family":"Lucero","given":"Boris"},{"family":"Santarnecchi","given":"Emiliano"},{"family":"Avenanti","given":"Alessio"}],"issued":{"date-parts":[["2023",5,1]]}}}],"schema":"https://github.com/citation-style-language/schema/raw/master/csl-citation.json"} </w:instrText>
      </w:r>
      <w:r w:rsidR="00C871CF" w:rsidRPr="00BF0D27">
        <w:rPr>
          <w:rFonts w:ascii="Arial" w:hAnsi="Arial" w:cs="Arial"/>
          <w:kern w:val="0"/>
          <w:lang w:val="en-US"/>
          <w14:ligatures w14:val="none"/>
        </w:rPr>
        <w:fldChar w:fldCharType="separate"/>
      </w:r>
      <w:r w:rsidR="00AE03F8" w:rsidRPr="00AE03F8">
        <w:rPr>
          <w:rFonts w:ascii="Arial" w:hAnsi="Arial" w:cs="Arial"/>
        </w:rPr>
        <w:t>(Buch et al., 2011; Johnen et al., 2015; Turrini et al., 2023b)</w:t>
      </w:r>
      <w:r w:rsidR="00C871CF" w:rsidRPr="00BF0D27">
        <w:rPr>
          <w:rFonts w:ascii="Arial" w:hAnsi="Arial" w:cs="Arial"/>
          <w:kern w:val="0"/>
          <w:lang w:val="en-US"/>
          <w14:ligatures w14:val="none"/>
        </w:rPr>
        <w:fldChar w:fldCharType="end"/>
      </w:r>
      <w:r w:rsidRPr="00BF0D27">
        <w:rPr>
          <w:rFonts w:ascii="Arial" w:hAnsi="Arial" w:cs="Arial"/>
          <w:kern w:val="0"/>
          <w:lang w:val="en-US"/>
          <w14:ligatures w14:val="none"/>
        </w:rPr>
        <w:t>.</w:t>
      </w:r>
      <w:r w:rsidR="001A4AE7" w:rsidRPr="00BF0D27">
        <w:rPr>
          <w:rFonts w:ascii="Arial" w:hAnsi="Arial" w:cs="Arial"/>
          <w:kern w:val="0"/>
          <w:lang w:val="en-US"/>
          <w14:ligatures w14:val="none"/>
        </w:rPr>
        <w:t xml:space="preserve"> </w:t>
      </w:r>
      <w:r w:rsidR="00397E2D" w:rsidRPr="00BF0D27">
        <w:rPr>
          <w:rFonts w:ascii="Arial" w:hAnsi="Arial" w:cs="Arial"/>
          <w:lang w:val="en-US"/>
        </w:rPr>
        <w:t xml:space="preserve">Pulses </w:t>
      </w:r>
      <w:r w:rsidR="000D64D6" w:rsidRPr="00BF0D27">
        <w:rPr>
          <w:rFonts w:ascii="Arial" w:hAnsi="Arial" w:cs="Arial"/>
          <w:lang w:val="en-US"/>
        </w:rPr>
        <w:t xml:space="preserve">were remotely </w:t>
      </w:r>
      <w:r w:rsidR="00397E2D" w:rsidRPr="00BF0D27">
        <w:rPr>
          <w:rFonts w:ascii="Arial" w:hAnsi="Arial" w:cs="Arial"/>
          <w:lang w:val="en-US"/>
        </w:rPr>
        <w:t>triggered using a custom MATLAB script (MathWorks, Natick, USA).</w:t>
      </w:r>
      <w:r w:rsidR="001A4AE7" w:rsidRPr="00BF0D27">
        <w:rPr>
          <w:rFonts w:ascii="Arial" w:hAnsi="Arial" w:cs="Arial"/>
          <w:lang w:val="en-US"/>
        </w:rPr>
        <w:t xml:space="preserve"> </w:t>
      </w:r>
      <w:r w:rsidR="00766DB0" w:rsidRPr="00BF0D27">
        <w:rPr>
          <w:rFonts w:ascii="Arial" w:hAnsi="Arial" w:cs="Arial"/>
        </w:rPr>
        <w:t xml:space="preserve">For the stimulation, we used a Magstim Bistim2 stimulator composed of two Magstim 2002 units (The Magstim Company, Carmarthenshire, Wales, U.K.); both the dcTMS and spTMS </w:t>
      </w:r>
      <w:r w:rsidR="005A55E6">
        <w:rPr>
          <w:rFonts w:ascii="Arial" w:hAnsi="Arial" w:cs="Arial"/>
        </w:rPr>
        <w:t xml:space="preserve">pulses </w:t>
      </w:r>
      <w:r w:rsidR="00766DB0" w:rsidRPr="00BF0D27">
        <w:rPr>
          <w:rFonts w:ascii="Arial" w:hAnsi="Arial" w:cs="Arial"/>
        </w:rPr>
        <w:t>were delivered through two 50-mm iron branding figure-of-eight coils.</w:t>
      </w:r>
    </w:p>
    <w:p w14:paraId="264C3E96" w14:textId="442DDCC2" w:rsidR="00D67C9F" w:rsidRPr="00BF0D27" w:rsidRDefault="001A4AE7" w:rsidP="00075463">
      <w:pPr>
        <w:jc w:val="both"/>
        <w:rPr>
          <w:rFonts w:ascii="Arial" w:hAnsi="Arial" w:cs="Arial"/>
          <w:lang w:val="en-US"/>
        </w:rPr>
      </w:pPr>
      <w:r w:rsidRPr="00BF0D27">
        <w:rPr>
          <w:rFonts w:ascii="Arial" w:hAnsi="Arial" w:cs="Arial"/>
          <w:lang w:val="en-US"/>
        </w:rPr>
        <w:tab/>
      </w:r>
      <w:r w:rsidR="007E700A" w:rsidRPr="00BF0D27">
        <w:rPr>
          <w:rFonts w:ascii="Arial" w:hAnsi="Arial" w:cs="Arial"/>
          <w:lang w:val="en-US"/>
        </w:rPr>
        <w:t>The</w:t>
      </w:r>
      <w:r w:rsidRPr="00BF0D27">
        <w:rPr>
          <w:rFonts w:ascii="Arial" w:hAnsi="Arial" w:cs="Arial"/>
          <w:lang w:val="en-US"/>
        </w:rPr>
        <w:t xml:space="preserve"> location of the</w:t>
      </w:r>
      <w:r w:rsidR="007E700A" w:rsidRPr="00BF0D27">
        <w:rPr>
          <w:rFonts w:ascii="Arial" w:hAnsi="Arial" w:cs="Arial"/>
          <w:lang w:val="en-US"/>
        </w:rPr>
        <w:t xml:space="preserve"> left PMv locations were identified using </w:t>
      </w:r>
      <w:r w:rsidRPr="00BF0D27">
        <w:rPr>
          <w:rFonts w:ascii="Arial" w:hAnsi="Arial" w:cs="Arial"/>
          <w:lang w:val="en-US"/>
        </w:rPr>
        <w:t xml:space="preserve">a </w:t>
      </w:r>
      <w:r w:rsidR="007E700A" w:rsidRPr="00BF0D27">
        <w:rPr>
          <w:rFonts w:ascii="Arial" w:hAnsi="Arial" w:cs="Arial"/>
          <w:lang w:val="en-US"/>
        </w:rPr>
        <w:t xml:space="preserve">SofTaxic Navigator System (Electro Medical System, Bologna, IT). To generate an individual estimated magnetic resonance image (MRI), skull landmarks (nasion, inion, and two preauricular points) and 80 points were digitized in all participants using a Polaris Vicra digitizer (Northern Digital). After this, a 3D warping process fitting a high-resolution MRI template to the participant's scalp model and craniometric points </w:t>
      </w:r>
      <w:r w:rsidRPr="00BF0D27">
        <w:rPr>
          <w:rFonts w:ascii="Arial" w:hAnsi="Arial" w:cs="Arial"/>
          <w:lang w:val="en-US"/>
        </w:rPr>
        <w:t xml:space="preserve">was </w:t>
      </w:r>
      <w:r w:rsidR="007E700A" w:rsidRPr="00BF0D27">
        <w:rPr>
          <w:rFonts w:ascii="Arial" w:hAnsi="Arial" w:cs="Arial"/>
          <w:lang w:val="en-US"/>
        </w:rPr>
        <w:t xml:space="preserve">used </w:t>
      </w:r>
      <w:r w:rsidRPr="00BF0D27">
        <w:rPr>
          <w:rFonts w:ascii="Arial" w:hAnsi="Arial" w:cs="Arial"/>
          <w:lang w:val="en-US"/>
        </w:rPr>
        <w:t>to create</w:t>
      </w:r>
      <w:r w:rsidR="007E700A" w:rsidRPr="00BF0D27">
        <w:rPr>
          <w:rFonts w:ascii="Arial" w:hAnsi="Arial" w:cs="Arial"/>
          <w:lang w:val="en-US"/>
        </w:rPr>
        <w:t xml:space="preserve"> the estimated MRI of each subject. To localize the left PMv, we used Talairach coordinates calculated by averaging previously </w:t>
      </w:r>
      <w:r w:rsidR="007174AD" w:rsidRPr="00BF0D27">
        <w:rPr>
          <w:rFonts w:ascii="Arial" w:hAnsi="Arial" w:cs="Arial"/>
          <w:lang w:val="en-US"/>
        </w:rPr>
        <w:t xml:space="preserve">reported </w:t>
      </w:r>
      <w:r w:rsidR="007E700A" w:rsidRPr="00BF0D27">
        <w:rPr>
          <w:rFonts w:ascii="Arial" w:hAnsi="Arial" w:cs="Arial"/>
          <w:lang w:val="en-US"/>
        </w:rPr>
        <w:t xml:space="preserve">coordinates </w:t>
      </w:r>
      <w:r w:rsidR="00C871CF" w:rsidRPr="00BF0D27">
        <w:rPr>
          <w:rFonts w:ascii="Arial" w:hAnsi="Arial" w:cs="Arial"/>
          <w:lang w:val="en-US"/>
        </w:rPr>
        <w:fldChar w:fldCharType="begin"/>
      </w:r>
      <w:r w:rsidR="00AE03F8">
        <w:rPr>
          <w:rFonts w:ascii="Arial" w:hAnsi="Arial" w:cs="Arial"/>
          <w:lang w:val="en-US"/>
        </w:rPr>
        <w:instrText xml:space="preserve"> ADDIN ZOTERO_ITEM CSL_CITATION {"citationID":"0R4NfadU","properties":{"formattedCitation":"(Avenanti et al., 2018, 2012; Dafotakis et al., 2008; Davare et al., 2006)","plainCitation":"(Avenanti et al., 2018, 2012; Dafotakis et al., 2008; Davare et al., 2006)","noteIndex":0},"citationItems":[{"id":4921,"uris":["http://zotero.org/users/10009444/items/9MQWHAS5"],"itemData":{"id":4921,"type":"article-journal","abstract":"Peripersonal space (PPS) representation depends on the activity of a fronto-parietal network including the premotor cortex (PMc) and the posterior parietal cortex (PPc). PPS representation has a direct effect on the motor system: a stimulus activating the PPS around the hand modulates the excitability of hand representation in the primary motor cortex. However, to date, direct information about the involvement of the PMc–PPc network in the motor mapping of sensory events occurring within PPS is lacking. To address this issue, we used a ‘perturb-and-measure’ paradigm based on the combination of transcranial direct current stimulation (tDCS) and transcranial magnetic stimulation (TMS) techniques. Cathodal tDCS was applied to transiently suppress neural activity in PMc, PPc and primary visual cortex (V1; serving as an active control site); single-pulse TMS was used to induce motor-evoked potentials (MEPs) from hand muscles and so to measure the excitability of the hand motor representation. MEPs were compared when a sound was presented either near the hand or at a distance. In experimental sessions performed after sham-tDCS and after tDCS over the control area V1, we found a spatially dependent modulation of the hand motor representation: sounds presented near the hand induced an inhibitory motor response as compared to sounds presented far apart. Critically, this effect was selectively abolished after tDCS suppression of neural activity in PMc, but not when perturbing the activity of PPc. These findings suggest that PMc has a critical role in mapping sensory representations of space onto the motor system.","container-title":"NeuroImage","DOI":"10.1016/j.neuroimage.2012.06.063","ISSN":"1053-8119","issue":"1","journalAbbreviation":"NeuroImage","language":"en","page":"281-288","source":"ScienceDirect","title":"Suppression of premotor cortex disrupts motor coding of peripersonal space","volume":"63","author":[{"family":"Avenanti","given":"Alessio"},{"family":"Annela","given":"Laura"},{"family":"Serino","given":"Andrea"}],"issued":{"date-parts":[["2012",10,15]]}}},{"id":4924,"uris":["http://zotero.org/users/10009444/items/YXB8U2WF"],"itemData":{"id":4924,"type":"article-journal","abstract":"Influential theories suggest that humans predict others’ upcoming actions by using their own motor system as an internal forward model. However, evidence that the motor system is causally essential for predicting others’ actions is meager. Using transcranial direct current stimulation (tDCS), we tested the role of the inferior frontal cortex (IFC), in action prediction (AP). We devised a novel AP task where participants observed the initial phases of right-hand reaching-to-grasp actions and had to predict their outcome (i.e., the goal/object to be grasped). We found that suppression by cathodal (inhibitory) tDCS of the left IFC, but not the left superior temporal sulcus or the right IFC, selectively impaired performance on the AP task, but not on a difficulty-matched control task. Remarkably, anodal (excitatory) tDCS of the left IFC brought about a selective improvement in the AP task. These findings indicate that the left IFC is necessary for predicting the outcomes of observed human right-hand actions. Crucially, our study shows for the first time that down- and up-regulating excitability within the motor system can hinder and enhance AP abilities, respectively. These findings support predictive coding theories of action perception and have implications for enhancement of AP abilities.","container-title":"Cerebral Cortex","DOI":"10.1093/cercor/bhx041","ISSN":"1047-3211","issue":"4","journalAbbreviation":"Cerebral Cortex","page":"1282-1296","source":"Silverchair","title":"Boosting and Decreasing Action Prediction Abilities Through Excitatory and Inhibitory tDCS of Inferior Frontal Cortex","volume":"28","author":[{"family":"Avenanti","given":"Alessio"},{"family":"Paracampo","given":"Riccardo"},{"family":"Annella","given":"Laura"},{"family":"Tidoni","given":"Emmanuele"},{"family":"Aglioti","given":"Salvatore Maria"}],"issued":{"date-parts":[["2018",4,1]]}}},{"id":10981,"uris":["http://zotero.org/users/10009444/items/86IEPUW8"],"itemData":{"id":10981,"type":"article-journal","abstract":"When lifting objects of different mass but identical visual appearance, we apply grip forces that match the expected mass of the object. Here we study the role of the primary motor cortex (M1), the ventral premotor cortex (PMv) and the anterior intraparietal area (AIP) for predictive and reactive scaling of grip forces. Participants performed a precision grip between the index finger and thumb of the right hand to lift two different masses of identical visual appearance in random order. Neuronavigated single pulse transcranial magnetic stimulation (TMS) over (i) left M1, (ii) left PMv, (iii) left AIP and (iv) the vertex (for control) was applied at two time points of the grasping movement after an unexpected change in mass had occurred: (a) at the time of movement onset and (b) at the time of peak grasp aperture. TMS over the PMv, but not over the vertex, M1 or the AIP, interfered with the predictive scaling of grip forces according to the most recent lift when applied at the time of peak grasp aperture. In contrast, TMS over AIP, but not over the vertex, M1 or PMv, disrupted the reactive adjustment of grip force to the novel mass of the object at hand. The findings highlight the differential involvement of PMv in the predictive scaling of grip force and of AIP in the reactive online adjustment of grip force during object manipulation.","container-title":"Brain Research","DOI":"10.1016/j.brainres.2008.06.027","ISSN":"00068993","journalAbbreviation":"Brain Research","language":"en","page":"73-80","source":"DOI.org (Crossref)","title":"On the role of the ventral premotor cortex and anterior intraparietal area for predictive and reactive scaling of grip force","volume":"1228","author":[{"family":"Dafotakis","given":"Manuel"},{"family":"Sparing","given":"Roland"},{"family":"Eickhoff","given":"Simon B."},{"family":"Fink","given":"Gereon R."},{"family":"Nowak","given":"Dennis A."}],"issued":{"date-parts":[["2008",9]]}}},{"id":4930,"uris":["http://zotero.org/users/10009444/items/GL53IWYS"],"itemData":{"id":4930,"type":"article-journal","abstract":"Small-object manipulation is essential in numerous human activities, although its neural bases are still essentially unknown. Recent functional imaging studies have shown that precision grasping activates a large bilateral frontoparietal network, including ventral (PMv) and dorsal (PMd) premotor areas. To dissociate the role of PMv and PMd in the control of hand and finger movements, we produced, by means of transcranial magnetic stimulation (TMS), transient virtual lesions of these two areas in both hemispheres, in healthy subjects performing a grip–lift task with their right, dominant hand. We found that a virtual lesion of PMv specifically impaired the grasping component of these movements: a lesion of either the left or right PMv altered the correct positioning of fingers on the object, a prerequisite for an efficient grasping, whereas lesioning the left, contralateral PMv disturbed the sequential recruitment of intrinsic hand muscles, all other movement parameters being unaffected by PMv lesions. Conversely, we found that a virtual lesion of the left PMd impaired the proper coupling between the grasping and lifting phases, as evidenced by the TMS-induced delay in the recruitment of proximal muscles responsible for the lifting phase; lesioning the right PMd failed to affect dominant hand movements. Finally, an analysis of the time course of these effects allowed us to demonstrate the sequential involvement of PMv and PMd in movement preparation. These results provide the first compelling evidence for a neuronal dissociation between the different phases of precision grasping in human premotor cortex.","container-title":"Journal of Neuroscience","DOI":"10.1523/JNEUROSCI.3386-05.2006","ISSN":"0270-6474, 1529-2401","issue":"8","journalAbbreviation":"J. Neurosci.","language":"en","license":"Copyright © 2006 Society for Neuroscience 0270-6474/06/262260-09$15.00/0","note":"publisher: Society for Neuroscience\nsection: Articles\nPMID: 16495453","page":"2260-2268","source":"www.jneurosci.org","title":"Dissociating the Role of Ventral and Dorsal Premotor Cortex in Precision Grasping","volume":"26","author":[{"family":"Davare","given":"Marco"},{"family":"Andres","given":"Michael"},{"family":"Cosnard","given":"Guy"},{"family":"Thonnard","given":"Jean-Louis"},{"family":"Olivier","given":"Etienne"}],"issued":{"date-parts":[["2006",2,22]]}}}],"schema":"https://github.com/citation-style-language/schema/raw/master/csl-citation.json"} </w:instrText>
      </w:r>
      <w:r w:rsidR="00C871CF" w:rsidRPr="00BF0D27">
        <w:rPr>
          <w:rFonts w:ascii="Arial" w:hAnsi="Arial" w:cs="Arial"/>
          <w:lang w:val="en-US"/>
        </w:rPr>
        <w:fldChar w:fldCharType="separate"/>
      </w:r>
      <w:r w:rsidR="00AE03F8" w:rsidRPr="00AE03F8">
        <w:rPr>
          <w:rFonts w:ascii="Arial" w:hAnsi="Arial" w:cs="Arial"/>
        </w:rPr>
        <w:t>(Avenanti et al., 2018, 2012; Dafotakis et al., 2008; Davare et al., 2006)</w:t>
      </w:r>
      <w:r w:rsidR="00C871CF" w:rsidRPr="00BF0D27">
        <w:rPr>
          <w:rFonts w:ascii="Arial" w:hAnsi="Arial" w:cs="Arial"/>
          <w:lang w:val="en-US"/>
        </w:rPr>
        <w:fldChar w:fldCharType="end"/>
      </w:r>
      <w:r w:rsidR="007E700A" w:rsidRPr="00BF0D27">
        <w:rPr>
          <w:rFonts w:ascii="Arial" w:hAnsi="Arial" w:cs="Arial"/>
          <w:lang w:val="en-US"/>
        </w:rPr>
        <w:t xml:space="preserve"> </w:t>
      </w:r>
      <w:r w:rsidR="007174AD" w:rsidRPr="00BF0D27">
        <w:rPr>
          <w:rFonts w:ascii="Arial" w:hAnsi="Arial" w:cs="Arial"/>
          <w:lang w:val="en-US"/>
        </w:rPr>
        <w:t>and also</w:t>
      </w:r>
      <w:r w:rsidR="007E700A" w:rsidRPr="00BF0D27">
        <w:rPr>
          <w:rFonts w:ascii="Arial" w:hAnsi="Arial" w:cs="Arial"/>
          <w:lang w:val="en-US"/>
        </w:rPr>
        <w:t xml:space="preserve"> used in </w:t>
      </w:r>
      <w:r w:rsidR="00C871CF" w:rsidRPr="00BF0D27">
        <w:rPr>
          <w:rFonts w:ascii="Arial" w:hAnsi="Arial" w:cs="Arial"/>
          <w:lang w:val="en-US"/>
        </w:rPr>
        <w:t xml:space="preserve">our </w:t>
      </w:r>
      <w:r w:rsidR="007E700A" w:rsidRPr="00BF0D27">
        <w:rPr>
          <w:rFonts w:ascii="Arial" w:hAnsi="Arial" w:cs="Arial"/>
          <w:lang w:val="en-US"/>
        </w:rPr>
        <w:t>previous ccPAS studies</w:t>
      </w:r>
      <w:r w:rsidR="007174AD" w:rsidRPr="00BF0D27">
        <w:rPr>
          <w:rFonts w:ascii="Arial" w:hAnsi="Arial" w:cs="Arial"/>
          <w:lang w:val="en-US"/>
        </w:rPr>
        <w:t xml:space="preserve"> that test the malleability of this connection</w:t>
      </w:r>
      <w:r w:rsidR="007E700A" w:rsidRPr="00BF0D27">
        <w:rPr>
          <w:rFonts w:ascii="Arial" w:hAnsi="Arial" w:cs="Arial"/>
          <w:lang w:val="en-US"/>
        </w:rPr>
        <w:t xml:space="preserve"> </w:t>
      </w:r>
      <w:r w:rsidR="00C871CF" w:rsidRPr="00BF0D27">
        <w:rPr>
          <w:rFonts w:ascii="Arial" w:hAnsi="Arial" w:cs="Arial"/>
          <w:lang w:val="en-US"/>
        </w:rPr>
        <w:fldChar w:fldCharType="begin"/>
      </w:r>
      <w:r w:rsidR="00AE03F8">
        <w:rPr>
          <w:rFonts w:ascii="Arial" w:hAnsi="Arial" w:cs="Arial"/>
          <w:lang w:val="en-US"/>
        </w:rPr>
        <w:instrText xml:space="preserve"> ADDIN ZOTERO_ITEM CSL_CITATION {"citationID":"7t0nLYij","properties":{"formattedCitation":"(Bevacqua et al., 2024; Fiori et al., 2018; Turrini et al., 2023a, 2022)","plainCitation":"(Bevacqua et al., 2024; Fiori et al., 2018; Turrini et al., 2023a, 2022)","noteIndex":0},"citationItems":[{"id":1970,"uris":["http://zotero.org/users/10009444/items/3U7IKZ7G"],"itemData":{"id":1970,"type":"article-journal","abstract":"Cortico-cortical paired associative stimulation (ccPAS) is an effective transcranial magnetic stimulation (TMS) method for inducing associative plasticity between interconnected brain areas in humans. Prior ccPAS studies have focused on protocol’s aftereffects. Here, we investigated physiological changes induced “online” during ccPAS administration. We tested 109 participants receiving ccPAS over left ventral premotor cortex (PMv) and primary motor cortex (M1) using a standard procedure (90 paired-pulses with 8-ms interstimulus interval, repeated at 0.1 Hz frequency). On each paired-pulse, we recorded a motor-evoked potential (MEP) to continuously trace the emergence of corticomotor changes. Participant receiving forward-ccPAS (on each pair, a first TMS pulse was administered over PMv, second over M1, i.e., PMv-to-M1) showed a gradual and linear increase in MEP size that did not reach a plateau at the end of the protocol and was greater in participants with low motor threshold. Participants receiving reverse-ccPAS (i.e., M1-to-PMv) showed a trend toward inhibition. Our study highlights the facilitatory and inhibitory modulations that occur during ccPAS administration and suggest that online MEP monitoring could provide insights into the malleability of the motor system and protocol’s effectiveness. Our findings open interesting prospects about ccPAS potential optimization in experimental and clinical settings.","container-title":"Scientific Reports","DOI":"10.1038/s41598-022-18774-9","ISSN":"2045-2322","issue":"1","journalAbbreviation":"Sci Rep","language":"en","license":"2022 The Author(s)","note":"number: 1\npublisher: Nature Publishing Group","page":"14670","source":"www.nature.com","title":"Gradual enhancement of corticomotor excitability during cortico-cortical paired associative stimulation","volume":"12","author":[{"family":"Turrini","given":"Sonia"},{"family":"Fiori","given":"Francesca"},{"family":"Chiappini","given":"Emilio"},{"family":"Santarnecchi","given":"Emiliano"},{"family":"Romei","given":"Vincenzo"},{"family":"Avenanti","given":"Alessio"}],"issued":{"date-parts":[["2022",8,29]]}},"label":"page"},{"id":383,"uris":["http://zotero.org/users/10009444/items/6YF3Y69M"],"itemData":{"id":383,"type":"article-journal","abstract":"Skillful goal-directed manual actions such as grasping and manipulating objects are supported by a large sensorimotor network. Within this network, the ventral premotor cortex (PMv) transforms visual information about objects into motor commands that are conveyed to the primary motor cortex (M1), allowing fine control of finger movements. However, it is unknown whether transcranial magnetic stimulation (TMS) of this PMv-to-M1 hierarchical pathway improves action performance. To fill in this gap, here, we used cortico-cortical paired associative stimulation (ccPAS) with the aim of manipulating synaptic efficacy in the human PMv-to-M1 pathway. We found that repeatedly pairing TMS of pre-and post-synaptic nodes of the PMv-to-M1 pathway (i.e., PMv-to-M1 ccPAS) increased motor excitability and enhanced performance on the 9-Hole Peg Test (9-HPT), which taps into PMv-M1 functioning. These effects were specific to the ccPAS protocol consistent with the direction of the PMv-to-M1 hierarchy, as no effects were observed when reversing the order of the paired TMS pulses (i.e., following a M1-to-PMv ccPAS) or when administering sham ccPAS. Additionally, the effect of PMv-to-M1 ccPAS appeared functionally specific, as no behavioral enhancement was observed in a visuomotor control task. We therefore provide novel causal evidence that the PMv-to-M1 pathway, which is instrumental to object-oriented hand actions, is sensitive to TMS manipulations of associative plasticity. Our study highlights the causal role of the PMv-to-M1 pathway in controlling skillful object-oriented hand actions and suggests that ccPAS might be a useful tool for investigating the functional relevance of directional connectivity in humans. These findings may have implications for designing novel therapeutic strategies based on the manipulation of associative plasticity in cortico-cortical networks.","container-title":"NeuroImage","DOI":"10.1016/j.neuroimage.2018.09.002","ISSN":"10959572","note":"PMID: 30193973\npublisher: Academic Press Inc.","page":"847-858","title":"Enhanced action performance following TMS manipulation of associative plasticity in ventral premotor-motor pathway","volume":"183","author":[{"family":"Fiori","given":"Francesca"},{"family":"Chiappini","given":"Emilio"},{"family":"Avenanti","given":"Alessio"}],"issued":{"date-parts":[["2018",12,1]]}}},{"id":10674,"uris":["http://zotero.org/users/10009444/items/SUYPA6R4"],"itemData":{"id":10674,"type":"article-journal","container-title":"Brain Stimulation","DOI":"10.1016/j.brs.2024.01.001","ISSN":"1935861X","issue":"1","journalAbbreviation":"Brain Stimulation","language":"en","page":"89-91","source":"DOI.org (Crossref)","title":"Cortico-cortical paired associative stimulation highlights asymmetrical communication between rostral premotor cortices and primary motor cortex","volume":"17","author":[{"family":"Bevacqua","given":"Naomi"},{"family":"Turrini","given":"Sonia"},{"family":"Fiori","given":"Francesca"},{"family":"Saracini","given":"Chiara"},{"family":"Lucero","given":"Boris"},{"family":"Candidi","given":"Matteo"},{"family":"Avenanti","given":"Alessio"}],"issued":{"date-parts":[["2024",1]]}}},{"id":5087,"uris":["http://zotero.org/users/10009444/items/6KVDXAD9"],"itemData":{"id":5087,"type":"article-journal","abstract":"Transcranial magnetic stimulation (TMS) methods such as cortico-cortical paired associative stimulation (ccPAS) can increase the strength of functional connectivity between ventral premotor cortex (PMv) and primary motor cortex (M1) via spike timing-dependent plasticity (STDP), leading to enhanced motor functions in young adults. However, whether this STDP-inducing protocol is effective in the aging brain remains unclear. In two groups of young and elderly healthy adults, we evaluated manual dexterity with the 9-hole peg task before and after ccPAS of the left PMv-M1 circuit. We observed that ccPAS enhanced dexterity in youn</w:instrText>
      </w:r>
      <w:r w:rsidR="00AE03F8" w:rsidRPr="00AE03F8">
        <w:rPr>
          <w:rFonts w:ascii="Arial" w:hAnsi="Arial" w:cs="Arial"/>
          <w:lang w:val="it-IT"/>
        </w:rPr>
        <w:instrText xml:space="preserve">g adults, and this effect was anticipated by a progressive increase in motor-evoked potentials (MEPs) during ccPAS administration. No similar effects were observed in elderly individuals or in a control task. Across age groups, we observed that the magnitude of MEP changes predicted larger behavioral improvements. These findings demonstrate that left PMv-to-M1 ccPAS induces functionally specific improvements in young adults’ manual dexterity and an increase in corticomotor excitability, but altered plasticity prevents the effectiveness of ccPAS in the elderly.","container-title":"Frontiers in Aging Neuroscience","DOI":"10.3389/fnagi.2023.1119508","ISSN":"1663-4365","journalAbbreviation":"Front. Aging Neurosci.","source":"Frontiers","title":"Transcranial cortico-cortical paired associative stimulation (ccPAS) over ventral premotor-motor pathways enhances action performance and corticomotor excitability in young adults more than in elderly adults","URL":"https://www.frontiersin.org/articles/10.3389/fnagi.2023.1119508","volume":"15","author":[{"family":"Turrini","given":"Sonia"},{"family":"Bevacqua","given":"Naomi"},{"family":"Cataneo","given":"Antonio"},{"family":"Chiappini","given":"Emilio"},{"family":"Fiori","given":"Francesca"},{"family":"Candidi","given":"Matteo"},{"family":"Avenanti","given":"Alessio"}],"accessed":{"date-parts":[["2023",2,17]]},"issued":{"date-parts":[["2023"]]}}}],"schema":"https://github.com/citation-style-language/schema/raw/master/csl-citation.json"} </w:instrText>
      </w:r>
      <w:r w:rsidR="00C871CF" w:rsidRPr="00BF0D27">
        <w:rPr>
          <w:rFonts w:ascii="Arial" w:hAnsi="Arial" w:cs="Arial"/>
          <w:lang w:val="en-US"/>
        </w:rPr>
        <w:fldChar w:fldCharType="separate"/>
      </w:r>
      <w:r w:rsidR="00AE03F8" w:rsidRPr="00AE03F8">
        <w:rPr>
          <w:rFonts w:ascii="Arial" w:hAnsi="Arial" w:cs="Arial"/>
          <w:lang w:val="it-IT"/>
        </w:rPr>
        <w:t>(Bevacqua et al., 2024; Fiori et al., 2018; Turrini et al., 2023a, 2022)</w:t>
      </w:r>
      <w:r w:rsidR="00C871CF" w:rsidRPr="00BF0D27">
        <w:rPr>
          <w:rFonts w:ascii="Arial" w:hAnsi="Arial" w:cs="Arial"/>
          <w:lang w:val="en-US"/>
        </w:rPr>
        <w:fldChar w:fldCharType="end"/>
      </w:r>
      <w:r w:rsidR="007E700A" w:rsidRPr="00AE03F8">
        <w:rPr>
          <w:rFonts w:ascii="Arial" w:hAnsi="Arial" w:cs="Arial"/>
          <w:lang w:val="it-IT"/>
        </w:rPr>
        <w:t>: x = -52; y = 10; and z = 24.</w:t>
      </w:r>
      <w:r w:rsidRPr="00AE03F8">
        <w:rPr>
          <w:rFonts w:ascii="Arial" w:hAnsi="Arial" w:cs="Arial"/>
          <w:lang w:val="it-IT"/>
        </w:rPr>
        <w:t xml:space="preserve"> </w:t>
      </w:r>
      <w:r w:rsidR="0032675F" w:rsidRPr="00BF0D27">
        <w:rPr>
          <w:rFonts w:ascii="Arial" w:hAnsi="Arial" w:cs="Arial"/>
          <w:lang w:val="en-US"/>
        </w:rPr>
        <w:t xml:space="preserve">The Talairach coordinates corresponding to the projections of the left PMv and left M1 scalp sites onto the brain surface were automatically determined by the SofTaxic Navigator using the MRI-constructed stereotaxic template; the mean and standard deviation of the two groups are shown in Table </w:t>
      </w:r>
      <w:r w:rsidR="002E42FD" w:rsidRPr="00BF0D27">
        <w:rPr>
          <w:rFonts w:ascii="Arial" w:hAnsi="Arial" w:cs="Arial"/>
          <w:lang w:val="en-US"/>
        </w:rPr>
        <w:t>2</w:t>
      </w:r>
      <w:r w:rsidR="006D79F0" w:rsidRPr="00BF0D27">
        <w:rPr>
          <w:rFonts w:ascii="Arial" w:hAnsi="Arial" w:cs="Arial"/>
          <w:lang w:val="en-US"/>
        </w:rPr>
        <w:t>S.</w:t>
      </w:r>
    </w:p>
    <w:tbl>
      <w:tblPr>
        <w:tblStyle w:val="Tabellasemplice-3"/>
        <w:tblW w:w="0" w:type="auto"/>
        <w:jc w:val="center"/>
        <w:tblLook w:val="04A0" w:firstRow="1" w:lastRow="0" w:firstColumn="1" w:lastColumn="0" w:noHBand="0" w:noVBand="1"/>
      </w:tblPr>
      <w:tblGrid>
        <w:gridCol w:w="2755"/>
        <w:gridCol w:w="1145"/>
        <w:gridCol w:w="1267"/>
        <w:gridCol w:w="1071"/>
        <w:gridCol w:w="1145"/>
        <w:gridCol w:w="1071"/>
        <w:gridCol w:w="1071"/>
      </w:tblGrid>
      <w:tr w:rsidR="00700EDC" w:rsidRPr="00BF0D27" w14:paraId="447C37FF" w14:textId="1337465A" w:rsidTr="00700EDC">
        <w:trPr>
          <w:cnfStyle w:val="100000000000" w:firstRow="1" w:lastRow="0" w:firstColumn="0" w:lastColumn="0" w:oddVBand="0" w:evenVBand="0" w:oddHBand="0" w:evenHBand="0" w:firstRowFirstColumn="0" w:firstRowLastColumn="0" w:lastRowFirstColumn="0" w:lastRowLastColumn="0"/>
          <w:trHeight w:val="290"/>
          <w:jc w:val="center"/>
        </w:trPr>
        <w:tc>
          <w:tcPr>
            <w:cnfStyle w:val="001000000100" w:firstRow="0" w:lastRow="0" w:firstColumn="1" w:lastColumn="0" w:oddVBand="0" w:evenVBand="0" w:oddHBand="0" w:evenHBand="0" w:firstRowFirstColumn="1" w:firstRowLastColumn="0" w:lastRowFirstColumn="0" w:lastRowLastColumn="0"/>
            <w:tcW w:w="0" w:type="auto"/>
          </w:tcPr>
          <w:p w14:paraId="47A83FBE" w14:textId="77777777" w:rsidR="00700EDC" w:rsidRPr="00BF0D27" w:rsidRDefault="00700EDC" w:rsidP="00D32987">
            <w:pPr>
              <w:jc w:val="center"/>
              <w:rPr>
                <w:rFonts w:ascii="Arial" w:eastAsia="Times New Roman" w:hAnsi="Arial" w:cs="Arial"/>
                <w:caps w:val="0"/>
                <w:color w:val="000000"/>
                <w:kern w:val="0"/>
                <w:lang w:val="en-US" w:eastAsia="ja-JP"/>
                <w14:ligatures w14:val="none"/>
              </w:rPr>
            </w:pPr>
          </w:p>
        </w:tc>
        <w:tc>
          <w:tcPr>
            <w:tcW w:w="0" w:type="auto"/>
            <w:gridSpan w:val="3"/>
            <w:noWrap/>
          </w:tcPr>
          <w:p w14:paraId="0A8C8058" w14:textId="15E9BE9D" w:rsidR="00700EDC" w:rsidRPr="00BF0D27" w:rsidRDefault="00700EDC" w:rsidP="00D3298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aps w:val="0"/>
                <w:color w:val="000000"/>
                <w:kern w:val="0"/>
                <w:lang w:val="it-IT" w:eastAsia="ja-JP"/>
                <w14:ligatures w14:val="none"/>
              </w:rPr>
            </w:pPr>
            <w:r w:rsidRPr="00BF0D27">
              <w:rPr>
                <w:rFonts w:ascii="Arial" w:eastAsia="Times New Roman" w:hAnsi="Arial" w:cs="Arial"/>
                <w:color w:val="000000"/>
                <w:kern w:val="0"/>
                <w:lang w:val="it-IT" w:eastAsia="ja-JP"/>
                <w14:ligatures w14:val="none"/>
              </w:rPr>
              <w:t>M1</w:t>
            </w:r>
          </w:p>
        </w:tc>
        <w:tc>
          <w:tcPr>
            <w:tcW w:w="0" w:type="auto"/>
            <w:gridSpan w:val="3"/>
            <w:noWrap/>
          </w:tcPr>
          <w:p w14:paraId="57BB38BB" w14:textId="65E1646D" w:rsidR="00700EDC" w:rsidRPr="00BF0D27" w:rsidRDefault="00700EDC" w:rsidP="00D32987">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aps w:val="0"/>
                <w:color w:val="000000"/>
                <w:kern w:val="0"/>
                <w:lang w:val="it-IT" w:eastAsia="ja-JP"/>
                <w14:ligatures w14:val="none"/>
              </w:rPr>
            </w:pPr>
            <w:r w:rsidRPr="00BF0D27">
              <w:rPr>
                <w:rFonts w:ascii="Arial" w:eastAsia="Times New Roman" w:hAnsi="Arial" w:cs="Arial"/>
                <w:color w:val="000000"/>
                <w:kern w:val="0"/>
                <w:lang w:val="it-IT" w:eastAsia="ja-JP"/>
                <w14:ligatures w14:val="none"/>
              </w:rPr>
              <w:t>PMv</w:t>
            </w:r>
          </w:p>
        </w:tc>
      </w:tr>
      <w:tr w:rsidR="00700EDC" w:rsidRPr="00BF0D27" w14:paraId="1F49ABF6" w14:textId="0C03EE85" w:rsidTr="00700EDC">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0" w:type="auto"/>
          </w:tcPr>
          <w:p w14:paraId="5362B01B" w14:textId="77777777" w:rsidR="00700EDC" w:rsidRPr="00BF0D27" w:rsidRDefault="00700EDC" w:rsidP="002B11CF">
            <w:pPr>
              <w:jc w:val="center"/>
              <w:rPr>
                <w:rFonts w:ascii="Arial" w:eastAsia="Times New Roman" w:hAnsi="Arial" w:cs="Arial"/>
                <w:caps w:val="0"/>
                <w:color w:val="000000"/>
                <w:kern w:val="0"/>
                <w:lang w:val="it-IT" w:eastAsia="ja-JP"/>
                <w14:ligatures w14:val="none"/>
              </w:rPr>
            </w:pPr>
          </w:p>
        </w:tc>
        <w:tc>
          <w:tcPr>
            <w:tcW w:w="0" w:type="auto"/>
            <w:noWrap/>
          </w:tcPr>
          <w:p w14:paraId="52D83EC0" w14:textId="23D8F060"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x</w:t>
            </w:r>
          </w:p>
        </w:tc>
        <w:tc>
          <w:tcPr>
            <w:tcW w:w="0" w:type="auto"/>
            <w:noWrap/>
          </w:tcPr>
          <w:p w14:paraId="4CEC1BD9" w14:textId="2B3827DD"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y</w:t>
            </w:r>
          </w:p>
        </w:tc>
        <w:tc>
          <w:tcPr>
            <w:tcW w:w="0" w:type="auto"/>
            <w:noWrap/>
          </w:tcPr>
          <w:p w14:paraId="18F53458" w14:textId="064A7052"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z</w:t>
            </w:r>
          </w:p>
        </w:tc>
        <w:tc>
          <w:tcPr>
            <w:tcW w:w="0" w:type="auto"/>
            <w:noWrap/>
          </w:tcPr>
          <w:p w14:paraId="11E5C5A6" w14:textId="3E58E1FF"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x</w:t>
            </w:r>
          </w:p>
        </w:tc>
        <w:tc>
          <w:tcPr>
            <w:tcW w:w="0" w:type="auto"/>
            <w:noWrap/>
          </w:tcPr>
          <w:p w14:paraId="36DC3531" w14:textId="72E2C528"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y</w:t>
            </w:r>
          </w:p>
        </w:tc>
        <w:tc>
          <w:tcPr>
            <w:tcW w:w="0" w:type="auto"/>
            <w:noWrap/>
          </w:tcPr>
          <w:p w14:paraId="38F16202" w14:textId="00B2815A"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z</w:t>
            </w:r>
          </w:p>
        </w:tc>
      </w:tr>
      <w:tr w:rsidR="00700EDC" w:rsidRPr="00BF0D27" w14:paraId="709DC27B" w14:textId="592719F9" w:rsidTr="00700EDC">
        <w:trPr>
          <w:trHeight w:val="290"/>
          <w:jc w:val="center"/>
        </w:trPr>
        <w:tc>
          <w:tcPr>
            <w:cnfStyle w:val="001000000000" w:firstRow="0" w:lastRow="0" w:firstColumn="1" w:lastColumn="0" w:oddVBand="0" w:evenVBand="0" w:oddHBand="0" w:evenHBand="0" w:firstRowFirstColumn="0" w:firstRowLastColumn="0" w:lastRowFirstColumn="0" w:lastRowLastColumn="0"/>
            <w:tcW w:w="0" w:type="auto"/>
          </w:tcPr>
          <w:p w14:paraId="691F17D7" w14:textId="3398D542" w:rsidR="00700EDC" w:rsidRPr="00BF0D27" w:rsidRDefault="00700EDC" w:rsidP="002B11CF">
            <w:pPr>
              <w:jc w:val="center"/>
              <w:rPr>
                <w:rFonts w:ascii="Arial" w:eastAsia="Times New Roman" w:hAnsi="Arial" w:cs="Arial"/>
                <w:caps w:val="0"/>
                <w:color w:val="000000"/>
                <w:kern w:val="0"/>
                <w:lang w:val="it-IT" w:eastAsia="ja-JP"/>
                <w14:ligatures w14:val="none"/>
              </w:rPr>
            </w:pPr>
            <w:r w:rsidRPr="00BF0D27">
              <w:rPr>
                <w:rFonts w:ascii="Arial" w:hAnsi="Arial" w:cs="Arial"/>
                <w:lang w:val="en-US"/>
              </w:rPr>
              <w:t>TS</w:t>
            </w:r>
            <w:r w:rsidRPr="00BF0D27">
              <w:rPr>
                <w:rFonts w:ascii="Arial" w:hAnsi="Arial" w:cs="Arial"/>
                <w:vertAlign w:val="subscript"/>
                <w:lang w:val="en-US"/>
              </w:rPr>
              <w:t>1mV</w:t>
            </w:r>
            <w:r w:rsidRPr="00BF0D27">
              <w:rPr>
                <w:rFonts w:ascii="Arial" w:hAnsi="Arial" w:cs="Arial"/>
                <w:lang w:val="en-US"/>
              </w:rPr>
              <w:t xml:space="preserve"> group</w:t>
            </w:r>
          </w:p>
        </w:tc>
        <w:tc>
          <w:tcPr>
            <w:tcW w:w="0" w:type="auto"/>
            <w:noWrap/>
            <w:hideMark/>
          </w:tcPr>
          <w:p w14:paraId="3A2A6031" w14:textId="0CB3AABE" w:rsidR="00700EDC" w:rsidRPr="00BF0D27" w:rsidRDefault="00700EDC" w:rsidP="002B11C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-30.2±8.8</w:t>
            </w:r>
          </w:p>
        </w:tc>
        <w:tc>
          <w:tcPr>
            <w:tcW w:w="0" w:type="auto"/>
            <w:noWrap/>
            <w:hideMark/>
          </w:tcPr>
          <w:p w14:paraId="06B8F938" w14:textId="799A8084" w:rsidR="00700EDC" w:rsidRPr="00BF0D27" w:rsidRDefault="00700EDC" w:rsidP="002B11C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-15.9±9.8</w:t>
            </w:r>
          </w:p>
        </w:tc>
        <w:tc>
          <w:tcPr>
            <w:tcW w:w="0" w:type="auto"/>
            <w:noWrap/>
            <w:hideMark/>
          </w:tcPr>
          <w:p w14:paraId="013D7C6A" w14:textId="3AE0A214" w:rsidR="00700EDC" w:rsidRPr="00BF0D27" w:rsidRDefault="00700EDC" w:rsidP="002B11C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56.9±8.0</w:t>
            </w:r>
          </w:p>
        </w:tc>
        <w:tc>
          <w:tcPr>
            <w:tcW w:w="0" w:type="auto"/>
            <w:noWrap/>
            <w:hideMark/>
          </w:tcPr>
          <w:p w14:paraId="2EDAA249" w14:textId="5C353FBE" w:rsidR="00700EDC" w:rsidRPr="00BF0D27" w:rsidRDefault="00700EDC" w:rsidP="002B11C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-53.0±1.8</w:t>
            </w:r>
          </w:p>
        </w:tc>
        <w:tc>
          <w:tcPr>
            <w:tcW w:w="0" w:type="auto"/>
            <w:noWrap/>
            <w:hideMark/>
          </w:tcPr>
          <w:p w14:paraId="149091B5" w14:textId="52D3FF24" w:rsidR="00700EDC" w:rsidRPr="00BF0D27" w:rsidRDefault="00700EDC" w:rsidP="002B11C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11.5±3.5</w:t>
            </w:r>
          </w:p>
        </w:tc>
        <w:tc>
          <w:tcPr>
            <w:tcW w:w="0" w:type="auto"/>
            <w:noWrap/>
            <w:hideMark/>
          </w:tcPr>
          <w:p w14:paraId="09327ACD" w14:textId="18D4D73C" w:rsidR="00700EDC" w:rsidRPr="00BF0D27" w:rsidRDefault="00700EDC" w:rsidP="002B11C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23.3±3.1</w:t>
            </w:r>
          </w:p>
        </w:tc>
      </w:tr>
      <w:tr w:rsidR="00700EDC" w:rsidRPr="00BF0D27" w14:paraId="5741E3EB" w14:textId="73FB1C49" w:rsidTr="00700EDC">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0" w:type="auto"/>
          </w:tcPr>
          <w:p w14:paraId="0EF8A659" w14:textId="765D2210" w:rsidR="00700EDC" w:rsidRPr="00BF0D27" w:rsidRDefault="00700EDC" w:rsidP="002B11CF">
            <w:pPr>
              <w:jc w:val="center"/>
              <w:rPr>
                <w:rFonts w:ascii="Arial" w:eastAsia="Times New Roman" w:hAnsi="Arial" w:cs="Arial"/>
                <w:caps w:val="0"/>
                <w:color w:val="000000"/>
                <w:kern w:val="0"/>
                <w:lang w:val="it-IT" w:eastAsia="ja-JP"/>
                <w14:ligatures w14:val="none"/>
              </w:rPr>
            </w:pPr>
            <w:r w:rsidRPr="00BF0D27">
              <w:rPr>
                <w:rFonts w:ascii="Arial" w:hAnsi="Arial" w:cs="Arial"/>
                <w:lang w:val="en-US"/>
              </w:rPr>
              <w:t>TS</w:t>
            </w:r>
            <w:r w:rsidRPr="00BF0D27">
              <w:rPr>
                <w:rFonts w:ascii="Arial" w:hAnsi="Arial" w:cs="Arial"/>
                <w:vertAlign w:val="subscript"/>
                <w:lang w:val="en-US"/>
              </w:rPr>
              <w:t>2mV</w:t>
            </w:r>
            <w:r w:rsidRPr="00BF0D27">
              <w:rPr>
                <w:rFonts w:ascii="Arial" w:hAnsi="Arial" w:cs="Arial"/>
                <w:lang w:val="en-US"/>
              </w:rPr>
              <w:t xml:space="preserve"> group</w:t>
            </w:r>
          </w:p>
        </w:tc>
        <w:tc>
          <w:tcPr>
            <w:tcW w:w="0" w:type="auto"/>
            <w:noWrap/>
            <w:hideMark/>
          </w:tcPr>
          <w:p w14:paraId="224D19A6" w14:textId="3681DC59"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-31.5±7.4</w:t>
            </w:r>
          </w:p>
        </w:tc>
        <w:tc>
          <w:tcPr>
            <w:tcW w:w="0" w:type="auto"/>
            <w:noWrap/>
            <w:hideMark/>
          </w:tcPr>
          <w:p w14:paraId="02DDB992" w14:textId="001A5D12"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-15.8±10.5</w:t>
            </w:r>
          </w:p>
        </w:tc>
        <w:tc>
          <w:tcPr>
            <w:tcW w:w="0" w:type="auto"/>
            <w:noWrap/>
            <w:hideMark/>
          </w:tcPr>
          <w:p w14:paraId="0F24CC5E" w14:textId="433FDEDD"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60.4±6.1</w:t>
            </w:r>
          </w:p>
        </w:tc>
        <w:tc>
          <w:tcPr>
            <w:tcW w:w="0" w:type="auto"/>
            <w:noWrap/>
            <w:hideMark/>
          </w:tcPr>
          <w:p w14:paraId="11C0D9B7" w14:textId="6C57BCC6"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-53.3±2.4</w:t>
            </w:r>
          </w:p>
        </w:tc>
        <w:tc>
          <w:tcPr>
            <w:tcW w:w="0" w:type="auto"/>
            <w:noWrap/>
            <w:hideMark/>
          </w:tcPr>
          <w:p w14:paraId="2E6D085D" w14:textId="44C17668"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9.0±6.2</w:t>
            </w:r>
          </w:p>
        </w:tc>
        <w:tc>
          <w:tcPr>
            <w:tcW w:w="0" w:type="auto"/>
            <w:noWrap/>
            <w:hideMark/>
          </w:tcPr>
          <w:p w14:paraId="27E6AB2F" w14:textId="4D2E3945" w:rsidR="00700EDC" w:rsidRPr="00BF0D27" w:rsidRDefault="00700EDC" w:rsidP="002B11C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22.3±2.2</w:t>
            </w:r>
          </w:p>
        </w:tc>
      </w:tr>
      <w:tr w:rsidR="00944E3C" w:rsidRPr="00BF0D27" w14:paraId="04A7BD60" w14:textId="77777777" w:rsidTr="00457CA2">
        <w:trPr>
          <w:trHeight w:val="290"/>
          <w:jc w:val="center"/>
        </w:trPr>
        <w:tc>
          <w:tcPr>
            <w:cnfStyle w:val="001000000000" w:firstRow="0" w:lastRow="0" w:firstColumn="1" w:lastColumn="0" w:oddVBand="0" w:evenVBand="0" w:oddHBand="0" w:evenHBand="0" w:firstRowFirstColumn="0" w:firstRowLastColumn="0" w:lastRowFirstColumn="0" w:lastRowLastColumn="0"/>
            <w:tcW w:w="0" w:type="auto"/>
          </w:tcPr>
          <w:p w14:paraId="4A930823" w14:textId="6F23234B" w:rsidR="00944E3C" w:rsidRPr="00BF0D27" w:rsidRDefault="00944E3C" w:rsidP="002B11CF">
            <w:pPr>
              <w:jc w:val="center"/>
              <w:rPr>
                <w:rFonts w:ascii="Arial" w:hAnsi="Arial" w:cs="Arial"/>
                <w:caps w:val="0"/>
                <w:lang w:val="en-US"/>
              </w:rPr>
            </w:pPr>
            <w:r w:rsidRPr="00BF0D27">
              <w:rPr>
                <w:rFonts w:ascii="Arial" w:hAnsi="Arial" w:cs="Arial"/>
                <w:lang w:val="en-US"/>
              </w:rPr>
              <w:t>Statistical analysis</w:t>
            </w:r>
          </w:p>
        </w:tc>
        <w:tc>
          <w:tcPr>
            <w:tcW w:w="0" w:type="auto"/>
            <w:gridSpan w:val="6"/>
            <w:noWrap/>
          </w:tcPr>
          <w:p w14:paraId="274B0912" w14:textId="6B2E7E24" w:rsidR="00944E3C" w:rsidRPr="00BF0D27" w:rsidRDefault="00D32609" w:rsidP="002B11C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kern w:val="0"/>
                <w:lang w:val="it-IT" w:eastAsia="ja-JP"/>
                <w14:ligatures w14:val="none"/>
              </w:rPr>
            </w:pPr>
            <w:r w:rsidRPr="00BF0D27">
              <w:rPr>
                <w:rFonts w:ascii="Arial" w:eastAsia="Times New Roman" w:hAnsi="Arial" w:cs="Arial"/>
                <w:color w:val="000000"/>
                <w:kern w:val="0"/>
                <w:lang w:val="it-IT" w:eastAsia="ja-JP"/>
                <w14:ligatures w14:val="none"/>
              </w:rPr>
              <w:t>a</w:t>
            </w:r>
            <w:r w:rsidR="00944E3C" w:rsidRPr="00BF0D27">
              <w:rPr>
                <w:rFonts w:ascii="Arial" w:eastAsia="Times New Roman" w:hAnsi="Arial" w:cs="Arial"/>
                <w:color w:val="000000"/>
                <w:kern w:val="0"/>
                <w:lang w:val="it-IT" w:eastAsia="ja-JP"/>
                <w14:ligatures w14:val="none"/>
              </w:rPr>
              <w:t>ll t</w:t>
            </w:r>
            <w:r w:rsidR="00944E3C" w:rsidRPr="00BF0D27">
              <w:rPr>
                <w:rFonts w:ascii="Arial" w:eastAsia="Times New Roman" w:hAnsi="Arial" w:cs="Arial"/>
                <w:color w:val="000000"/>
                <w:kern w:val="0"/>
                <w:vertAlign w:val="subscript"/>
                <w:lang w:val="it-IT" w:eastAsia="ja-JP"/>
                <w14:ligatures w14:val="none"/>
              </w:rPr>
              <w:t>28</w:t>
            </w:r>
            <w:r w:rsidRPr="00BF0D27">
              <w:rPr>
                <w:rFonts w:ascii="Arial" w:eastAsia="Times New Roman" w:hAnsi="Arial" w:cs="Arial"/>
                <w:color w:val="000000"/>
                <w:kern w:val="0"/>
                <w:lang w:val="it-IT" w:eastAsia="ja-JP"/>
                <w14:ligatures w14:val="none"/>
              </w:rPr>
              <w:t>≤1.39; all p≥.17</w:t>
            </w:r>
          </w:p>
        </w:tc>
      </w:tr>
    </w:tbl>
    <w:p w14:paraId="097957C0" w14:textId="18EBBA9C" w:rsidR="00700EDC" w:rsidRDefault="00700EDC" w:rsidP="006D79F0">
      <w:pPr>
        <w:jc w:val="both"/>
        <w:rPr>
          <w:rFonts w:ascii="Arial" w:hAnsi="Arial" w:cs="Arial"/>
          <w:i/>
          <w:iCs/>
          <w:lang w:val="en-US"/>
        </w:rPr>
      </w:pPr>
      <w:r w:rsidRPr="00BF0D27">
        <w:rPr>
          <w:rFonts w:ascii="Arial" w:hAnsi="Arial" w:cs="Arial"/>
          <w:i/>
          <w:iCs/>
          <w:lang w:val="en-US"/>
        </w:rPr>
        <w:t xml:space="preserve">Table </w:t>
      </w:r>
      <w:r w:rsidR="002E42FD" w:rsidRPr="00BF0D27">
        <w:rPr>
          <w:rFonts w:ascii="Arial" w:hAnsi="Arial" w:cs="Arial"/>
          <w:i/>
          <w:iCs/>
          <w:lang w:val="en-US"/>
        </w:rPr>
        <w:t>2</w:t>
      </w:r>
      <w:r w:rsidRPr="00BF0D27">
        <w:rPr>
          <w:rFonts w:ascii="Arial" w:hAnsi="Arial" w:cs="Arial"/>
          <w:i/>
          <w:iCs/>
          <w:lang w:val="en-US"/>
        </w:rPr>
        <w:t xml:space="preserve">S. </w:t>
      </w:r>
      <w:r w:rsidR="00E373EA" w:rsidRPr="00BF0D27">
        <w:rPr>
          <w:rFonts w:ascii="Arial" w:hAnsi="Arial" w:cs="Arial"/>
          <w:i/>
          <w:iCs/>
          <w:lang w:val="en-US"/>
        </w:rPr>
        <w:t xml:space="preserve">Mean and standard deviation of the </w:t>
      </w:r>
      <w:r w:rsidR="002051C2" w:rsidRPr="00BF0D27">
        <w:rPr>
          <w:rFonts w:ascii="Arial" w:hAnsi="Arial" w:cs="Arial"/>
          <w:i/>
          <w:iCs/>
          <w:lang w:val="en-US"/>
        </w:rPr>
        <w:t>stimulated coordinates in both groups.</w:t>
      </w:r>
    </w:p>
    <w:p w14:paraId="7AF95457" w14:textId="77777777" w:rsidR="00533973" w:rsidRDefault="00533973" w:rsidP="006D79F0">
      <w:pPr>
        <w:jc w:val="both"/>
        <w:rPr>
          <w:rFonts w:ascii="Arial" w:hAnsi="Arial" w:cs="Arial"/>
          <w:i/>
          <w:iCs/>
          <w:lang w:val="en-US"/>
        </w:rPr>
      </w:pPr>
    </w:p>
    <w:p w14:paraId="1F397EE1" w14:textId="77777777" w:rsidR="00533973" w:rsidRPr="00BF0D27" w:rsidRDefault="00533973" w:rsidP="006D79F0">
      <w:pPr>
        <w:jc w:val="both"/>
        <w:rPr>
          <w:rFonts w:ascii="Arial" w:hAnsi="Arial" w:cs="Arial"/>
          <w:i/>
          <w:iCs/>
          <w:lang w:val="en-US"/>
        </w:rPr>
      </w:pPr>
    </w:p>
    <w:p w14:paraId="5F3F13B3" w14:textId="112BC47A" w:rsidR="0032675F" w:rsidRPr="00BF0D27" w:rsidRDefault="00E34BE2" w:rsidP="006D79F0">
      <w:pPr>
        <w:jc w:val="both"/>
        <w:rPr>
          <w:rFonts w:ascii="Arial" w:hAnsi="Arial" w:cs="Arial"/>
          <w:i/>
          <w:iCs/>
          <w:lang w:val="en-US"/>
        </w:rPr>
      </w:pPr>
      <w:r>
        <w:rPr>
          <w:rFonts w:ascii="Arial" w:hAnsi="Arial" w:cs="Arial"/>
          <w:i/>
          <w:iCs/>
          <w:lang w:val="en-US"/>
        </w:rPr>
        <w:lastRenderedPageBreak/>
        <w:t xml:space="preserve">1.4 </w:t>
      </w:r>
      <w:r w:rsidR="0032675F" w:rsidRPr="00BF0D27">
        <w:rPr>
          <w:rFonts w:ascii="Arial" w:hAnsi="Arial" w:cs="Arial"/>
          <w:i/>
          <w:iCs/>
          <w:lang w:val="en-US"/>
        </w:rPr>
        <w:t>Data analysis</w:t>
      </w:r>
    </w:p>
    <w:p w14:paraId="6EDABADD" w14:textId="6A0DBD9F" w:rsidR="009355B6" w:rsidRPr="00BF0D27" w:rsidRDefault="008D7582" w:rsidP="00B160B7">
      <w:pPr>
        <w:ind w:firstLine="708"/>
        <w:jc w:val="both"/>
        <w:rPr>
          <w:rFonts w:ascii="Arial" w:hAnsi="Arial" w:cs="Arial"/>
          <w:lang w:val="en-US"/>
        </w:rPr>
      </w:pPr>
      <w:r w:rsidRPr="00BF0D27">
        <w:rPr>
          <w:rFonts w:ascii="Arial" w:hAnsi="Arial" w:cs="Arial"/>
          <w:lang w:val="en-US"/>
        </w:rPr>
        <w:t xml:space="preserve">Using a MATLAB script, MEPs were </w:t>
      </w:r>
      <w:r w:rsidR="00557515" w:rsidRPr="00BF0D27">
        <w:rPr>
          <w:rFonts w:ascii="Arial" w:hAnsi="Arial" w:cs="Arial"/>
          <w:lang w:val="en-US"/>
        </w:rPr>
        <w:t>analy</w:t>
      </w:r>
      <w:r w:rsidR="00EA2703" w:rsidRPr="00BF0D27">
        <w:rPr>
          <w:rFonts w:ascii="Arial" w:hAnsi="Arial" w:cs="Arial"/>
          <w:lang w:val="en-US"/>
        </w:rPr>
        <w:t>z</w:t>
      </w:r>
      <w:r w:rsidR="00557515" w:rsidRPr="00BF0D27">
        <w:rPr>
          <w:rFonts w:ascii="Arial" w:hAnsi="Arial" w:cs="Arial"/>
          <w:lang w:val="en-US"/>
        </w:rPr>
        <w:t xml:space="preserve">ed </w:t>
      </w:r>
      <w:r w:rsidRPr="00BF0D27">
        <w:rPr>
          <w:rFonts w:ascii="Arial" w:hAnsi="Arial" w:cs="Arial"/>
          <w:lang w:val="en-US"/>
        </w:rPr>
        <w:t xml:space="preserve">by extracting peak-to-peak EMG amplitude (in mV) in a time window of </w:t>
      </w:r>
      <w:r w:rsidR="00C9303D" w:rsidRPr="00BF0D27">
        <w:rPr>
          <w:rFonts w:ascii="Arial" w:hAnsi="Arial" w:cs="Arial"/>
          <w:lang w:val="en-US"/>
        </w:rPr>
        <w:t xml:space="preserve">45 </w:t>
      </w:r>
      <w:r w:rsidRPr="00BF0D27">
        <w:rPr>
          <w:rFonts w:ascii="Arial" w:hAnsi="Arial" w:cs="Arial"/>
          <w:lang w:val="en-US"/>
        </w:rPr>
        <w:t xml:space="preserve">ms, beginning 15 ms after the TMS pulse over M1. </w:t>
      </w:r>
      <w:r w:rsidR="0072772D" w:rsidRPr="00BF0D27">
        <w:rPr>
          <w:rFonts w:ascii="Arial" w:hAnsi="Arial" w:cs="Arial"/>
          <w:lang w:val="en-US"/>
        </w:rPr>
        <w:t xml:space="preserve">MEPs </w:t>
      </w:r>
      <w:r w:rsidRPr="00BF0D27">
        <w:rPr>
          <w:rFonts w:ascii="Arial" w:hAnsi="Arial" w:cs="Arial"/>
          <w:lang w:val="en-US"/>
        </w:rPr>
        <w:t>with an EMG activity deviating more than 2</w:t>
      </w:r>
      <w:r w:rsidR="00A511C5" w:rsidRPr="00BF0D27">
        <w:rPr>
          <w:rFonts w:ascii="Arial" w:hAnsi="Arial" w:cs="Arial"/>
          <w:lang w:val="en-US"/>
        </w:rPr>
        <w:t xml:space="preserve"> standard deviation (</w:t>
      </w:r>
      <w:r w:rsidRPr="00BF0D27">
        <w:rPr>
          <w:rFonts w:ascii="Arial" w:hAnsi="Arial" w:cs="Arial"/>
          <w:lang w:val="en-US"/>
        </w:rPr>
        <w:t>SD</w:t>
      </w:r>
      <w:r w:rsidR="00A511C5" w:rsidRPr="00BF0D27">
        <w:rPr>
          <w:rFonts w:ascii="Arial" w:hAnsi="Arial" w:cs="Arial"/>
          <w:lang w:val="en-US"/>
        </w:rPr>
        <w:t>)</w:t>
      </w:r>
      <w:r w:rsidRPr="00BF0D27">
        <w:rPr>
          <w:rFonts w:ascii="Arial" w:hAnsi="Arial" w:cs="Arial"/>
          <w:lang w:val="en-US"/>
        </w:rPr>
        <w:t xml:space="preserve"> from the participant’s rectified mean in a time window of 100 ms before the TMS pulse eliciting the MEP</w:t>
      </w:r>
      <w:r w:rsidR="0072772D" w:rsidRPr="00BF0D27">
        <w:rPr>
          <w:rFonts w:ascii="Arial" w:hAnsi="Arial" w:cs="Arial"/>
          <w:lang w:val="en-US"/>
        </w:rPr>
        <w:t xml:space="preserve"> were excluded from the analysis</w:t>
      </w:r>
      <w:r w:rsidRPr="00BF0D27">
        <w:rPr>
          <w:rFonts w:ascii="Arial" w:hAnsi="Arial" w:cs="Arial"/>
          <w:lang w:val="en-US"/>
        </w:rPr>
        <w:t xml:space="preserve"> </w:t>
      </w:r>
      <w:r w:rsidR="0072772D" w:rsidRPr="00BF0D27">
        <w:rPr>
          <w:rFonts w:ascii="Arial" w:hAnsi="Arial" w:cs="Arial"/>
          <w:lang w:val="en-US"/>
        </w:rPr>
        <w:t>to ensure the muscular pre-activation did not affect the observed results</w:t>
      </w:r>
      <w:r w:rsidR="001E6B43" w:rsidRPr="00BF0D27">
        <w:rPr>
          <w:rFonts w:ascii="Arial" w:hAnsi="Arial" w:cs="Arial"/>
          <w:lang w:val="en-US"/>
        </w:rPr>
        <w:t xml:space="preserve">; also, we exclude all the MEPs that </w:t>
      </w:r>
      <w:r w:rsidR="001D00CA" w:rsidRPr="00BF0D27">
        <w:rPr>
          <w:rFonts w:ascii="Arial" w:hAnsi="Arial" w:cs="Arial"/>
          <w:lang w:val="en-US"/>
        </w:rPr>
        <w:t xml:space="preserve">deviated </w:t>
      </w:r>
      <w:r w:rsidR="001E6B43" w:rsidRPr="00BF0D27">
        <w:rPr>
          <w:rFonts w:ascii="Arial" w:hAnsi="Arial" w:cs="Arial"/>
          <w:lang w:val="en-US"/>
        </w:rPr>
        <w:t>more than 3</w:t>
      </w:r>
      <w:r w:rsidR="00A511C5" w:rsidRPr="00BF0D27">
        <w:rPr>
          <w:rFonts w:ascii="Arial" w:hAnsi="Arial" w:cs="Arial"/>
          <w:lang w:val="en-US"/>
        </w:rPr>
        <w:t xml:space="preserve"> </w:t>
      </w:r>
      <w:r w:rsidR="001E6B43" w:rsidRPr="00BF0D27">
        <w:rPr>
          <w:rFonts w:ascii="Arial" w:hAnsi="Arial" w:cs="Arial"/>
          <w:lang w:val="en-US"/>
        </w:rPr>
        <w:t>SD, calculated for each ISI in each Block</w:t>
      </w:r>
      <w:r w:rsidR="001D00CA" w:rsidRPr="00BF0D27">
        <w:rPr>
          <w:rFonts w:ascii="Arial" w:hAnsi="Arial" w:cs="Arial"/>
          <w:lang w:val="en-US"/>
        </w:rPr>
        <w:t xml:space="preserve"> (mean of excluded MEPs = 6%)</w:t>
      </w:r>
      <w:r w:rsidR="0072772D" w:rsidRPr="00BF0D27">
        <w:rPr>
          <w:rFonts w:ascii="Arial" w:hAnsi="Arial" w:cs="Arial"/>
          <w:lang w:val="en-US"/>
        </w:rPr>
        <w:t>.</w:t>
      </w:r>
      <w:r w:rsidR="003E5A11" w:rsidRPr="00BF0D27">
        <w:rPr>
          <w:rFonts w:ascii="Arial" w:hAnsi="Arial" w:cs="Arial"/>
          <w:lang w:val="en-US"/>
        </w:rPr>
        <w:t xml:space="preserve"> </w:t>
      </w:r>
      <w:r w:rsidR="00B160B7" w:rsidRPr="00BF0D27">
        <w:rPr>
          <w:rFonts w:ascii="Arial" w:hAnsi="Arial" w:cs="Arial"/>
          <w:lang w:val="en-US"/>
        </w:rPr>
        <w:t xml:space="preserve">We </w:t>
      </w:r>
      <w:r w:rsidR="009355B6" w:rsidRPr="00BF0D27">
        <w:rPr>
          <w:rFonts w:ascii="Arial" w:hAnsi="Arial" w:cs="Arial"/>
          <w:lang w:val="en-US"/>
        </w:rPr>
        <w:t xml:space="preserve">assessed the normality of our data using </w:t>
      </w:r>
      <w:r w:rsidR="00B160B7" w:rsidRPr="00BF0D27">
        <w:rPr>
          <w:rFonts w:ascii="Arial" w:hAnsi="Arial" w:cs="Arial"/>
          <w:lang w:val="en-US"/>
        </w:rPr>
        <w:t xml:space="preserve">the </w:t>
      </w:r>
      <w:r w:rsidR="001020F9" w:rsidRPr="00BF0D27">
        <w:rPr>
          <w:rFonts w:ascii="Arial" w:hAnsi="Arial" w:cs="Arial"/>
          <w:lang w:val="en-US"/>
        </w:rPr>
        <w:t>Lilliefors test</w:t>
      </w:r>
      <w:r w:rsidR="00CF36F1" w:rsidRPr="00BF0D27">
        <w:rPr>
          <w:rFonts w:ascii="Arial" w:hAnsi="Arial" w:cs="Arial"/>
          <w:lang w:val="en-US"/>
        </w:rPr>
        <w:t xml:space="preserve"> (p&lt;.01)</w:t>
      </w:r>
      <w:r w:rsidR="001020F9" w:rsidRPr="00BF0D27">
        <w:rPr>
          <w:rFonts w:ascii="Arial" w:hAnsi="Arial" w:cs="Arial"/>
          <w:lang w:val="en-US"/>
        </w:rPr>
        <w:t xml:space="preserve"> </w:t>
      </w:r>
      <w:r w:rsidR="009355B6" w:rsidRPr="00BF0D27">
        <w:rPr>
          <w:rFonts w:ascii="Arial" w:hAnsi="Arial" w:cs="Arial"/>
          <w:lang w:val="en-US"/>
        </w:rPr>
        <w:t xml:space="preserve">and by </w:t>
      </w:r>
      <w:r w:rsidR="005A11F2" w:rsidRPr="00BF0D27">
        <w:rPr>
          <w:rFonts w:ascii="Arial" w:hAnsi="Arial" w:cs="Arial"/>
          <w:lang w:val="en-US"/>
        </w:rPr>
        <w:t xml:space="preserve">visually inspecting their </w:t>
      </w:r>
      <w:r w:rsidR="001020F9" w:rsidRPr="00BF0D27">
        <w:rPr>
          <w:rFonts w:ascii="Arial" w:hAnsi="Arial" w:cs="Arial"/>
          <w:lang w:val="en-US"/>
        </w:rPr>
        <w:t>distribution</w:t>
      </w:r>
      <w:r w:rsidR="00380227" w:rsidRPr="00BF0D27">
        <w:rPr>
          <w:rFonts w:ascii="Arial" w:hAnsi="Arial" w:cs="Arial"/>
          <w:lang w:val="en-US"/>
        </w:rPr>
        <w:t xml:space="preserve">. </w:t>
      </w:r>
    </w:p>
    <w:p w14:paraId="2266218D" w14:textId="0A345F78" w:rsidR="007F686F" w:rsidRPr="00BF0D27" w:rsidRDefault="00C9303D">
      <w:pPr>
        <w:ind w:firstLine="708"/>
        <w:jc w:val="both"/>
        <w:rPr>
          <w:rFonts w:ascii="Arial" w:hAnsi="Arial" w:cs="Arial"/>
          <w:lang w:val="en-US"/>
        </w:rPr>
      </w:pPr>
      <w:r w:rsidRPr="00BF0D27">
        <w:rPr>
          <w:rFonts w:ascii="Arial" w:hAnsi="Arial" w:cs="Arial"/>
          <w:lang w:val="en-US"/>
        </w:rPr>
        <w:t>The mean value of sp</w:t>
      </w:r>
      <w:r w:rsidR="003922F9">
        <w:rPr>
          <w:rFonts w:ascii="Arial" w:hAnsi="Arial" w:cs="Arial"/>
          <w:lang w:val="en-US"/>
        </w:rPr>
        <w:t xml:space="preserve">TMS </w:t>
      </w:r>
      <w:r w:rsidRPr="00BF0D27">
        <w:rPr>
          <w:rFonts w:ascii="Arial" w:hAnsi="Arial" w:cs="Arial"/>
          <w:lang w:val="en-US"/>
        </w:rPr>
        <w:t>MEPs</w:t>
      </w:r>
      <w:r w:rsidR="001D00CA" w:rsidRPr="00BF0D27">
        <w:rPr>
          <w:rFonts w:ascii="Arial" w:hAnsi="Arial" w:cs="Arial"/>
          <w:lang w:val="en-US"/>
        </w:rPr>
        <w:t xml:space="preserve"> (expressed in mV)</w:t>
      </w:r>
      <w:r w:rsidRPr="00BF0D27">
        <w:rPr>
          <w:rFonts w:ascii="Arial" w:hAnsi="Arial" w:cs="Arial"/>
          <w:lang w:val="en-US"/>
        </w:rPr>
        <w:t xml:space="preserve"> was analy</w:t>
      </w:r>
      <w:r w:rsidR="003513E9" w:rsidRPr="00BF0D27">
        <w:rPr>
          <w:rFonts w:ascii="Arial" w:hAnsi="Arial" w:cs="Arial"/>
          <w:lang w:val="en-US"/>
        </w:rPr>
        <w:t>z</w:t>
      </w:r>
      <w:r w:rsidRPr="00BF0D27">
        <w:rPr>
          <w:rFonts w:ascii="Arial" w:hAnsi="Arial" w:cs="Arial"/>
          <w:lang w:val="en-US"/>
        </w:rPr>
        <w:t xml:space="preserve">ed by means </w:t>
      </w:r>
      <w:r w:rsidR="00781754" w:rsidRPr="00BF0D27">
        <w:rPr>
          <w:rFonts w:ascii="Arial" w:hAnsi="Arial" w:cs="Arial"/>
          <w:lang w:val="en-US"/>
        </w:rPr>
        <w:t xml:space="preserve">of </w:t>
      </w:r>
      <w:r w:rsidR="00AA2641" w:rsidRPr="00BF0D27">
        <w:rPr>
          <w:rFonts w:ascii="Arial" w:hAnsi="Arial" w:cs="Arial"/>
          <w:lang w:val="en-US"/>
        </w:rPr>
        <w:t xml:space="preserve">a mixed-design </w:t>
      </w:r>
      <w:r w:rsidR="001D00CA" w:rsidRPr="00BF0D27">
        <w:rPr>
          <w:rFonts w:ascii="Arial" w:hAnsi="Arial" w:cs="Arial"/>
          <w:lang w:val="en-US"/>
        </w:rPr>
        <w:t xml:space="preserve">ANOVA </w:t>
      </w:r>
      <w:r w:rsidRPr="00BF0D27">
        <w:rPr>
          <w:rFonts w:ascii="Arial" w:hAnsi="Arial" w:cs="Arial"/>
          <w:lang w:val="en-US"/>
        </w:rPr>
        <w:t>with CS</w:t>
      </w:r>
      <w:r w:rsidR="00AA2641" w:rsidRPr="00BF0D27">
        <w:rPr>
          <w:rFonts w:ascii="Arial" w:hAnsi="Arial" w:cs="Arial"/>
          <w:lang w:val="en-US"/>
        </w:rPr>
        <w:t>-</w:t>
      </w:r>
      <w:r w:rsidRPr="00BF0D27">
        <w:rPr>
          <w:rFonts w:ascii="Arial" w:hAnsi="Arial" w:cs="Arial"/>
          <w:lang w:val="en-US"/>
        </w:rPr>
        <w:t>intensity (5 levels: 70%, 80%, 90%, 100%</w:t>
      </w:r>
      <w:r w:rsidR="00B87219" w:rsidRPr="00BF0D27">
        <w:rPr>
          <w:rFonts w:ascii="Arial" w:hAnsi="Arial" w:cs="Arial"/>
          <w:lang w:val="en-US"/>
        </w:rPr>
        <w:t>,</w:t>
      </w:r>
      <w:r w:rsidRPr="00BF0D27">
        <w:rPr>
          <w:rFonts w:ascii="Arial" w:hAnsi="Arial" w:cs="Arial"/>
          <w:lang w:val="en-US"/>
        </w:rPr>
        <w:t xml:space="preserve"> and 110%</w:t>
      </w:r>
      <w:r w:rsidR="00B87219" w:rsidRPr="00BF0D27">
        <w:rPr>
          <w:rFonts w:ascii="Arial" w:hAnsi="Arial" w:cs="Arial"/>
          <w:lang w:val="en-US"/>
        </w:rPr>
        <w:t>-</w:t>
      </w:r>
      <w:r w:rsidRPr="00BF0D27">
        <w:rPr>
          <w:rFonts w:ascii="Arial" w:hAnsi="Arial" w:cs="Arial"/>
          <w:lang w:val="en-US"/>
        </w:rPr>
        <w:t xml:space="preserve">rMT) </w:t>
      </w:r>
      <w:r w:rsidR="00DF5021" w:rsidRPr="00BF0D27">
        <w:rPr>
          <w:rFonts w:ascii="Arial" w:hAnsi="Arial" w:cs="Arial"/>
          <w:lang w:val="en-US"/>
        </w:rPr>
        <w:t xml:space="preserve">as a within-subjects factor </w:t>
      </w:r>
      <w:r w:rsidRPr="00BF0D27">
        <w:rPr>
          <w:rFonts w:ascii="Arial" w:hAnsi="Arial" w:cs="Arial"/>
          <w:lang w:val="en-US"/>
        </w:rPr>
        <w:t xml:space="preserve">and </w:t>
      </w:r>
      <w:r w:rsidR="00B87219" w:rsidRPr="00BF0D27">
        <w:rPr>
          <w:rFonts w:ascii="Arial" w:hAnsi="Arial" w:cs="Arial"/>
          <w:lang w:val="en-US"/>
        </w:rPr>
        <w:t xml:space="preserve">TS-intensity </w:t>
      </w:r>
      <w:r w:rsidRPr="00BF0D27">
        <w:rPr>
          <w:rFonts w:ascii="Arial" w:hAnsi="Arial" w:cs="Arial"/>
          <w:lang w:val="en-US"/>
        </w:rPr>
        <w:t>(2 levels: TS</w:t>
      </w:r>
      <w:r w:rsidRPr="00BF0D27">
        <w:rPr>
          <w:rFonts w:ascii="Arial" w:hAnsi="Arial" w:cs="Arial"/>
          <w:vertAlign w:val="subscript"/>
          <w:lang w:val="en-US"/>
        </w:rPr>
        <w:t>1mV</w:t>
      </w:r>
      <w:r w:rsidRPr="00BF0D27">
        <w:rPr>
          <w:rFonts w:ascii="Arial" w:hAnsi="Arial" w:cs="Arial"/>
          <w:lang w:val="en-US"/>
        </w:rPr>
        <w:t xml:space="preserve"> and TS</w:t>
      </w:r>
      <w:r w:rsidRPr="00BF0D27">
        <w:rPr>
          <w:rFonts w:ascii="Arial" w:hAnsi="Arial" w:cs="Arial"/>
          <w:vertAlign w:val="subscript"/>
          <w:lang w:val="en-US"/>
        </w:rPr>
        <w:t>2mV</w:t>
      </w:r>
      <w:r w:rsidRPr="00BF0D27">
        <w:rPr>
          <w:rFonts w:ascii="Arial" w:hAnsi="Arial" w:cs="Arial"/>
          <w:lang w:val="en-US"/>
        </w:rPr>
        <w:t>)</w:t>
      </w:r>
      <w:r w:rsidR="00DF5021" w:rsidRPr="00BF0D27">
        <w:rPr>
          <w:rFonts w:ascii="Arial" w:hAnsi="Arial" w:cs="Arial"/>
          <w:lang w:val="en-US"/>
        </w:rPr>
        <w:t xml:space="preserve"> as a between-subjects factor</w:t>
      </w:r>
      <w:r w:rsidRPr="00BF0D27">
        <w:rPr>
          <w:rFonts w:ascii="Arial" w:hAnsi="Arial" w:cs="Arial"/>
          <w:lang w:val="en-US"/>
        </w:rPr>
        <w:t xml:space="preserve">. </w:t>
      </w:r>
      <w:r w:rsidR="0072772D" w:rsidRPr="00BF0D27">
        <w:rPr>
          <w:rFonts w:ascii="Arial" w:hAnsi="Arial" w:cs="Arial"/>
          <w:lang w:val="en-US"/>
        </w:rPr>
        <w:t xml:space="preserve">The mean MEP amplitude of each </w:t>
      </w:r>
      <w:r w:rsidRPr="00BF0D27">
        <w:rPr>
          <w:rFonts w:ascii="Arial" w:hAnsi="Arial" w:cs="Arial"/>
          <w:lang w:val="en-US"/>
        </w:rPr>
        <w:t>dc</w:t>
      </w:r>
      <w:r w:rsidR="000A680C">
        <w:rPr>
          <w:rFonts w:ascii="Arial" w:hAnsi="Arial" w:cs="Arial"/>
          <w:lang w:val="en-US"/>
        </w:rPr>
        <w:t xml:space="preserve">TMS </w:t>
      </w:r>
      <w:r w:rsidRPr="00BF0D27">
        <w:rPr>
          <w:rFonts w:ascii="Arial" w:hAnsi="Arial" w:cs="Arial"/>
          <w:lang w:val="en-US"/>
        </w:rPr>
        <w:t>MEP</w:t>
      </w:r>
      <w:r w:rsidR="0072772D" w:rsidRPr="00BF0D27">
        <w:rPr>
          <w:rFonts w:ascii="Arial" w:hAnsi="Arial" w:cs="Arial"/>
          <w:lang w:val="en-US"/>
        </w:rPr>
        <w:t xml:space="preserve"> trial was expressed as the ratio to the mean of the 5 nearest sp</w:t>
      </w:r>
      <w:r w:rsidR="000A680C">
        <w:rPr>
          <w:rFonts w:ascii="Arial" w:hAnsi="Arial" w:cs="Arial"/>
          <w:lang w:val="en-US"/>
        </w:rPr>
        <w:t xml:space="preserve">TMS </w:t>
      </w:r>
      <w:r w:rsidRPr="00BF0D27">
        <w:rPr>
          <w:rFonts w:ascii="Arial" w:hAnsi="Arial" w:cs="Arial"/>
          <w:lang w:val="en-US"/>
        </w:rPr>
        <w:t>MEP</w:t>
      </w:r>
      <w:r w:rsidR="0072772D" w:rsidRPr="00BF0D27">
        <w:rPr>
          <w:rFonts w:ascii="Arial" w:hAnsi="Arial" w:cs="Arial"/>
          <w:lang w:val="en-US"/>
        </w:rPr>
        <w:t>s</w:t>
      </w:r>
      <w:r w:rsidR="002E5022" w:rsidRPr="00BF0D27">
        <w:rPr>
          <w:rFonts w:ascii="Arial" w:hAnsi="Arial" w:cs="Arial"/>
          <w:lang w:val="en-US"/>
        </w:rPr>
        <w:t xml:space="preserve"> (</w:t>
      </w:r>
      <w:r w:rsidR="000A680C">
        <w:rPr>
          <w:rFonts w:ascii="Arial" w:hAnsi="Arial" w:cs="Arial"/>
          <w:lang w:val="en-US"/>
        </w:rPr>
        <w:t>%</w:t>
      </w:r>
      <w:r w:rsidR="002E5022" w:rsidRPr="00BF0D27">
        <w:rPr>
          <w:rFonts w:ascii="Arial" w:hAnsi="Arial" w:cs="Arial"/>
          <w:lang w:val="en-US"/>
        </w:rPr>
        <w:t>dc</w:t>
      </w:r>
      <w:r w:rsidR="00296400" w:rsidRPr="00BF0D27">
        <w:rPr>
          <w:rFonts w:ascii="Arial" w:hAnsi="Arial" w:cs="Arial"/>
          <w:lang w:val="en-US"/>
        </w:rPr>
        <w:t>TMS</w:t>
      </w:r>
      <w:r w:rsidR="000A680C">
        <w:rPr>
          <w:rFonts w:ascii="Arial" w:hAnsi="Arial" w:cs="Arial"/>
          <w:lang w:val="en-US"/>
        </w:rPr>
        <w:t>-</w:t>
      </w:r>
      <w:r w:rsidR="002E5022" w:rsidRPr="00BF0D27">
        <w:rPr>
          <w:rFonts w:ascii="Arial" w:hAnsi="Arial" w:cs="Arial"/>
          <w:lang w:val="en-US"/>
        </w:rPr>
        <w:t>MEPs)</w:t>
      </w:r>
      <w:r w:rsidR="0072772D" w:rsidRPr="00BF0D27">
        <w:rPr>
          <w:rFonts w:ascii="Arial" w:hAnsi="Arial" w:cs="Arial"/>
          <w:lang w:val="en-US"/>
        </w:rPr>
        <w:t xml:space="preserve">. </w:t>
      </w:r>
      <w:r w:rsidRPr="00BF0D27">
        <w:rPr>
          <w:rFonts w:ascii="Arial" w:hAnsi="Arial" w:cs="Arial"/>
          <w:lang w:val="en-US"/>
        </w:rPr>
        <w:t xml:space="preserve">This approach was implemented to counteract the impact of slow, physiological fluctuations in corticospinal excitability, which </w:t>
      </w:r>
      <w:r w:rsidR="00294CE4" w:rsidRPr="00BF0D27">
        <w:rPr>
          <w:rFonts w:ascii="Arial" w:hAnsi="Arial" w:cs="Arial"/>
          <w:lang w:val="en-US"/>
        </w:rPr>
        <w:t>can potentially</w:t>
      </w:r>
      <w:r w:rsidRPr="00BF0D27">
        <w:rPr>
          <w:rFonts w:ascii="Arial" w:hAnsi="Arial" w:cs="Arial"/>
          <w:lang w:val="en-US"/>
        </w:rPr>
        <w:t xml:space="preserve"> influence the magnitudes of MEPs</w:t>
      </w:r>
      <w:r w:rsidR="00294CE4" w:rsidRPr="00BF0D27">
        <w:rPr>
          <w:rFonts w:ascii="Arial" w:hAnsi="Arial" w:cs="Arial"/>
          <w:lang w:val="en-US"/>
        </w:rPr>
        <w:t xml:space="preserve"> </w:t>
      </w:r>
      <w:r w:rsidR="00294CE4" w:rsidRPr="00BF0D27">
        <w:rPr>
          <w:rFonts w:ascii="Arial" w:hAnsi="Arial" w:cs="Arial"/>
          <w:lang w:val="en-US"/>
        </w:rPr>
        <w:fldChar w:fldCharType="begin"/>
      </w:r>
      <w:r w:rsidR="00AE03F8">
        <w:rPr>
          <w:rFonts w:ascii="Arial" w:hAnsi="Arial" w:cs="Arial"/>
          <w:lang w:val="en-US"/>
        </w:rPr>
        <w:instrText xml:space="preserve"> ADDIN ZOTERO_ITEM CSL_CITATION {"citationID":"CZuYMWce","properties":{"formattedCitation":"(de Goede and van Putten, 2019; Goetz et al., 2022; Noreika et al., 2020; Schmidt et al., 2015)","plainCitation":"(de Goede and van Putten, 2019; Goetz et al., 2022; Noreika et al., 2020; Schmidt et al., 2015)","noteIndex":0},"citationItems":[{"id":12771,"uris":["http://zotero.org/users/10009444/items/SQ7LL35X"],"itemData":{"id":12771,"type":"article-journal","abstract":"Transcranial magnetic stimulation (TMS) has been widely used in human cognitive neuroscience to examine the causal role of distinct cortical areas in perceptual, cognitive and motor functions. However, it is widely acknowledged that the effects of focal cortical stimulation can vary substantially between participants and even from trial to trial within individuals. Recent work from resting state functional magnetic resonance imaging (fMRI) studies has suggested that spontaneous fluctuations in alertness over a testing session can modulate the neural dynamics of cortical processing, even when participants remain awake and responsive to the task at hand. Here we investigated the extent to which spontaneous fluctuations in alertness during wake-to-sleep transition can account for the variability in neurophysiological responses to TMS. We combined single-pulse TMS with neural recording via electroencephalography (EEG) to quantify changes in motor and cortical reactivity with fluctuating levels of alertness defined objectively on the basis of ongoing brain activity. We observed rapid, non-linear changes in TMS-evoked responses with decreasing levels of alertness, even while participants remained responsive in the behavioural task. Specifically, we found that the amplitude of motor evoked potentials peaked during periods of EEG flattening, whereas TMS-evoked potentials increased and remained stable during EEG flattening and the subsequent occurrence of theta ripples that indicate the onset of NREM stage 1 sleep. Our findings suggest a rapid and complex reorganization of active neural networks in response to spontaneous fluctuations of alertness over relatively short periods of behavioural testing during wake-to-sleep transition.","container-title":"NeuroImage","DOI":"10.1016/j.neuroimage.2020.117305","ISSN":"1053-8119","journalAbbreviation":"NeuroImage","page":"117305","source":"ScienceDirect","title":"Alertness fluctuations when performing a task modulate cortical evoked responses to transcranial magnetic stimulation","volume":"223","author":[{"family":"Noreika","given":"Valdas"},{"family":"Kamke","given":"Marc R."},{"family":"Canales-Johnson","given":"Andrés"},{"family":"Chennu","given":"Srivas"},{"family":"Bekinschtein","given":"Tristan A."},{"family":"Mattingley","given":"Jason B."}],"issued":{"date-parts":[["2020",12,1]]}}},{"id":12774,"uris":["http://zotero.org/users/10009444/items/IM2GP94A"],"itemData":{"id":12774,"type":"article-journal","abstract":"Fluctuations in cortical excitability are a candidate mechanism involved in the trial-to-trial variation of motor evoked potentials (MEPs) to transcranial magnetic stimulation (TMS). We explore whether infraslow EEG activity (&lt;0.1 Hz) modulates corticomotor excitability by evaluating the presence of temporal and phase clustering of TMS-induced MEPs. In addition, we evaluate the dependence of MEP amplitude on the phase of the infraslow activity. Twenty-three subjects were stimulated at an intensity above the resting motor threshold (rMT) and ten at the rMT. We evaluated whether temporal and phase clustering of MEP size and MEP generation were present, using 1,000 surrogates with a similar amplitude or occurrence distribution. To evaluate the MEP amplitude dependence, we used the least-square method to approximate the linear circular data by fitting a sine function. We observed significant temporal clustering at a group level, in all individual subjects stimulated at rMT and in the majority of those stimulated above rMT, suggesting underlying determinism of corticomotor excitability instead of randomly generated fluctuations. The majority of subjects showed significant phase clustering for MEP size and for MEP occurrence, and significant phase clustering was found at the group level. Furthermore, in approximately one-quarter to one-half of the subjects we found a significant correlation and dependence of MEP amplitude on the phase of infraslow activity, respectively. Although other mechanisms very likely contribute as well, our findings seem to suggest that infraslow activity is involved in the variability of cortical excitability and TMS-induced responses. NEW &amp; NOTEWORTHY Cortical excitability measures are highly variable during transcranial magnetic stimulation. Although ongoing brain oscillations are assumed to modulate excitability, no consistent associations are found for the traditional frequency bands. We focus on the role of infraslow EEG activity, defined as rhythms with frequencies &lt; 0.1 Hz. We provide experimental evidence suggesting that infraslow activity most likely modulates corticomotor excitability and that response variation could be reduced when stimulation is targeted at a specific infraslow phase.","container-title":"Journal of Neurophysiology","DOI":"10.1152/jn.00663.2018","ISSN":"1522-1598","issue":"1","journalAbbreviation":"J Neurophysiol","language":"eng","note":"PMID: 31116669","page":"325-335","source":"PubMed","title":"Infraslow activity as a potential modulator of corticomotor excitability","volume":"122","author":[{"family":"Goede","given":"Annika A.","non-dropping-particle":"de"},{"family":"Putten","given":"Michel J. A. M.","non-dropping-particle":"van"}],"issued":{"date-parts":[["2019",7,1]]}}},{"id":12777,"uris":["http://zotero.org/users/10009444/items/CHZ2ZQXY"],"itemData":{"id":12777,"type":"article-journal","abstract":"Brain stimulation is used to induce transient alterations of neural excitability to probe or modify brain function. For example, single-pulse transcranial magnetic stimulation (TMS) of the motor cortex can probe corticospinal excitability (CSE). Yet, CSE measurements are confounded by a high level of variability. This variability is due to physical and physiological factors. Navigated TMS (nTMS) systems can record physical parameters of the TMS coil (tilt, location, and orientation) and some also estimate intracortical electric fields (EFs) on a trial-by-trial basis. Thus, these parameters can be partitioned with stepwise regression. Purpose The primary objective was to dissociate variance due to physical parameters from variance due to physiological factors for CSE estimates. The secondary objective was to establish the predictive validity of EF estimates from spherical head models. Hypothesis Variability of physical parameters of TMS predicts CSE variability. Methods Event-related measurements of physical parameters were analyzed in stepwise regression. Partitioned parameter variance and predictive validity were compared for a target-controlled and a nontarget-controlled experiment. A control experiment (preinnervation) confirmed the validity of linear data analysis. A bias-free model quantified the effect of divergence from optimum. Results Partitioning physical parameter variance reduces CSE variability. EF estimates from spherical models were valid. Post hoc analyses showed that even small physical fluctuations can confound the statistical comparison of CSE measurements. Conclusions It is necessary to partition physical and physiological variance in TMS studies to make confounded data interpretable. The spatial resolution of nTMS is &lt;5 mm and the EF-estimates are valid. Hum Brain Mapp, 36:40–49, 2015. © 2014 Wiley Periodicals, Inc.","container-title":"Human Brain Mapping","DOI":"10.1002/hbm.22611","ISSN":"1097-0193","issue":"1","language":"en","license":"© 2014 Wiley Periodicals, Inc.","note":"_eprint: https://onlinelibrary.wiley.com/doi/pdf/10.1002/hbm.22611","page":"40-49","source":"Wiley Online Library","title":"Nonphysiological factors in navigated TMS studies; Confounding covariates and valid intracortical estimates","volume":"36","author":[{"family":"Schmidt","given":"Sein"},{"family":"Bathe-Peters","given":"Rouven"},{"family":"Fleischmann","given":"Robert"},{"family":"Rönnefarth","given":"Maria"},{"family":"Scholz","given":"Michael"},{"family":"Brandt","given":"Stephan A."}],"issued":{"date-parts":[["2015"]]}}},{"id":12780,"uris":["http://zotero.org/users/10009444/items/BI5DHCXQ"],"itemData":{"id":12780,"type":"article-journal","abstract":"Objective\nInvestigate the variability previously found with cortical stimulation and handheld transcranial magnetic stimulation (TMS) coils, criticized for its high potential of coil position fluctuations, bypassing the cortex using deep brain electrical stimulation (DBS) of the corticospinal tract with fixed electrodes where both latent variations of the coil position of TMS are eliminated and cortical excitation fluctuations should be absent.\nMethods\nTen input–output curves were recorded from five anesthetized cats with implanted DBS electrodes targeting the corticospinal tract. Goodness of fit of regressions with a conventional single variability source as well as a dual variability source model was quantified using a Schwarz Bayesian Information approach to avoid overfitting.\nResults\nMotor evoked potentials (MEPs) through DBS of the corticospinal tract revealed short-term fluctuations in excitability of the targeted neuron pathway reflecting endogenous input-side variability at similar magnitude as TMS despite bypassing cortical networks.\nConclusion\nInput-side variability, i.e., variability resulting in changing MEP amplitudes as if the stimulation strength was modulated, also emerges in electrical stimulation at a similar degree and is not primarily a result of varying stimulation, such as minor coil movements in TMS. More importantly, this variability component is present, although the cortex is bypassed. Thus, it may be of spinal origin, which can include cortical input from spinal projections. Further, the nonlinearity of the compound variability entails complex heteroscedastic non-Gaussian distributions and typically does not allow simple linear averages in statistical analysis of MEPs. As the average is dominated by outliers, it risks bias. With appropriate regression, the net effects of excitatory and inhibitory inputs to the targeted neuron pathways become noninvasively observable and quantifiable.\nSignificance\nThe neural responses evoked by artificial stimulation in the cerebral cortex are variable. For example, MEPs in response to repeated presentations of the same stimulus can vary from no response to saturation across trials. Several sources of such variability have been suggested, and most of them may be technical in nature, but localization is missing.","container-title":"Clinical Neurophysiology","DOI":"10.1016/j.clinph.2022.02.009","ISSN":"1388-2457","journalAbbreviation":"Clinical Neurophysiology","page":"134-142","source":"ScienceDirect","title":"Isolating two sources of variability of subcortical stimulation to quantify fluctuations of corticospinal tract excitability","volume":"138","author":[{"family":"Goetz","given":"Stefan M."},{"family":"Howell","given":"Bryan"},{"family":"Wang","given":"Boshuo"},{"family":"Li","given":"Zhongxi"},{"family":"Sommer","given":"Marc A."},{"family":"Peterchev","given":"Angel V."},{"family":"Grill","given":"Warren M."}],"issued":{"date-parts":[["2022",6,1]]}}}],"schema":"https://github.com/citation-style-language/schema/raw/master/csl-citation.json"} </w:instrText>
      </w:r>
      <w:r w:rsidR="00294CE4" w:rsidRPr="00BF0D27">
        <w:rPr>
          <w:rFonts w:ascii="Arial" w:hAnsi="Arial" w:cs="Arial"/>
          <w:lang w:val="en-US"/>
        </w:rPr>
        <w:fldChar w:fldCharType="separate"/>
      </w:r>
      <w:r w:rsidR="00AE03F8" w:rsidRPr="00AE03F8">
        <w:rPr>
          <w:rFonts w:ascii="Arial" w:hAnsi="Arial" w:cs="Arial"/>
        </w:rPr>
        <w:t>(de Goede and van Putten, 2019; Goetz et al., 2022; Noreika et al., 2020; Schmidt et al., 2015)</w:t>
      </w:r>
      <w:r w:rsidR="00294CE4" w:rsidRPr="00BF0D27">
        <w:rPr>
          <w:rFonts w:ascii="Arial" w:hAnsi="Arial" w:cs="Arial"/>
          <w:lang w:val="en-US"/>
        </w:rPr>
        <w:fldChar w:fldCharType="end"/>
      </w:r>
      <w:r w:rsidR="00294CE4" w:rsidRPr="00BF0D27">
        <w:rPr>
          <w:rFonts w:ascii="Arial" w:hAnsi="Arial" w:cs="Arial"/>
          <w:lang w:val="en-US"/>
        </w:rPr>
        <w:t xml:space="preserve">. </w:t>
      </w:r>
      <w:r w:rsidRPr="00BF0D27">
        <w:rPr>
          <w:rFonts w:ascii="Arial" w:hAnsi="Arial" w:cs="Arial"/>
          <w:lang w:val="en-US"/>
        </w:rPr>
        <w:t xml:space="preserve">By supposing that these temporal fluctuations remain uniform across both spTMS and </w:t>
      </w:r>
      <w:r w:rsidR="001D00CA" w:rsidRPr="00BF0D27">
        <w:rPr>
          <w:rFonts w:ascii="Arial" w:hAnsi="Arial" w:cs="Arial"/>
          <w:lang w:val="en-US"/>
        </w:rPr>
        <w:t>dcTMS</w:t>
      </w:r>
      <w:r w:rsidRPr="00BF0D27">
        <w:rPr>
          <w:rFonts w:ascii="Arial" w:hAnsi="Arial" w:cs="Arial"/>
          <w:lang w:val="en-US"/>
        </w:rPr>
        <w:t xml:space="preserve"> trials, contrasting </w:t>
      </w:r>
      <w:r w:rsidR="001D00CA" w:rsidRPr="00BF0D27">
        <w:rPr>
          <w:rFonts w:ascii="Arial" w:hAnsi="Arial" w:cs="Arial"/>
          <w:lang w:val="en-US"/>
        </w:rPr>
        <w:t>dcTMS</w:t>
      </w:r>
      <w:r w:rsidRPr="00BF0D27">
        <w:rPr>
          <w:rFonts w:ascii="Arial" w:hAnsi="Arial" w:cs="Arial"/>
          <w:lang w:val="en-US"/>
        </w:rPr>
        <w:t xml:space="preserve"> trials with their nearest spTMS counterparts emerges as the optimal strategy for managing these fluctuations effectively</w:t>
      </w:r>
      <w:r w:rsidR="00294CE4" w:rsidRPr="00BF0D27">
        <w:rPr>
          <w:rFonts w:ascii="Arial" w:hAnsi="Arial" w:cs="Arial"/>
          <w:lang w:val="en-US"/>
        </w:rPr>
        <w:t xml:space="preserve"> </w:t>
      </w:r>
      <w:r w:rsidR="00294CE4" w:rsidRPr="00BF0D27">
        <w:rPr>
          <w:rFonts w:ascii="Arial" w:hAnsi="Arial" w:cs="Arial"/>
          <w:lang w:val="en-US"/>
        </w:rPr>
        <w:fldChar w:fldCharType="begin"/>
      </w:r>
      <w:r w:rsidR="00AE03F8">
        <w:rPr>
          <w:rFonts w:ascii="Arial" w:hAnsi="Arial" w:cs="Arial"/>
          <w:lang w:val="en-US"/>
        </w:rPr>
        <w:instrText xml:space="preserve"> ADDIN ZOTERO_ITEM CSL_CITATION {"citationID":"D36odxlU","properties":{"formattedCitation":"(Cattaneo and Barchiesi, 2011; Chiappini et al., 2025; Parmigiani et al., 2018, 2015)","plainCitation":"(Cattaneo and Barchiesi, 2011; Chiappini et al., 2025; Parmigiani et al., 2018, 2015)","noteIndex":0},"citationItems":[{"id":12783,"uris":["http://zotero.org/users/10009444/items/3RQ35GTJ"],"itemData":{"id":12783,"type":"article-journal","abstract":"Skilled hand function relies heavily on the integrity of the primary motor cortex (M1) and on a web of cortico-cortical connections projecting onto it. We used a novel explorative paradigm to map the origin of cortico-M1 pathways assessed by dual transcranial magnetic stimulation (TMS) in 3 healthy participants. Subthreshold conditioning TMS (cTMS) was delivered over a grid of &amp;#187; 100 spots. covering the left hemisphere, and was followed by suprathreshold test stimuli (tTMS) delivered over the ipsilateral M1. Grid points were tested 8 times, with inter-stimulus intervals between cTMS and tTMS of 4 and 7 ms. Participants were asked to stay relaxed with no particular task. Motor evoked potentials (MEPs) from cTMS+tTMS were normalized to MEPs from tTMS alone and were compared to the value expected from tTMS alone using t-statistics. The t-values from each grid point were then used to plot statistical maps. Several foci of significant cortico-M1 interactions were found in the dorsal-medial frontal cortex, in the ventral frontal cortex, in the superior and inferior parietal lobules and in the parietal operculum. The majority of active foci had inhibitory effects on corticospinal excitability. The spatial location of the network of different subjects overlapped but with some anatomical variation of single foci. TMS statistical mapping during the resting state revealed a complex inhibitory cortical network. The explorative approach to TMS as a brain mapping tool produced results that are self-standing in single subjects overcoming inter-individual variability of cortical active sites.","container-title":"Frontiers in Neural Circuits","DOI":"10.3389/fncir.2011.00014","ISSN":"1662-5110","journalAbbreviation":"Front. Neural Circuits","language":"English","note":"publisher: Frontiers","source":"Frontiers","title":"Transcranial Magnetic Mapping of the Short-Latency Modulations of Corticospinal Activity from the Ipsilateral Hemisphere during Rest","URL":"https://www.frontiersin.org/articles/10.3389/fncir.2011.00014","volume":"5","author":[{"family":"Cattaneo","given":"Luigi"},{"family":"Barchiesi","given":"Guido"}],"accessed":{"date-parts":[["2024",5,16]]},"issued":{"date-parts":[["2011",10,18]]}}},{"id":12785,"uris":["http://zotero.org/users/10009444/items/482PLF2J"],"itemData":{"id":12785,"type":"article-journal","abstract":"The capacity to produce movements only at appropriate times is fundamental in successful behavior and requires a fine interplay between motor inhibition and facilitation. Evidence in humans indicates that the dorsal premotor cortex (PMCd) is involved in such preparatory and inhibitory processes, but how PMCd modulates motor output in humans is still unclear. We investigated this issue in healthy human volunteers, using a variant of the dual-coil transcranial magnetic stimulation (TMS) technique that allows testing the short-latency effects of conditioning TMS to the left PMCd on test TMS applied to the ipsilateral orofacial primary motor cortex (M1). Participants performed a delayed cued simple reaction time task. They were asked to produce a lip movement cued by an imperative GO-signal presented after a predictable SET-period, during which TMS was applied at different intervals. Results showed that the area of motor evoked potentials (MEPs) to test TMS was modulated by conditioning TMS. A transient inhibition cortico-bulbar excitability by PMCd stimulation was observed around the middle of the SET-period. Conversely, a ramping excitatory effect of PMCd stimulation appeared towards the end of the SET-period, as the time of the predicted GO-signal approached. The time-course of PMCd–M1 activity scaled to the varying SET-period duration. Our data indicate that inhibition and excitation of motor output during a delayed reaction time task are two distinct neural phenomena. They both originate in PMCd and are conveyed via cortico–cortical connections to the ipsilateral M1, where they are integrated to produce harmonic fluctuations of motor output.","container-title":"Brain Topography","DOI":"10.1007/s10548-018-0635-x","ISSN":"1573-6792","issue":"5","journalAbbreviation":"Brain Topogr","language":"en","page":"795-810","source":"Springer Link","title":"Spatial and Temporal Characteristics of Set-Related Inhibitory and Excitatory Inputs from the Dorsal Premotor Cortex to the Ipsilateral Motor Cortex Assessed by Dual-Coil Transcranial Magnetic Stimulation","volume":"31","author":[{"family":"Parmigiani","given":"Sara"},{"family":"Zattera","given":"Benedetta"},{"family":"Barchiesi","given":"Guido"},{"family":"Cattaneo","given":"Luigi"}],"issued":{"date-parts":[["2018",9,1]]}}},{"id":12787,"uris":["http://zotero.org/users/10009444/items/JMPZ83EN"],"itemData":{"id":12787,"type":"article-journal","abstract":"A rich pattern of connectivity is present in non-human primates between the dorsal premotor cortex (PMCd) and the motor cortex (M1). By analogy, similar connections are hypothesized in humans between the PMCd and the ipsilateral hand-related M1. However, the technical difficulty of applying transcranial magnetic stimulation (TMS) with a dual-coil paradigm to two cortical regions in such close spatial proximity renders their in vivo demonstration difficult. The present work aims at assessing in humans the existence of short-latency influences of the left PMCd on the ipsilateral corticofacial system by means of TMS. A dual-coil TMS paradigm was used with 16 participants. Test TMS pulses were applied to the left orofacial M1, and conditioning TMS pulses were applied to three distinct points of the ipsilateral PMCd along the caudal part of the superior frontal sulcus. The inter-stimulus interval (ISI) between condTMS and testTMS varied in 2-ms steps between 2 and 8 ms. Motor evoked potentials (MEPs) in the active orbicularis oris muscle were recorded. CondTMS exerted a robust effect on the corticofacial system only when applied to one specific portion of the PMCd and only at one specific ISI (6 ms). The effect consisted in a systematic suppression of facial MEPs compared to those obtained by testTMS alone. No other effect was found. We provide evidence for a specific short-latency inhibitory effect of the PMCd on the ipsilateral M1, likely witnessing direct corticocortical connectivity in humans. We also describe a novel paradigm to test ipsilateral PMCd–M1 in humans.","container-title":"Experimental Brain Research","DOI":"10.1007/s00221-015-4393-7","ISSN":"1432-1106","issue":"11","journalAbbreviation":"Exp Brain Res","language":"en","page":"3253-3260","source":"Springer Link","title":"The dorsal premotor cortex exerts a powerful and specific inhibitory effect on the ipsilateral corticofacial system: a dual-coil transcranial magnetic stimulation study","title-short":"The dorsal premotor cortex exerts a powerful and specific inhibitory effect on the ipsilateral corticofacial system","volume":"233","author":[{"family":"Parmigiani","given":"Sara"},{"family":"Barchiesi","given":"Guido"},{"family":"Cattaneo","given":"Luigi"}],"issued":{"date-parts":[["2015",11,1]]}}},{"id":18624,"uris":["http://zotero.org/users/10009444/items/CI7SZZYV"],"itemData":{"id":18624,"type":"article-journal","abstract":"Background\nAging can lead to a decline in motor control. While age-related motor impairments have been documented, the underlying changes in cortico-cortical interactions remain poorly understood.\nMethods\nWe took advantage of the high temporal resolution of dual-site transcranial magnetic stimulation (dsTMS) to investigate how communication between higher-order rostral premotor regions and the primary motor cortex (M1) influences motor control in young and elderly adults. We assessed the dynamics of connectivity from the inferior frontal gyrus (IFG) or pre-supplementary motor area (preSMA) to M1, by testing how conditioning of the IFG/preSMA affected the amplitude of motor evoked potentials (MEPs) induced by M1 stimulation at different temporal intervals. Moreover, we explored how age-related changes in premotor-M1 interactions relate to motor performance.\nResults\nOur results show that both young and elderly adults had excitatory IFG-M1 and preSMA-M1 interactions, but the two groups’ timing and strength differed. In young adults, IFG-M1 interactions were early and time-specific (8 ms), whereas in older individuals, they were delayed and more prolonged (12-16 ms). PreSMA-M1 interactions emerged early (6 ms) and peaked at 10-12 ms in young individuals but were attenuated in older individuals. Critically, a connectivity profile of the IFG-M1 circuit like that of the young cohort predicted better dexterity in older individuals, while preserved preSMA-M1 interactions predicted greater strength, suggesting that age-related motor decline is associated with specific changes in premotor-motor networks.\nConclusions\nPreserving youthful motor network connectivity in older individuals is related to maintaining motor performance and providing information for interventions targeting aging effects on behavior.","container-title":"Archives of Medical Research","DOI":"10.1016/j.arcmed.2024.103031","ISSN":"0188-4409","issue":"1","journalAbbreviation":"Archives of Medical Research","page":"103031","source":"ScienceDirect","title":"You Are as Old as the Connectivity You Keep: Distinct Neurophysiological Mechanisms Underlying Age-Related Changes in Hand Dexterity and Strength","title-short":"You Are as Old as the Connectivity You Keep","volume":"56","author":[{"family":"Chiappini","given":"Emilio"},{"family":"Turrini","given":"Sonia"},{"family":"Fiori","given":"Francesca"},{"family":"Benassi","given":"Mariagrazia"},{"family":"Tessari","given":"Alessia"},{"family":"Pellegrino","given":"Giuseppe","non-dropping-particle":"di"},{"family":"Avenanti","given":"Alessio"}],"issued":{"date-parts":[["2025",1,1]]}}}],"schema":"https://github.com/citation-style-language/schema/raw/master/csl-citation.json"} </w:instrText>
      </w:r>
      <w:r w:rsidR="00294CE4" w:rsidRPr="00BF0D27">
        <w:rPr>
          <w:rFonts w:ascii="Arial" w:hAnsi="Arial" w:cs="Arial"/>
          <w:lang w:val="en-US"/>
        </w:rPr>
        <w:fldChar w:fldCharType="separate"/>
      </w:r>
      <w:r w:rsidR="00AE03F8" w:rsidRPr="00AE03F8">
        <w:rPr>
          <w:rFonts w:ascii="Arial" w:hAnsi="Arial" w:cs="Arial"/>
        </w:rPr>
        <w:t>(Cattaneo and Barchiesi, 2011; Chiappini et al., 2025; Parmigiani et al., 2018, 2015)</w:t>
      </w:r>
      <w:r w:rsidR="00294CE4" w:rsidRPr="00BF0D27">
        <w:rPr>
          <w:rFonts w:ascii="Arial" w:hAnsi="Arial" w:cs="Arial"/>
          <w:lang w:val="en-US"/>
        </w:rPr>
        <w:fldChar w:fldCharType="end"/>
      </w:r>
      <w:r w:rsidR="00294CE4" w:rsidRPr="00BF0D27">
        <w:rPr>
          <w:rFonts w:ascii="Arial" w:hAnsi="Arial" w:cs="Arial"/>
          <w:lang w:val="en-US"/>
        </w:rPr>
        <w:t xml:space="preserve">. </w:t>
      </w:r>
    </w:p>
    <w:p w14:paraId="5ED7A721" w14:textId="38586778" w:rsidR="0079292F" w:rsidRPr="00BF0D27" w:rsidRDefault="002E5022" w:rsidP="0079292F">
      <w:pPr>
        <w:ind w:firstLine="708"/>
        <w:jc w:val="both"/>
        <w:rPr>
          <w:rFonts w:ascii="Arial" w:hAnsi="Arial" w:cs="Arial"/>
          <w:lang w:val="en-US"/>
        </w:rPr>
      </w:pPr>
      <w:r w:rsidRPr="00BF0D27">
        <w:rPr>
          <w:rFonts w:ascii="Arial" w:hAnsi="Arial" w:cs="Arial"/>
          <w:lang w:val="en-US"/>
        </w:rPr>
        <w:t>T</w:t>
      </w:r>
      <w:r w:rsidR="00F176AC" w:rsidRPr="00BF0D27">
        <w:rPr>
          <w:rFonts w:ascii="Arial" w:hAnsi="Arial" w:cs="Arial"/>
          <w:lang w:val="en-US"/>
        </w:rPr>
        <w:t xml:space="preserve">he </w:t>
      </w:r>
      <w:r w:rsidR="000A680C">
        <w:rPr>
          <w:rFonts w:ascii="Arial" w:hAnsi="Arial" w:cs="Arial"/>
          <w:lang w:val="en-US"/>
        </w:rPr>
        <w:t>%</w:t>
      </w:r>
      <w:r w:rsidR="00F176AC" w:rsidRPr="00BF0D27">
        <w:rPr>
          <w:rFonts w:ascii="Arial" w:hAnsi="Arial" w:cs="Arial"/>
          <w:lang w:val="en-US"/>
        </w:rPr>
        <w:t>dc</w:t>
      </w:r>
      <w:r w:rsidR="00EE4AAA" w:rsidRPr="00BF0D27">
        <w:rPr>
          <w:rFonts w:ascii="Arial" w:hAnsi="Arial" w:cs="Arial"/>
          <w:lang w:val="en-US"/>
        </w:rPr>
        <w:t>TMS-</w:t>
      </w:r>
      <w:r w:rsidR="00F176AC" w:rsidRPr="00BF0D27">
        <w:rPr>
          <w:rFonts w:ascii="Arial" w:hAnsi="Arial" w:cs="Arial"/>
          <w:lang w:val="en-US"/>
        </w:rPr>
        <w:t xml:space="preserve">MEPs </w:t>
      </w:r>
      <w:r w:rsidRPr="00BF0D27">
        <w:rPr>
          <w:rFonts w:ascii="Arial" w:hAnsi="Arial" w:cs="Arial"/>
          <w:lang w:val="en-US"/>
        </w:rPr>
        <w:t>w</w:t>
      </w:r>
      <w:r w:rsidR="00EE4AAA" w:rsidRPr="00BF0D27">
        <w:rPr>
          <w:rFonts w:ascii="Arial" w:hAnsi="Arial" w:cs="Arial"/>
          <w:lang w:val="en-US"/>
        </w:rPr>
        <w:t>ere</w:t>
      </w:r>
      <w:r w:rsidRPr="00BF0D27">
        <w:rPr>
          <w:rFonts w:ascii="Arial" w:hAnsi="Arial" w:cs="Arial"/>
          <w:lang w:val="en-US"/>
        </w:rPr>
        <w:t xml:space="preserve"> analy</w:t>
      </w:r>
      <w:r w:rsidR="00EE4AAA" w:rsidRPr="00BF0D27">
        <w:rPr>
          <w:rFonts w:ascii="Arial" w:hAnsi="Arial" w:cs="Arial"/>
          <w:lang w:val="en-US"/>
        </w:rPr>
        <w:t>z</w:t>
      </w:r>
      <w:r w:rsidRPr="00BF0D27">
        <w:rPr>
          <w:rFonts w:ascii="Arial" w:hAnsi="Arial" w:cs="Arial"/>
          <w:lang w:val="en-US"/>
        </w:rPr>
        <w:t xml:space="preserve">ed </w:t>
      </w:r>
      <w:r w:rsidR="00DA0444" w:rsidRPr="00BF0D27">
        <w:rPr>
          <w:rFonts w:ascii="Arial" w:hAnsi="Arial" w:cs="Arial"/>
          <w:lang w:val="en-US"/>
        </w:rPr>
        <w:t>using</w:t>
      </w:r>
      <w:r w:rsidRPr="00BF0D27">
        <w:rPr>
          <w:rFonts w:ascii="Arial" w:hAnsi="Arial" w:cs="Arial"/>
          <w:lang w:val="en-US"/>
        </w:rPr>
        <w:t xml:space="preserve"> a </w:t>
      </w:r>
      <w:r w:rsidR="007F686F" w:rsidRPr="00BF0D27">
        <w:rPr>
          <w:rFonts w:ascii="Arial" w:hAnsi="Arial" w:cs="Arial"/>
          <w:lang w:val="en-US"/>
        </w:rPr>
        <w:t xml:space="preserve">mixed-design </w:t>
      </w:r>
      <w:r w:rsidR="00F176AC" w:rsidRPr="00BF0D27">
        <w:rPr>
          <w:rFonts w:ascii="Arial" w:hAnsi="Arial" w:cs="Arial"/>
          <w:lang w:val="en-US"/>
        </w:rPr>
        <w:t>ANOVA</w:t>
      </w:r>
      <w:r w:rsidRPr="00BF0D27">
        <w:rPr>
          <w:rFonts w:ascii="Arial" w:hAnsi="Arial" w:cs="Arial"/>
          <w:lang w:val="en-US"/>
        </w:rPr>
        <w:t xml:space="preserve"> with</w:t>
      </w:r>
      <w:r w:rsidR="00F176AC" w:rsidRPr="00BF0D27">
        <w:rPr>
          <w:rFonts w:ascii="Arial" w:hAnsi="Arial" w:cs="Arial"/>
          <w:lang w:val="en-US"/>
        </w:rPr>
        <w:t xml:space="preserve"> </w:t>
      </w:r>
      <w:r w:rsidRPr="00BF0D27">
        <w:rPr>
          <w:rFonts w:ascii="Arial" w:hAnsi="Arial" w:cs="Arial"/>
          <w:lang w:val="en-US"/>
        </w:rPr>
        <w:t>CS</w:t>
      </w:r>
      <w:r w:rsidR="007F686F" w:rsidRPr="00BF0D27">
        <w:rPr>
          <w:rFonts w:ascii="Arial" w:hAnsi="Arial" w:cs="Arial"/>
          <w:lang w:val="en-US"/>
        </w:rPr>
        <w:t>-</w:t>
      </w:r>
      <w:r w:rsidRPr="00BF0D27">
        <w:rPr>
          <w:rFonts w:ascii="Arial" w:hAnsi="Arial" w:cs="Arial"/>
          <w:lang w:val="en-US"/>
        </w:rPr>
        <w:t>intensity</w:t>
      </w:r>
      <w:r w:rsidR="006A1189" w:rsidRPr="00BF0D27">
        <w:rPr>
          <w:rFonts w:ascii="Arial" w:hAnsi="Arial" w:cs="Arial"/>
          <w:lang w:val="en-US"/>
        </w:rPr>
        <w:t xml:space="preserve"> (5 levels) and </w:t>
      </w:r>
      <w:r w:rsidR="00F176AC" w:rsidRPr="00BF0D27">
        <w:rPr>
          <w:rFonts w:ascii="Arial" w:hAnsi="Arial" w:cs="Arial"/>
          <w:lang w:val="en-US"/>
        </w:rPr>
        <w:t>ISI (3 levels: 6, 7, and 8</w:t>
      </w:r>
      <w:r w:rsidR="005519E3" w:rsidRPr="00BF0D27">
        <w:rPr>
          <w:rFonts w:ascii="Arial" w:hAnsi="Arial" w:cs="Arial"/>
          <w:lang w:val="en-US"/>
        </w:rPr>
        <w:t xml:space="preserve"> </w:t>
      </w:r>
      <w:r w:rsidR="00F176AC" w:rsidRPr="00BF0D27">
        <w:rPr>
          <w:rFonts w:ascii="Arial" w:hAnsi="Arial" w:cs="Arial"/>
          <w:lang w:val="en-US"/>
        </w:rPr>
        <w:t xml:space="preserve">ms) </w:t>
      </w:r>
      <w:r w:rsidR="006A1189" w:rsidRPr="00BF0D27">
        <w:rPr>
          <w:rFonts w:ascii="Arial" w:hAnsi="Arial" w:cs="Arial"/>
          <w:lang w:val="en-US"/>
        </w:rPr>
        <w:t xml:space="preserve">as within-subjects factors, </w:t>
      </w:r>
      <w:r w:rsidR="00F176AC" w:rsidRPr="00BF0D27">
        <w:rPr>
          <w:rFonts w:ascii="Arial" w:hAnsi="Arial" w:cs="Arial"/>
          <w:lang w:val="en-US"/>
        </w:rPr>
        <w:t xml:space="preserve">and </w:t>
      </w:r>
      <w:r w:rsidR="006A1189" w:rsidRPr="00BF0D27">
        <w:rPr>
          <w:rFonts w:ascii="Arial" w:hAnsi="Arial" w:cs="Arial"/>
          <w:lang w:val="en-US"/>
        </w:rPr>
        <w:t xml:space="preserve">TS-intensity (2 levels) as </w:t>
      </w:r>
      <w:r w:rsidR="00F176AC" w:rsidRPr="00BF0D27">
        <w:rPr>
          <w:rFonts w:ascii="Arial" w:hAnsi="Arial" w:cs="Arial"/>
          <w:lang w:val="en-US"/>
        </w:rPr>
        <w:t>between-</w:t>
      </w:r>
      <w:r w:rsidRPr="00BF0D27">
        <w:rPr>
          <w:rFonts w:ascii="Arial" w:hAnsi="Arial" w:cs="Arial"/>
          <w:lang w:val="en-US"/>
        </w:rPr>
        <w:t>subjects factor</w:t>
      </w:r>
      <w:r w:rsidR="00F176AC" w:rsidRPr="00BF0D27">
        <w:rPr>
          <w:rFonts w:ascii="Arial" w:hAnsi="Arial" w:cs="Arial"/>
          <w:lang w:val="en-US"/>
        </w:rPr>
        <w:t>.</w:t>
      </w:r>
      <w:r w:rsidRPr="00BF0D27">
        <w:rPr>
          <w:rFonts w:ascii="Arial" w:hAnsi="Arial" w:cs="Arial"/>
          <w:lang w:val="en-US"/>
        </w:rPr>
        <w:t xml:space="preserve"> We also computed </w:t>
      </w:r>
      <w:r w:rsidR="00DF5021" w:rsidRPr="00BF0D27">
        <w:rPr>
          <w:rFonts w:ascii="Arial" w:hAnsi="Arial" w:cs="Arial"/>
          <w:lang w:val="en-US"/>
        </w:rPr>
        <w:t xml:space="preserve">separate </w:t>
      </w:r>
      <w:r w:rsidR="008D7582" w:rsidRPr="00BF0D27">
        <w:rPr>
          <w:rFonts w:ascii="Arial" w:hAnsi="Arial" w:cs="Arial"/>
          <w:lang w:val="en-US"/>
        </w:rPr>
        <w:t>ANOVAs</w:t>
      </w:r>
      <w:r w:rsidR="00022038" w:rsidRPr="00BF0D27">
        <w:rPr>
          <w:rFonts w:ascii="Arial" w:hAnsi="Arial" w:cs="Arial"/>
          <w:lang w:val="en-US"/>
        </w:rPr>
        <w:t xml:space="preserve"> </w:t>
      </w:r>
      <w:r w:rsidR="00947E72" w:rsidRPr="00BF0D27">
        <w:rPr>
          <w:rFonts w:ascii="Arial" w:hAnsi="Arial" w:cs="Arial"/>
          <w:lang w:val="en-US"/>
        </w:rPr>
        <w:t>on sp</w:t>
      </w:r>
      <w:r w:rsidR="00726323" w:rsidRPr="00BF0D27">
        <w:rPr>
          <w:rFonts w:ascii="Arial" w:hAnsi="Arial" w:cs="Arial"/>
          <w:lang w:val="en-US"/>
        </w:rPr>
        <w:t>TMS-</w:t>
      </w:r>
      <w:r w:rsidR="00947E72" w:rsidRPr="00BF0D27">
        <w:rPr>
          <w:rFonts w:ascii="Arial" w:hAnsi="Arial" w:cs="Arial"/>
          <w:lang w:val="en-US"/>
        </w:rPr>
        <w:t>MEPs and dc</w:t>
      </w:r>
      <w:r w:rsidR="00726323" w:rsidRPr="00BF0D27">
        <w:rPr>
          <w:rFonts w:ascii="Arial" w:hAnsi="Arial" w:cs="Arial"/>
          <w:lang w:val="en-US"/>
        </w:rPr>
        <w:t>TMS-</w:t>
      </w:r>
      <w:r w:rsidR="00947E72" w:rsidRPr="00BF0D27">
        <w:rPr>
          <w:rFonts w:ascii="Arial" w:hAnsi="Arial" w:cs="Arial"/>
          <w:lang w:val="en-US"/>
        </w:rPr>
        <w:t xml:space="preserve">MEPs </w:t>
      </w:r>
      <w:r w:rsidR="00DF5021" w:rsidRPr="00BF0D27">
        <w:rPr>
          <w:rFonts w:ascii="Arial" w:hAnsi="Arial" w:cs="Arial"/>
          <w:lang w:val="en-US"/>
        </w:rPr>
        <w:t xml:space="preserve">within </w:t>
      </w:r>
      <w:r w:rsidR="008D7582" w:rsidRPr="00BF0D27">
        <w:rPr>
          <w:rFonts w:ascii="Arial" w:hAnsi="Arial" w:cs="Arial"/>
          <w:lang w:val="en-US"/>
        </w:rPr>
        <w:t xml:space="preserve">a </w:t>
      </w:r>
      <w:r w:rsidR="00022038" w:rsidRPr="00BF0D27">
        <w:rPr>
          <w:rFonts w:ascii="Arial" w:hAnsi="Arial" w:cs="Arial"/>
          <w:lang w:val="en-US"/>
        </w:rPr>
        <w:t xml:space="preserve">Bayesian </w:t>
      </w:r>
      <w:r w:rsidR="00DF5021" w:rsidRPr="00BF0D27">
        <w:rPr>
          <w:rFonts w:ascii="Arial" w:hAnsi="Arial" w:cs="Arial"/>
          <w:lang w:val="en-US"/>
        </w:rPr>
        <w:t xml:space="preserve">framework </w:t>
      </w:r>
      <w:r w:rsidR="00022038" w:rsidRPr="00BF0D27">
        <w:rPr>
          <w:rFonts w:ascii="Arial" w:hAnsi="Arial" w:cs="Arial"/>
          <w:lang w:val="en-US"/>
        </w:rPr>
        <w:t xml:space="preserve">to </w:t>
      </w:r>
      <w:r w:rsidR="00DF5021" w:rsidRPr="00BF0D27">
        <w:rPr>
          <w:rFonts w:ascii="Arial" w:hAnsi="Arial" w:cs="Arial"/>
          <w:lang w:val="en-US"/>
        </w:rPr>
        <w:t xml:space="preserve">quantify the relative evidence for </w:t>
      </w:r>
      <w:r w:rsidR="00022038" w:rsidRPr="00BF0D27">
        <w:rPr>
          <w:rFonts w:ascii="Arial" w:hAnsi="Arial" w:cs="Arial"/>
          <w:lang w:val="en-US"/>
        </w:rPr>
        <w:t xml:space="preserve">the experimental hypothesis </w:t>
      </w:r>
      <w:r w:rsidR="00DF5021" w:rsidRPr="00BF0D27">
        <w:rPr>
          <w:rFonts w:ascii="Arial" w:hAnsi="Arial" w:cs="Arial"/>
          <w:lang w:val="en-US"/>
        </w:rPr>
        <w:t>compared to competing models</w:t>
      </w:r>
      <w:r w:rsidR="00022038" w:rsidRPr="00BF0D27">
        <w:rPr>
          <w:rFonts w:ascii="Arial" w:hAnsi="Arial" w:cs="Arial"/>
          <w:lang w:val="en-US"/>
        </w:rPr>
        <w:t>. Bayes Factor</w:t>
      </w:r>
      <w:r w:rsidR="00DF5021" w:rsidRPr="00BF0D27">
        <w:rPr>
          <w:rFonts w:ascii="Arial" w:hAnsi="Arial" w:cs="Arial"/>
          <w:lang w:val="en-US"/>
        </w:rPr>
        <w:t>s</w:t>
      </w:r>
      <w:r w:rsidR="00022038" w:rsidRPr="00BF0D27">
        <w:rPr>
          <w:rFonts w:ascii="Arial" w:hAnsi="Arial" w:cs="Arial"/>
          <w:lang w:val="en-US"/>
        </w:rPr>
        <w:t xml:space="preserve"> </w:t>
      </w:r>
      <w:r w:rsidR="00DF5021" w:rsidRPr="00BF0D27">
        <w:rPr>
          <w:rFonts w:ascii="Arial" w:hAnsi="Arial" w:cs="Arial"/>
          <w:lang w:val="en-US"/>
        </w:rPr>
        <w:t xml:space="preserve">are reported both as </w:t>
      </w:r>
      <w:r w:rsidR="00022038" w:rsidRPr="00BF0D27">
        <w:rPr>
          <w:rFonts w:ascii="Arial" w:hAnsi="Arial" w:cs="Arial"/>
          <w:lang w:val="en-US"/>
        </w:rPr>
        <w:t>BF</w:t>
      </w:r>
      <w:r w:rsidR="00022038" w:rsidRPr="00BF0D27">
        <w:rPr>
          <w:rFonts w:ascii="Arial" w:hAnsi="Arial" w:cs="Arial"/>
          <w:vertAlign w:val="subscript"/>
          <w:lang w:val="en-US"/>
        </w:rPr>
        <w:t>10</w:t>
      </w:r>
      <w:r w:rsidR="00022038" w:rsidRPr="00BF0D27">
        <w:rPr>
          <w:rFonts w:ascii="Arial" w:hAnsi="Arial" w:cs="Arial"/>
          <w:lang w:val="en-US"/>
        </w:rPr>
        <w:t xml:space="preserve"> </w:t>
      </w:r>
      <w:r w:rsidR="006E22DE" w:rsidRPr="00BF0D27">
        <w:rPr>
          <w:rFonts w:ascii="Arial" w:hAnsi="Arial" w:cs="Arial"/>
          <w:lang w:val="en-US"/>
        </w:rPr>
        <w:t>(evidence in favor of the alternative hypothesis, H1, over the null hypothesis, H0) and as BF</w:t>
      </w:r>
      <w:r w:rsidR="006E22DE" w:rsidRPr="00BF0D27">
        <w:rPr>
          <w:rFonts w:ascii="Arial" w:hAnsi="Arial" w:cs="Arial"/>
          <w:vertAlign w:val="subscript"/>
          <w:lang w:val="en-US"/>
        </w:rPr>
        <w:t xml:space="preserve">01 </w:t>
      </w:r>
      <w:r w:rsidR="006E22DE" w:rsidRPr="00BF0D27">
        <w:rPr>
          <w:rFonts w:ascii="Arial" w:hAnsi="Arial" w:cs="Arial"/>
          <w:lang w:val="en-US"/>
        </w:rPr>
        <w:t>(evidence in favor of H0 over H1)</w:t>
      </w:r>
      <w:r w:rsidR="00022038" w:rsidRPr="00BF0D27">
        <w:rPr>
          <w:rFonts w:ascii="Arial" w:hAnsi="Arial" w:cs="Arial"/>
          <w:lang w:val="en-US"/>
        </w:rPr>
        <w:t xml:space="preserve"> </w:t>
      </w:r>
      <w:r w:rsidR="008D7582" w:rsidRPr="00BF0D27">
        <w:rPr>
          <w:rFonts w:ascii="Arial" w:hAnsi="Arial" w:cs="Arial"/>
          <w:lang w:val="en-US"/>
        </w:rPr>
        <w:fldChar w:fldCharType="begin"/>
      </w:r>
      <w:r w:rsidR="00AE03F8">
        <w:rPr>
          <w:rFonts w:ascii="Arial" w:hAnsi="Arial" w:cs="Arial"/>
          <w:lang w:val="en-US"/>
        </w:rPr>
        <w:instrText xml:space="preserve"> ADDIN ZOTERO_ITEM CSL_CITATION {"citationID":"HHOixLJH","properties":{"formattedCitation":"(Kruschke, 2021)","plainCitation":"(Kruschke, 2021)","noteIndex":0},"citationItems":[{"id":12558,"uris":["http://zotero.org/users/10009444/items/9FP49MLD"],"itemData":{"id":12558,"type":"article-journal","abstract":"Previous surveys of the literature have shown that reports of statistical analyses often lack important information, causing lack of transparency and failure of reproducibility. Editors and authors agree that guidelines for reporting should be encouraged. This Review presents a set of Bayesian analysis reporting guidelines (BARG). The BARG encompass the features of previous guidelines, while including many additional details for contemporary Bayesian analyses, with explanations. An extensive example of applying the BARG is presented. The BARG should be useful to researchers, authors, reviewers, editors, educators and students. Utilization, endorsement and promotion of the BARG may improve the quality, transparency and reproducibility of Bayesian analyses.","container-title":"Nature Human Behaviour","DOI":"10.1038/s41562-021-01177-7","ISSN":"2397-3374","issue":"10","journalAbbreviation":"Nat Hum Behav","language":"en","license":"2021 The Author(s)","note":"publisher: Nature Publishing Group","page":"1282-1291","source":"www.nature.com","title":"Bayesian Analysis Reporting Guidelines","volume":"5","author":[{"family":"Kruschke","given":"John K."}],"issued":{"date-parts":[["2021",10]]}}}],"schema":"https://github.com/citation-style-language/schema/raw/master/csl-citation.json"} </w:instrText>
      </w:r>
      <w:r w:rsidR="008D7582" w:rsidRPr="00BF0D27">
        <w:rPr>
          <w:rFonts w:ascii="Arial" w:hAnsi="Arial" w:cs="Arial"/>
          <w:lang w:val="en-US"/>
        </w:rPr>
        <w:fldChar w:fldCharType="separate"/>
      </w:r>
      <w:r w:rsidR="00AE03F8" w:rsidRPr="00AE03F8">
        <w:rPr>
          <w:rFonts w:ascii="Arial" w:hAnsi="Arial" w:cs="Arial"/>
        </w:rPr>
        <w:t>(Kruschke, 2021)</w:t>
      </w:r>
      <w:r w:rsidR="008D7582" w:rsidRPr="00BF0D27">
        <w:rPr>
          <w:rFonts w:ascii="Arial" w:hAnsi="Arial" w:cs="Arial"/>
          <w:lang w:val="en-US"/>
        </w:rPr>
        <w:fldChar w:fldCharType="end"/>
      </w:r>
      <w:r w:rsidR="008D7582" w:rsidRPr="00BF0D27">
        <w:rPr>
          <w:rFonts w:ascii="Arial" w:hAnsi="Arial" w:cs="Arial"/>
          <w:lang w:val="en-US"/>
        </w:rPr>
        <w:t xml:space="preserve">. </w:t>
      </w:r>
    </w:p>
    <w:p w14:paraId="03298A1C" w14:textId="5F83B318" w:rsidR="00AD1109" w:rsidRDefault="00DA0444">
      <w:pPr>
        <w:ind w:firstLine="708"/>
        <w:jc w:val="both"/>
        <w:rPr>
          <w:rFonts w:ascii="Arial" w:hAnsi="Arial" w:cs="Arial"/>
        </w:rPr>
      </w:pPr>
      <w:r w:rsidRPr="00BF0D27">
        <w:rPr>
          <w:rFonts w:ascii="Arial" w:hAnsi="Arial" w:cs="Arial"/>
        </w:rPr>
        <w:t>P</w:t>
      </w:r>
      <w:r w:rsidR="0067617B" w:rsidRPr="00BF0D27">
        <w:rPr>
          <w:rFonts w:ascii="Arial" w:hAnsi="Arial" w:cs="Arial"/>
        </w:rPr>
        <w:t xml:space="preserve">artial </w:t>
      </w:r>
      <w:r w:rsidRPr="00BF0D27">
        <w:rPr>
          <w:rFonts w:ascii="Arial" w:hAnsi="Arial" w:cs="Arial"/>
        </w:rPr>
        <w:t xml:space="preserve">eta squared </w:t>
      </w:r>
      <w:r w:rsidR="0067617B" w:rsidRPr="00BF0D27">
        <w:rPr>
          <w:rFonts w:ascii="Arial" w:hAnsi="Arial" w:cs="Arial"/>
        </w:rPr>
        <w:t>(</w:t>
      </w:r>
      <w:r w:rsidR="0067617B" w:rsidRPr="00BF0D27">
        <w:rPr>
          <w:rFonts w:ascii="Arial" w:hAnsi="Arial" w:cs="Arial"/>
          <w:i/>
          <w:iCs/>
        </w:rPr>
        <w:t>η</w:t>
      </w:r>
      <w:r w:rsidR="0067617B" w:rsidRPr="00BF0D27">
        <w:rPr>
          <w:rFonts w:ascii="Arial" w:hAnsi="Arial" w:cs="Arial"/>
          <w:i/>
          <w:iCs/>
          <w:vertAlign w:val="subscript"/>
        </w:rPr>
        <w:t>p</w:t>
      </w:r>
      <w:r w:rsidR="0067617B" w:rsidRPr="00BF0D27">
        <w:rPr>
          <w:rFonts w:ascii="Arial" w:hAnsi="Arial" w:cs="Arial"/>
          <w:i/>
          <w:iCs/>
          <w:vertAlign w:val="superscript"/>
        </w:rPr>
        <w:t>2</w:t>
      </w:r>
      <w:r w:rsidR="0067617B" w:rsidRPr="00BF0D27">
        <w:rPr>
          <w:rFonts w:ascii="Arial" w:hAnsi="Arial" w:cs="Arial"/>
        </w:rPr>
        <w:t xml:space="preserve">) </w:t>
      </w:r>
      <w:r w:rsidRPr="00BF0D27">
        <w:rPr>
          <w:rFonts w:ascii="Arial" w:hAnsi="Arial" w:cs="Arial"/>
        </w:rPr>
        <w:t xml:space="preserve">was computed </w:t>
      </w:r>
      <w:r w:rsidR="0067617B" w:rsidRPr="00BF0D27">
        <w:rPr>
          <w:rFonts w:ascii="Arial" w:hAnsi="Arial" w:cs="Arial"/>
        </w:rPr>
        <w:t xml:space="preserve">as a measure of effect size </w:t>
      </w:r>
      <w:r w:rsidRPr="00BF0D27">
        <w:rPr>
          <w:rFonts w:ascii="Arial" w:hAnsi="Arial" w:cs="Arial"/>
        </w:rPr>
        <w:t>for significant effects in the</w:t>
      </w:r>
      <w:r w:rsidR="0067617B" w:rsidRPr="00BF0D27">
        <w:rPr>
          <w:rFonts w:ascii="Arial" w:hAnsi="Arial" w:cs="Arial"/>
        </w:rPr>
        <w:t xml:space="preserve"> ANOVA</w:t>
      </w:r>
      <w:r w:rsidR="00AD1109" w:rsidRPr="00BF0D27">
        <w:rPr>
          <w:rFonts w:ascii="Arial" w:hAnsi="Arial" w:cs="Arial"/>
        </w:rPr>
        <w:t xml:space="preserve">, with value of </w:t>
      </w:r>
      <w:r w:rsidR="0067617B" w:rsidRPr="00BF0D27">
        <w:rPr>
          <w:rFonts w:ascii="Arial" w:hAnsi="Arial" w:cs="Arial"/>
        </w:rPr>
        <w:t xml:space="preserve">~.01, ~.06, and ~.14 </w:t>
      </w:r>
      <w:r w:rsidR="00AD1109" w:rsidRPr="00BF0D27">
        <w:rPr>
          <w:rFonts w:ascii="Arial" w:hAnsi="Arial" w:cs="Arial"/>
        </w:rPr>
        <w:t xml:space="preserve">conventionally interpreted as </w:t>
      </w:r>
      <w:r w:rsidR="0067617B" w:rsidRPr="00BF0D27">
        <w:rPr>
          <w:rFonts w:ascii="Arial" w:hAnsi="Arial" w:cs="Arial"/>
        </w:rPr>
        <w:t>small, medium</w:t>
      </w:r>
      <w:r w:rsidR="00AD1109" w:rsidRPr="00BF0D27">
        <w:rPr>
          <w:rFonts w:ascii="Arial" w:hAnsi="Arial" w:cs="Arial"/>
        </w:rPr>
        <w:t>,</w:t>
      </w:r>
      <w:r w:rsidR="0067617B" w:rsidRPr="00BF0D27">
        <w:rPr>
          <w:rFonts w:ascii="Arial" w:hAnsi="Arial" w:cs="Arial"/>
        </w:rPr>
        <w:t xml:space="preserve"> and large, respectively. </w:t>
      </w:r>
      <w:r w:rsidR="0011272F" w:rsidRPr="00BF0D27">
        <w:rPr>
          <w:rFonts w:ascii="Arial" w:hAnsi="Arial" w:cs="Arial"/>
        </w:rPr>
        <w:t>S</w:t>
      </w:r>
      <w:r w:rsidR="00592FD5" w:rsidRPr="00BF0D27">
        <w:rPr>
          <w:rFonts w:ascii="Arial" w:hAnsi="Arial" w:cs="Arial"/>
        </w:rPr>
        <w:t xml:space="preserve">ignificant effects </w:t>
      </w:r>
      <w:r w:rsidR="0027486B" w:rsidRPr="00BF0D27">
        <w:rPr>
          <w:rFonts w:ascii="Arial" w:hAnsi="Arial" w:cs="Arial"/>
        </w:rPr>
        <w:t xml:space="preserve">were further </w:t>
      </w:r>
      <w:r w:rsidR="00592FD5" w:rsidRPr="00BF0D27">
        <w:rPr>
          <w:rFonts w:ascii="Arial" w:hAnsi="Arial" w:cs="Arial"/>
        </w:rPr>
        <w:t xml:space="preserve">explored </w:t>
      </w:r>
      <w:r w:rsidR="0027486B" w:rsidRPr="00BF0D27">
        <w:rPr>
          <w:rFonts w:ascii="Arial" w:hAnsi="Arial" w:cs="Arial"/>
        </w:rPr>
        <w:t xml:space="preserve">using </w:t>
      </w:r>
      <w:r w:rsidR="004604D2" w:rsidRPr="00BF0D27">
        <w:rPr>
          <w:rFonts w:ascii="Arial" w:hAnsi="Arial" w:cs="Arial"/>
        </w:rPr>
        <w:t xml:space="preserve">Newman-Keuls </w:t>
      </w:r>
      <w:r w:rsidR="00592FD5" w:rsidRPr="00BF0D27">
        <w:rPr>
          <w:rFonts w:ascii="Arial" w:hAnsi="Arial" w:cs="Arial"/>
        </w:rPr>
        <w:t>post-hoc</w:t>
      </w:r>
      <w:r w:rsidR="004604D2" w:rsidRPr="00BF0D27">
        <w:rPr>
          <w:rFonts w:ascii="Arial" w:hAnsi="Arial" w:cs="Arial"/>
        </w:rPr>
        <w:t xml:space="preserve"> tests</w:t>
      </w:r>
      <w:r w:rsidR="00047D15" w:rsidRPr="00BF0D27">
        <w:rPr>
          <w:rFonts w:ascii="Arial" w:hAnsi="Arial" w:cs="Arial"/>
        </w:rPr>
        <w:t>,</w:t>
      </w:r>
      <w:r w:rsidR="0067617B" w:rsidRPr="00BF0D27">
        <w:rPr>
          <w:rFonts w:ascii="Arial" w:hAnsi="Arial" w:cs="Arial"/>
        </w:rPr>
        <w:t xml:space="preserve"> and </w:t>
      </w:r>
      <w:r w:rsidR="00592FD5" w:rsidRPr="00BF0D27">
        <w:rPr>
          <w:rFonts w:ascii="Arial" w:hAnsi="Arial" w:cs="Arial"/>
        </w:rPr>
        <w:t xml:space="preserve">Cohen’s d </w:t>
      </w:r>
      <w:r w:rsidR="00047D15" w:rsidRPr="00BF0D27">
        <w:rPr>
          <w:rFonts w:ascii="Arial" w:hAnsi="Arial" w:cs="Arial"/>
        </w:rPr>
        <w:t xml:space="preserve">was reported as an </w:t>
      </w:r>
      <w:r w:rsidR="00592FD5" w:rsidRPr="00BF0D27">
        <w:rPr>
          <w:rFonts w:ascii="Arial" w:hAnsi="Arial" w:cs="Arial"/>
        </w:rPr>
        <w:t>effect size</w:t>
      </w:r>
      <w:r w:rsidR="00047D15" w:rsidRPr="00BF0D27">
        <w:rPr>
          <w:rFonts w:ascii="Arial" w:hAnsi="Arial" w:cs="Arial"/>
        </w:rPr>
        <w:t xml:space="preserve"> for pairwise comparisons</w:t>
      </w:r>
      <w:r w:rsidR="00B331B3" w:rsidRPr="00BF0D27">
        <w:rPr>
          <w:rFonts w:ascii="Arial" w:hAnsi="Arial" w:cs="Arial"/>
        </w:rPr>
        <w:t xml:space="preserve">, with values </w:t>
      </w:r>
      <w:r w:rsidR="00592FD5" w:rsidRPr="00BF0D27">
        <w:rPr>
          <w:rFonts w:ascii="Arial" w:hAnsi="Arial" w:cs="Arial"/>
        </w:rPr>
        <w:t xml:space="preserve">of ~.2, ~.5, ~.8 </w:t>
      </w:r>
      <w:r w:rsidR="00B331B3" w:rsidRPr="00BF0D27">
        <w:rPr>
          <w:rFonts w:ascii="Arial" w:hAnsi="Arial" w:cs="Arial"/>
        </w:rPr>
        <w:t xml:space="preserve">corresponding to </w:t>
      </w:r>
      <w:r w:rsidR="00592FD5" w:rsidRPr="00BF0D27">
        <w:rPr>
          <w:rFonts w:ascii="Arial" w:hAnsi="Arial" w:cs="Arial"/>
        </w:rPr>
        <w:t>small, medium and large</w:t>
      </w:r>
      <w:r w:rsidR="00B331B3" w:rsidRPr="00BF0D27">
        <w:rPr>
          <w:rFonts w:ascii="Arial" w:hAnsi="Arial" w:cs="Arial"/>
        </w:rPr>
        <w:t xml:space="preserve"> effects</w:t>
      </w:r>
      <w:r w:rsidR="00592FD5" w:rsidRPr="00BF0D27">
        <w:rPr>
          <w:rFonts w:ascii="Arial" w:hAnsi="Arial" w:cs="Arial"/>
        </w:rPr>
        <w:t xml:space="preserve"> </w:t>
      </w:r>
      <w:r w:rsidR="00592FD5" w:rsidRPr="00BF0D27">
        <w:rPr>
          <w:rFonts w:ascii="Arial" w:hAnsi="Arial" w:cs="Arial"/>
        </w:rPr>
        <w:fldChar w:fldCharType="begin"/>
      </w:r>
      <w:r w:rsidR="00AE03F8">
        <w:rPr>
          <w:rFonts w:ascii="Arial" w:hAnsi="Arial" w:cs="Arial"/>
        </w:rPr>
        <w:instrText xml:space="preserve"> ADDIN ZOTERO_ITEM CSL_CITATION {"citationID":"yWyg0WEE","properties":{"formattedCitation":"(Cohen, 2013)","plainCitation":"(Cohen, 2013)","noteIndex":0},"citationItems":[{"id":18607,"uris":["http://zotero.org/users/10009444/items/VPR95VR7"],"itemData":{"id":18607,"type":"book","abstract":"Statistical Power Analysis is a nontechnical guide to power analysis in research planning that provides users of applied statistics with the tools they need for more effective analysis. The Second Edition includes:  * a chapter covering power analysis in set correlation and multivariate methods; * a chapter considering effect size, psychometric reliability, and the efficacy of \"qualifying\" dependent variables and; * expanded power and sample size tables for multiple regression/correlation.","edition":"2","event-place":"New York","ISBN":"978-0-203-77158-7","note":"DOI: 10.4324/9780203771587","number-of-pages":"567","publisher":"Routledge","publisher-place":"New York","title":"Statistical Power Analysis for the Behavioral Sciences","author":[{"family":"Cohen","given":"Jacob"}],"issued":{"date-parts":[["2013",5,13]]}}}],"schema":"https://github.com/citation-style-language/schema/raw/master/csl-citation.json"} </w:instrText>
      </w:r>
      <w:r w:rsidR="00592FD5" w:rsidRPr="00BF0D27">
        <w:rPr>
          <w:rFonts w:ascii="Arial" w:hAnsi="Arial" w:cs="Arial"/>
        </w:rPr>
        <w:fldChar w:fldCharType="separate"/>
      </w:r>
      <w:r w:rsidR="00AE03F8" w:rsidRPr="00AE03F8">
        <w:rPr>
          <w:rFonts w:ascii="Arial" w:hAnsi="Arial" w:cs="Arial"/>
        </w:rPr>
        <w:t>(Cohen, 2013)</w:t>
      </w:r>
      <w:r w:rsidR="00592FD5" w:rsidRPr="00BF0D27">
        <w:rPr>
          <w:rFonts w:ascii="Arial" w:hAnsi="Arial" w:cs="Arial"/>
        </w:rPr>
        <w:fldChar w:fldCharType="end"/>
      </w:r>
      <w:r w:rsidR="00592FD5" w:rsidRPr="00BF0D27">
        <w:rPr>
          <w:rFonts w:ascii="Arial" w:hAnsi="Arial" w:cs="Arial"/>
        </w:rPr>
        <w:t xml:space="preserve">. </w:t>
      </w:r>
      <w:r w:rsidR="005F588D" w:rsidRPr="00BF0D27">
        <w:rPr>
          <w:rFonts w:ascii="Arial" w:hAnsi="Arial" w:cs="Arial"/>
        </w:rPr>
        <w:t xml:space="preserve">Significant </w:t>
      </w:r>
      <w:r w:rsidR="00CC455E">
        <w:rPr>
          <w:rFonts w:ascii="Arial" w:hAnsi="Arial" w:cs="Arial"/>
        </w:rPr>
        <w:t>%</w:t>
      </w:r>
      <w:r w:rsidRPr="00BF0D27">
        <w:rPr>
          <w:rFonts w:ascii="Arial" w:hAnsi="Arial" w:cs="Arial"/>
        </w:rPr>
        <w:t xml:space="preserve">dsTMS-MEP </w:t>
      </w:r>
      <w:r w:rsidR="005F588D" w:rsidRPr="00BF0D27">
        <w:rPr>
          <w:rFonts w:ascii="Arial" w:hAnsi="Arial" w:cs="Arial"/>
        </w:rPr>
        <w:t xml:space="preserve">modulations were </w:t>
      </w:r>
      <w:r w:rsidRPr="00BF0D27">
        <w:rPr>
          <w:rFonts w:ascii="Arial" w:hAnsi="Arial" w:cs="Arial"/>
        </w:rPr>
        <w:t xml:space="preserve">tested using </w:t>
      </w:r>
      <w:r w:rsidR="005F588D" w:rsidRPr="00BF0D27">
        <w:rPr>
          <w:rFonts w:ascii="Arial" w:hAnsi="Arial" w:cs="Arial"/>
        </w:rPr>
        <w:t xml:space="preserve">one-sample </w:t>
      </w:r>
      <w:r w:rsidR="00592FD5" w:rsidRPr="00BF0D27">
        <w:rPr>
          <w:rFonts w:ascii="Arial" w:hAnsi="Arial" w:cs="Arial"/>
        </w:rPr>
        <w:t xml:space="preserve">t-tests against </w:t>
      </w:r>
      <w:r w:rsidR="00124C54" w:rsidRPr="00BF0D27">
        <w:rPr>
          <w:rFonts w:ascii="Arial" w:hAnsi="Arial" w:cs="Arial"/>
        </w:rPr>
        <w:t>the</w:t>
      </w:r>
      <w:r w:rsidR="00592FD5" w:rsidRPr="00BF0D27">
        <w:rPr>
          <w:rFonts w:ascii="Arial" w:hAnsi="Arial" w:cs="Arial"/>
        </w:rPr>
        <w:t xml:space="preserve"> null value </w:t>
      </w:r>
      <w:r w:rsidR="00124C54" w:rsidRPr="00BF0D27">
        <w:rPr>
          <w:rFonts w:ascii="Arial" w:hAnsi="Arial" w:cs="Arial"/>
        </w:rPr>
        <w:t xml:space="preserve">of </w:t>
      </w:r>
      <w:r w:rsidR="00AE4D0C" w:rsidRPr="00BF0D27">
        <w:rPr>
          <w:rFonts w:ascii="Arial" w:hAnsi="Arial" w:cs="Arial"/>
        </w:rPr>
        <w:t>1</w:t>
      </w:r>
      <w:r w:rsidR="00592FD5" w:rsidRPr="00BF0D27">
        <w:rPr>
          <w:rFonts w:ascii="Arial" w:hAnsi="Arial" w:cs="Arial"/>
        </w:rPr>
        <w:t xml:space="preserve">. </w:t>
      </w:r>
      <w:r w:rsidR="0067617B" w:rsidRPr="00BF0D27">
        <w:rPr>
          <w:rFonts w:ascii="Arial" w:hAnsi="Arial" w:cs="Arial"/>
        </w:rPr>
        <w:t xml:space="preserve">Frequentist </w:t>
      </w:r>
      <w:r w:rsidR="00592FD5" w:rsidRPr="00BF0D27">
        <w:rPr>
          <w:rFonts w:ascii="Arial" w:hAnsi="Arial" w:cs="Arial"/>
        </w:rPr>
        <w:t xml:space="preserve">analyses </w:t>
      </w:r>
      <w:r w:rsidR="0067617B" w:rsidRPr="00BF0D27">
        <w:rPr>
          <w:rFonts w:ascii="Arial" w:hAnsi="Arial" w:cs="Arial"/>
        </w:rPr>
        <w:t xml:space="preserve">were </w:t>
      </w:r>
      <w:r w:rsidR="00592FD5" w:rsidRPr="00BF0D27">
        <w:rPr>
          <w:rFonts w:ascii="Arial" w:hAnsi="Arial" w:cs="Arial"/>
        </w:rPr>
        <w:t xml:space="preserve">conducted with STATISTICA 12 </w:t>
      </w:r>
      <w:r w:rsidR="0067617B" w:rsidRPr="00BF0D27">
        <w:rPr>
          <w:rFonts w:ascii="Arial" w:hAnsi="Arial" w:cs="Arial"/>
        </w:rPr>
        <w:t xml:space="preserve">whereas </w:t>
      </w:r>
      <w:r w:rsidR="00AE4D0C" w:rsidRPr="00BF0D27">
        <w:rPr>
          <w:rFonts w:ascii="Arial" w:hAnsi="Arial" w:cs="Arial"/>
        </w:rPr>
        <w:t xml:space="preserve">Bayesian analyses </w:t>
      </w:r>
      <w:r w:rsidR="0067617B" w:rsidRPr="00BF0D27">
        <w:rPr>
          <w:rFonts w:ascii="Arial" w:hAnsi="Arial" w:cs="Arial"/>
        </w:rPr>
        <w:t xml:space="preserve">were </w:t>
      </w:r>
      <w:r w:rsidR="00AE4D0C" w:rsidRPr="00BF0D27">
        <w:rPr>
          <w:rFonts w:ascii="Arial" w:hAnsi="Arial" w:cs="Arial"/>
        </w:rPr>
        <w:t xml:space="preserve">conducted with </w:t>
      </w:r>
      <w:r w:rsidR="00C27C39" w:rsidRPr="00BF0D27">
        <w:rPr>
          <w:rFonts w:ascii="Arial" w:hAnsi="Arial" w:cs="Arial"/>
        </w:rPr>
        <w:t>J</w:t>
      </w:r>
      <w:r w:rsidR="00BF0D27" w:rsidRPr="00BF0D27">
        <w:rPr>
          <w:rFonts w:ascii="Arial" w:hAnsi="Arial" w:cs="Arial"/>
        </w:rPr>
        <w:t>ASP</w:t>
      </w:r>
      <w:r w:rsidR="0067617B" w:rsidRPr="00BF0D27">
        <w:rPr>
          <w:rFonts w:ascii="Arial" w:hAnsi="Arial" w:cs="Arial"/>
        </w:rPr>
        <w:t xml:space="preserve"> </w:t>
      </w:r>
      <w:r w:rsidR="00BF0D27" w:rsidRPr="00BF0D27">
        <w:rPr>
          <w:rFonts w:ascii="Arial" w:hAnsi="Arial" w:cs="Arial"/>
        </w:rPr>
        <w:t>0.95.1</w:t>
      </w:r>
      <w:r w:rsidR="00592FD5" w:rsidRPr="00BF0D27">
        <w:rPr>
          <w:rFonts w:ascii="Arial" w:hAnsi="Arial" w:cs="Arial"/>
        </w:rPr>
        <w:t xml:space="preserve">. </w:t>
      </w:r>
    </w:p>
    <w:p w14:paraId="62EFD8E7" w14:textId="77777777" w:rsidR="00733415" w:rsidRPr="00BF0D27" w:rsidRDefault="00733415">
      <w:pPr>
        <w:ind w:firstLine="708"/>
        <w:jc w:val="both"/>
        <w:rPr>
          <w:rFonts w:ascii="Arial" w:hAnsi="Arial" w:cs="Arial"/>
        </w:rPr>
      </w:pPr>
    </w:p>
    <w:p w14:paraId="1DBC9C8D" w14:textId="3EE87CC9" w:rsidR="00022038" w:rsidRPr="00733415" w:rsidRDefault="00733415" w:rsidP="00733415">
      <w:pPr>
        <w:jc w:val="both"/>
        <w:rPr>
          <w:rFonts w:ascii="Arial" w:hAnsi="Arial" w:cs="Arial"/>
          <w:b/>
          <w:bCs/>
          <w:lang w:val="en-US"/>
        </w:rPr>
      </w:pPr>
      <w:r w:rsidRPr="00733415">
        <w:rPr>
          <w:rFonts w:ascii="Arial" w:hAnsi="Arial" w:cs="Arial"/>
          <w:b/>
          <w:bCs/>
          <w:lang w:val="en-US"/>
        </w:rPr>
        <w:t>References</w:t>
      </w:r>
    </w:p>
    <w:p w14:paraId="5B46ECEF" w14:textId="77777777" w:rsidR="00AE03F8" w:rsidRPr="00AE03F8" w:rsidRDefault="00BE6BC9" w:rsidP="00AE03F8">
      <w:pPr>
        <w:pStyle w:val="Bibliografia"/>
        <w:spacing w:after="240"/>
        <w:rPr>
          <w:rFonts w:ascii="Arial" w:hAnsi="Arial" w:cs="Arial"/>
          <w:lang w:val="it-IT"/>
        </w:rPr>
      </w:pPr>
      <w:r w:rsidRPr="00BF0D27">
        <w:rPr>
          <w:rFonts w:ascii="Arial" w:hAnsi="Arial" w:cs="Arial"/>
          <w:lang w:val="en-US"/>
        </w:rPr>
        <w:fldChar w:fldCharType="begin"/>
      </w:r>
      <w:r w:rsidR="00AE03F8">
        <w:rPr>
          <w:rFonts w:ascii="Arial" w:hAnsi="Arial" w:cs="Arial"/>
          <w:lang w:val="en-US"/>
        </w:rPr>
        <w:instrText xml:space="preserve"> ADDIN ZOTERO_BIBL {"uncited":[],"omitted":[],"custom":[]} CSL_BIBLIOGRAPHY </w:instrText>
      </w:r>
      <w:r w:rsidRPr="00BF0D27">
        <w:rPr>
          <w:rFonts w:ascii="Arial" w:hAnsi="Arial" w:cs="Arial"/>
          <w:lang w:val="en-US"/>
        </w:rPr>
        <w:fldChar w:fldCharType="separate"/>
      </w:r>
      <w:r w:rsidR="00AE03F8" w:rsidRPr="00AE03F8">
        <w:rPr>
          <w:rFonts w:ascii="Arial" w:hAnsi="Arial" w:cs="Arial"/>
        </w:rPr>
        <w:t xml:space="preserve">Avenanti A, Annela L, Serino A. Suppression of premotor cortex disrupts motor coding of peripersonal space. </w:t>
      </w:r>
      <w:r w:rsidR="00AE03F8" w:rsidRPr="00AE03F8">
        <w:rPr>
          <w:rFonts w:ascii="Arial" w:hAnsi="Arial" w:cs="Arial"/>
          <w:lang w:val="it-IT"/>
        </w:rPr>
        <w:t>NeuroImage 2012;63:281–8. https://doi.org/10.1016/j.neuroimage.2012.06.063.</w:t>
      </w:r>
    </w:p>
    <w:p w14:paraId="4AFC7EB7" w14:textId="77777777" w:rsidR="00AE03F8" w:rsidRPr="00AE03F8" w:rsidRDefault="00AE03F8" w:rsidP="00AE03F8">
      <w:pPr>
        <w:pStyle w:val="Bibliografia"/>
        <w:spacing w:after="240"/>
        <w:rPr>
          <w:rFonts w:ascii="Arial" w:hAnsi="Arial" w:cs="Arial"/>
          <w:lang w:val="it-IT"/>
        </w:rPr>
      </w:pPr>
      <w:r w:rsidRPr="00AE03F8">
        <w:rPr>
          <w:rFonts w:ascii="Arial" w:hAnsi="Arial" w:cs="Arial"/>
          <w:lang w:val="it-IT"/>
        </w:rPr>
        <w:t xml:space="preserve">Avenanti A, Paracampo R, Annella L, Tidoni E, Aglioti SM. </w:t>
      </w:r>
      <w:r w:rsidRPr="00AE03F8">
        <w:rPr>
          <w:rFonts w:ascii="Arial" w:hAnsi="Arial" w:cs="Arial"/>
        </w:rPr>
        <w:t xml:space="preserve">Boosting and Decreasing Action Prediction Abilities Through Excitatory and Inhibitory tDCS of Inferior Frontal Cortex. </w:t>
      </w:r>
      <w:r w:rsidRPr="00AE03F8">
        <w:rPr>
          <w:rFonts w:ascii="Arial" w:hAnsi="Arial" w:cs="Arial"/>
          <w:lang w:val="it-IT"/>
        </w:rPr>
        <w:t>Cerebral Cortex 2018;28:1282–96. https://doi.org/10.1093/cercor/bhx041.</w:t>
      </w:r>
    </w:p>
    <w:p w14:paraId="53960FEA" w14:textId="77777777" w:rsidR="00AE03F8" w:rsidRPr="00AE03F8" w:rsidRDefault="00AE03F8" w:rsidP="00AE03F8">
      <w:pPr>
        <w:pStyle w:val="Bibliografia"/>
        <w:spacing w:after="240"/>
        <w:rPr>
          <w:rFonts w:ascii="Arial" w:hAnsi="Arial" w:cs="Arial"/>
        </w:rPr>
      </w:pPr>
      <w:r w:rsidRPr="00AE03F8">
        <w:rPr>
          <w:rFonts w:ascii="Arial" w:hAnsi="Arial" w:cs="Arial"/>
          <w:lang w:val="it-IT"/>
        </w:rPr>
        <w:t xml:space="preserve">Bevacqua N, Turrini S, Fiori F, Saracini C, Lucero B, Candidi M, et al. </w:t>
      </w:r>
      <w:r w:rsidRPr="00AE03F8">
        <w:rPr>
          <w:rFonts w:ascii="Arial" w:hAnsi="Arial" w:cs="Arial"/>
        </w:rPr>
        <w:t xml:space="preserve">Cortico-cortical paired associative stimulation highlights asymmetrical communication between rostral premotor cortices </w:t>
      </w:r>
      <w:r w:rsidRPr="00AE03F8">
        <w:rPr>
          <w:rFonts w:ascii="Arial" w:hAnsi="Arial" w:cs="Arial"/>
        </w:rPr>
        <w:lastRenderedPageBreak/>
        <w:t>and primary motor cortex. Brain Stimulation 2024;17:89–91. https://doi.org/10.1016/j.brs.2024.01.001.</w:t>
      </w:r>
    </w:p>
    <w:p w14:paraId="3EED7141" w14:textId="77777777" w:rsidR="00AE03F8" w:rsidRPr="00AE03F8" w:rsidRDefault="00AE03F8" w:rsidP="00AE03F8">
      <w:pPr>
        <w:pStyle w:val="Bibliografia"/>
        <w:spacing w:after="240"/>
        <w:rPr>
          <w:rFonts w:ascii="Arial" w:hAnsi="Arial" w:cs="Arial"/>
        </w:rPr>
      </w:pPr>
      <w:r w:rsidRPr="00AE03F8">
        <w:rPr>
          <w:rFonts w:ascii="Arial" w:hAnsi="Arial" w:cs="Arial"/>
        </w:rPr>
        <w:t>Buch ER, Johnen VM, Nelissen N, O’Shea J, Rushworth MFS. Noninvasive Associative Plasticity Induction in a Corticocortical Pathway of the Human Brain. J Neurosci 2011;31:17669–79. https://doi.org/10.1523/JNEUROSCI.1513-11.2011.</w:t>
      </w:r>
    </w:p>
    <w:p w14:paraId="361E9E02" w14:textId="77777777" w:rsidR="00AE03F8" w:rsidRPr="00AE03F8" w:rsidRDefault="00AE03F8" w:rsidP="00AE03F8">
      <w:pPr>
        <w:pStyle w:val="Bibliografia"/>
        <w:spacing w:after="240"/>
        <w:rPr>
          <w:rFonts w:ascii="Arial" w:hAnsi="Arial" w:cs="Arial"/>
          <w:lang w:val="it-IT"/>
        </w:rPr>
      </w:pPr>
      <w:r w:rsidRPr="00AE03F8">
        <w:rPr>
          <w:rFonts w:ascii="Arial" w:hAnsi="Arial" w:cs="Arial"/>
        </w:rPr>
        <w:t xml:space="preserve">Cattaneo L, Barchiesi G. Transcranial Magnetic Mapping of the Short-Latency Modulations of Corticospinal Activity from the Ipsilateral Hemisphere during Rest. </w:t>
      </w:r>
      <w:r w:rsidRPr="00AE03F8">
        <w:rPr>
          <w:rFonts w:ascii="Arial" w:hAnsi="Arial" w:cs="Arial"/>
          <w:lang w:val="it-IT"/>
        </w:rPr>
        <w:t>Front Neural Circuits 2011;5. https://doi.org/10.3389/fncir.2011.00014.</w:t>
      </w:r>
    </w:p>
    <w:p w14:paraId="4FA092EF" w14:textId="77777777" w:rsidR="00AE03F8" w:rsidRPr="00AE03F8" w:rsidRDefault="00AE03F8" w:rsidP="00AE03F8">
      <w:pPr>
        <w:pStyle w:val="Bibliografia"/>
        <w:spacing w:after="240"/>
        <w:rPr>
          <w:rFonts w:ascii="Arial" w:hAnsi="Arial" w:cs="Arial"/>
        </w:rPr>
      </w:pPr>
      <w:r w:rsidRPr="00AE03F8">
        <w:rPr>
          <w:rFonts w:ascii="Arial" w:hAnsi="Arial" w:cs="Arial"/>
          <w:lang w:val="it-IT"/>
        </w:rPr>
        <w:t xml:space="preserve">Chiappini E, Turrini S, Fiori F, Benassi M, Tessari A, di Pellegrino G, et al. </w:t>
      </w:r>
      <w:r w:rsidRPr="00AE03F8">
        <w:rPr>
          <w:rFonts w:ascii="Arial" w:hAnsi="Arial" w:cs="Arial"/>
        </w:rPr>
        <w:t>You Are as Old as the Connectivity You Keep: Distinct Neurophysiological Mechanisms Underlying Age-Related Changes in Hand Dexterity and Strength. Archives of Medical Research 2025;56:103031. https://doi.org/10.1016/j.arcmed.2024.103031.</w:t>
      </w:r>
    </w:p>
    <w:p w14:paraId="5E31BD5A" w14:textId="77777777" w:rsidR="00AE03F8" w:rsidRPr="00AE03F8" w:rsidRDefault="00AE03F8" w:rsidP="00AE03F8">
      <w:pPr>
        <w:pStyle w:val="Bibliografia"/>
        <w:spacing w:after="240"/>
        <w:rPr>
          <w:rFonts w:ascii="Arial" w:hAnsi="Arial" w:cs="Arial"/>
        </w:rPr>
      </w:pPr>
      <w:r w:rsidRPr="00AE03F8">
        <w:rPr>
          <w:rFonts w:ascii="Arial" w:hAnsi="Arial" w:cs="Arial"/>
        </w:rPr>
        <w:t>Cohen J. Statistical Power Analysis for the Behavioral Sciences. 2nd ed. New York: Routledge; 2013. https://doi.org/10.4324/9780203771587.</w:t>
      </w:r>
    </w:p>
    <w:p w14:paraId="353A206E" w14:textId="77777777" w:rsidR="00AE03F8" w:rsidRPr="00AE03F8" w:rsidRDefault="00AE03F8" w:rsidP="00AE03F8">
      <w:pPr>
        <w:pStyle w:val="Bibliografia"/>
        <w:spacing w:after="240"/>
        <w:rPr>
          <w:rFonts w:ascii="Arial" w:hAnsi="Arial" w:cs="Arial"/>
        </w:rPr>
      </w:pPr>
      <w:r w:rsidRPr="00AE03F8">
        <w:rPr>
          <w:rFonts w:ascii="Arial" w:hAnsi="Arial" w:cs="Arial"/>
        </w:rPr>
        <w:t>Dafotakis M, Sparing R, Eickhoff SB, Fink GR, Nowak DA. On the role of the ventral premotor cortex and anterior intraparietal area for predictive and reactive scaling of grip force. Brain Research 2008;1228:73–80. https://doi.org/10.1016/j.brainres.2008.06.027.</w:t>
      </w:r>
    </w:p>
    <w:p w14:paraId="11FAE3AC" w14:textId="77777777" w:rsidR="00AE03F8" w:rsidRPr="00AE03F8" w:rsidRDefault="00AE03F8" w:rsidP="00AE03F8">
      <w:pPr>
        <w:pStyle w:val="Bibliografia"/>
        <w:spacing w:after="240"/>
        <w:rPr>
          <w:rFonts w:ascii="Arial" w:hAnsi="Arial" w:cs="Arial"/>
        </w:rPr>
      </w:pPr>
      <w:r w:rsidRPr="00AE03F8">
        <w:rPr>
          <w:rFonts w:ascii="Arial" w:hAnsi="Arial" w:cs="Arial"/>
        </w:rPr>
        <w:t>Davare M, Andres M, Cosnard G, Thonnard J-L, Olivier E. Dissociating the Role of Ventral and Dorsal Premotor Cortex in Precision Grasping. J Neurosci 2006;26:2260–8. https://doi.org/10.1523/JNEUROSCI.3386-05.2006.</w:t>
      </w:r>
    </w:p>
    <w:p w14:paraId="60FCEA71" w14:textId="77777777" w:rsidR="00AE03F8" w:rsidRPr="00AE03F8" w:rsidRDefault="00AE03F8" w:rsidP="00AE03F8">
      <w:pPr>
        <w:pStyle w:val="Bibliografia"/>
        <w:spacing w:after="240"/>
        <w:rPr>
          <w:rFonts w:ascii="Arial" w:hAnsi="Arial" w:cs="Arial"/>
        </w:rPr>
      </w:pPr>
      <w:r w:rsidRPr="00AE03F8">
        <w:rPr>
          <w:rFonts w:ascii="Arial" w:hAnsi="Arial" w:cs="Arial"/>
        </w:rPr>
        <w:t>Fiori F, Chiappini E, Avenanti A. Enhanced action performance following TMS manipulation of associative plasticity in ventral premotor-motor pathway. NeuroImage 2018;183:847–58. https://doi.org/10.1016/j.neuroimage.2018.09.002.</w:t>
      </w:r>
    </w:p>
    <w:p w14:paraId="61BACA4A" w14:textId="77777777" w:rsidR="00AE03F8" w:rsidRPr="00AE03F8" w:rsidRDefault="00AE03F8" w:rsidP="00AE03F8">
      <w:pPr>
        <w:pStyle w:val="Bibliografia"/>
        <w:spacing w:after="240"/>
        <w:rPr>
          <w:rFonts w:ascii="Arial" w:hAnsi="Arial" w:cs="Arial"/>
        </w:rPr>
      </w:pPr>
      <w:r w:rsidRPr="00AE03F8">
        <w:rPr>
          <w:rFonts w:ascii="Arial" w:hAnsi="Arial" w:cs="Arial"/>
        </w:rPr>
        <w:t>de Goede AA, van Putten MJAM. Infraslow activity as a potential modulator of corticomotor excitability. J Neurophysiol 2019;122:325–35. https://doi.org/10.1152/jn.00663.2018.</w:t>
      </w:r>
    </w:p>
    <w:p w14:paraId="55EF5F89" w14:textId="77777777" w:rsidR="00AE03F8" w:rsidRPr="00AE03F8" w:rsidRDefault="00AE03F8" w:rsidP="00AE03F8">
      <w:pPr>
        <w:pStyle w:val="Bibliografia"/>
        <w:spacing w:after="240"/>
        <w:rPr>
          <w:rFonts w:ascii="Arial" w:hAnsi="Arial" w:cs="Arial"/>
        </w:rPr>
      </w:pPr>
      <w:r w:rsidRPr="00AE03F8">
        <w:rPr>
          <w:rFonts w:ascii="Arial" w:hAnsi="Arial" w:cs="Arial"/>
        </w:rPr>
        <w:t>Goetz SM, Howell B, Wang B, Li Z, Sommer MA, Peterchev AV, et al. Isolating two sources of variability of subcortical stimulation to quantify fluctuations of corticospinal tract excitability. Clinical Neurophysiology 2022;138:134–42. https://doi.org/10.1016/j.clinph.2022.02.009.</w:t>
      </w:r>
    </w:p>
    <w:p w14:paraId="5B30DEC3" w14:textId="77777777" w:rsidR="00AE03F8" w:rsidRPr="00AE03F8" w:rsidRDefault="00AE03F8" w:rsidP="00AE03F8">
      <w:pPr>
        <w:pStyle w:val="Bibliografia"/>
        <w:spacing w:after="240"/>
        <w:rPr>
          <w:rFonts w:ascii="Arial" w:hAnsi="Arial" w:cs="Arial"/>
        </w:rPr>
      </w:pPr>
      <w:r w:rsidRPr="00AE03F8">
        <w:rPr>
          <w:rFonts w:ascii="Arial" w:hAnsi="Arial" w:cs="Arial"/>
        </w:rPr>
        <w:t>Johnen VM, Neubert F-X, Buch ER, Verhagen L, O’Reilly JX, Mars RB, et al. Causal manipulation of functional connectivity in a specific neural pathway during behaviour and at rest. eLife 2015;4:e04585. https://doi.org/10.7554/eLife.04585.</w:t>
      </w:r>
    </w:p>
    <w:p w14:paraId="7CDED06E" w14:textId="77777777" w:rsidR="00AE03F8" w:rsidRPr="00AE03F8" w:rsidRDefault="00AE03F8" w:rsidP="00AE03F8">
      <w:pPr>
        <w:pStyle w:val="Bibliografia"/>
        <w:spacing w:after="240"/>
        <w:rPr>
          <w:rFonts w:ascii="Arial" w:hAnsi="Arial" w:cs="Arial"/>
        </w:rPr>
      </w:pPr>
      <w:r w:rsidRPr="00AE03F8">
        <w:rPr>
          <w:rFonts w:ascii="Arial" w:hAnsi="Arial" w:cs="Arial"/>
        </w:rPr>
        <w:t>Kammer T, Beck S, Thielscher A, Laubis-Herrmann U, Topka H. Motor thresholds in humans: a transcranial magnetic stimulation study comparing different pulse waveforms, current directions and stimulator types. Clinical Neurophysiology 2001;112:250–8. https://doi.org/10.1016/S1388-2457(00)00513-7.</w:t>
      </w:r>
    </w:p>
    <w:p w14:paraId="0AEEF3E4" w14:textId="77777777" w:rsidR="00AE03F8" w:rsidRPr="00AE03F8" w:rsidRDefault="00AE03F8" w:rsidP="00AE03F8">
      <w:pPr>
        <w:pStyle w:val="Bibliografia"/>
        <w:spacing w:after="240"/>
        <w:rPr>
          <w:rFonts w:ascii="Arial" w:hAnsi="Arial" w:cs="Arial"/>
        </w:rPr>
      </w:pPr>
      <w:r w:rsidRPr="00AE03F8">
        <w:rPr>
          <w:rFonts w:ascii="Arial" w:hAnsi="Arial" w:cs="Arial"/>
        </w:rPr>
        <w:t>Kruschke JK. Bayesian Analysis Reporting Guidelines. Nat Hum Behav 2021;5:1282–91. https://doi.org/10.1038/s41562-021-01177-7.</w:t>
      </w:r>
    </w:p>
    <w:p w14:paraId="0C0F22E9" w14:textId="77777777" w:rsidR="00AE03F8" w:rsidRPr="00AE03F8" w:rsidRDefault="00AE03F8" w:rsidP="00AE03F8">
      <w:pPr>
        <w:pStyle w:val="Bibliografia"/>
        <w:spacing w:after="240"/>
        <w:rPr>
          <w:rFonts w:ascii="Arial" w:hAnsi="Arial" w:cs="Arial"/>
        </w:rPr>
      </w:pPr>
      <w:r w:rsidRPr="00AE03F8">
        <w:rPr>
          <w:rFonts w:ascii="Arial" w:hAnsi="Arial" w:cs="Arial"/>
        </w:rPr>
        <w:t>Noreika V, Kamke MR, Canales-Johnson A, Chennu S, Bekinschtein TA, Mattingley JB. Alertness fluctuations when performing a task modulate cortical evoked responses to transcranial magnetic stimulation. NeuroImage 2020;223:117305. https://doi.org/10.1016/j.neuroimage.2020.117305.</w:t>
      </w:r>
    </w:p>
    <w:p w14:paraId="3BBAF726" w14:textId="77777777" w:rsidR="00AE03F8" w:rsidRPr="00AE03F8" w:rsidRDefault="00AE03F8" w:rsidP="00AE03F8">
      <w:pPr>
        <w:pStyle w:val="Bibliografia"/>
        <w:spacing w:after="240"/>
        <w:rPr>
          <w:rFonts w:ascii="Arial" w:hAnsi="Arial" w:cs="Arial"/>
        </w:rPr>
      </w:pPr>
      <w:r w:rsidRPr="00AE03F8">
        <w:rPr>
          <w:rFonts w:ascii="Arial" w:hAnsi="Arial" w:cs="Arial"/>
        </w:rPr>
        <w:t>Oldfield RC. The assessment and analysis of handedness: The Edinburgh inventory. Neuropsychologia 1971;9:97–113. https://doi.org/10.1016/0028-3932(71)90067-4.</w:t>
      </w:r>
    </w:p>
    <w:p w14:paraId="0EA8309E" w14:textId="77777777" w:rsidR="00AE03F8" w:rsidRPr="00AE03F8" w:rsidRDefault="00AE03F8" w:rsidP="00AE03F8">
      <w:pPr>
        <w:pStyle w:val="Bibliografia"/>
        <w:spacing w:after="240"/>
        <w:rPr>
          <w:rFonts w:ascii="Arial" w:hAnsi="Arial" w:cs="Arial"/>
        </w:rPr>
      </w:pPr>
      <w:r w:rsidRPr="00AE03F8">
        <w:rPr>
          <w:rFonts w:ascii="Arial" w:hAnsi="Arial" w:cs="Arial"/>
        </w:rPr>
        <w:lastRenderedPageBreak/>
        <w:t>Parmigiani S, Barchiesi G, Cattaneo L. The dorsal premotor cortex exerts a powerful and specific inhibitory effect on the ipsilateral corticofacial system: a dual-coil transcranial magnetic stimulation study. Exp Brain Res 2015;233:3253–60. https://doi.org/10.1007/s00221-015-4393-7.</w:t>
      </w:r>
    </w:p>
    <w:p w14:paraId="655DDFA2" w14:textId="77777777" w:rsidR="00AE03F8" w:rsidRPr="00AE03F8" w:rsidRDefault="00AE03F8" w:rsidP="00AE03F8">
      <w:pPr>
        <w:pStyle w:val="Bibliografia"/>
        <w:spacing w:after="240"/>
        <w:rPr>
          <w:rFonts w:ascii="Arial" w:hAnsi="Arial" w:cs="Arial"/>
        </w:rPr>
      </w:pPr>
      <w:r w:rsidRPr="00AE03F8">
        <w:rPr>
          <w:rFonts w:ascii="Arial" w:hAnsi="Arial" w:cs="Arial"/>
        </w:rPr>
        <w:t>Parmigiani S, Zattera B, Barchiesi G, Cattaneo L. Spatial and Temporal Characteristics of Set-Related Inhibitory and Excitatory Inputs from the Dorsal Premotor Cortex to the Ipsilateral Motor Cortex Assessed by Dual-Coil Transcranial Magnetic Stimulation. Brain Topogr 2018;31:795–810. https://doi.org/10.1007/s10548-018-0635-x.</w:t>
      </w:r>
    </w:p>
    <w:p w14:paraId="5D593991" w14:textId="77777777" w:rsidR="00AE03F8" w:rsidRPr="00AE03F8" w:rsidRDefault="00AE03F8" w:rsidP="00AE03F8">
      <w:pPr>
        <w:pStyle w:val="Bibliografia"/>
        <w:spacing w:after="240"/>
        <w:rPr>
          <w:rFonts w:ascii="Arial" w:hAnsi="Arial" w:cs="Arial"/>
        </w:rPr>
      </w:pPr>
      <w:r w:rsidRPr="00AE03F8">
        <w:rPr>
          <w:rFonts w:ascii="Arial" w:hAnsi="Arial" w:cs="Arial"/>
        </w:rPr>
        <w:t>Rossi S, Antal A, Bestmann S, Bikson M, Brewer C, Brockmöller J, et al. Safety and recommendations for TMS use in healthy subjects and patient populations, with updates on training, ethical and regulatory issues: Expert Guidelines. Clinical Neurophysiology 2021;132:269–306. https://doi.org/10.1016/j.clinph.2020.10.003.</w:t>
      </w:r>
    </w:p>
    <w:p w14:paraId="43026936" w14:textId="77777777" w:rsidR="00AE03F8" w:rsidRPr="00AE03F8" w:rsidRDefault="00AE03F8" w:rsidP="00AE03F8">
      <w:pPr>
        <w:pStyle w:val="Bibliografia"/>
        <w:spacing w:after="240"/>
        <w:rPr>
          <w:rFonts w:ascii="Arial" w:hAnsi="Arial" w:cs="Arial"/>
        </w:rPr>
      </w:pPr>
      <w:r w:rsidRPr="00AE03F8">
        <w:rPr>
          <w:rFonts w:ascii="Arial" w:hAnsi="Arial" w:cs="Arial"/>
        </w:rPr>
        <w:t>Rossini PM, Burke D, Chen R, Cohen LG, Daskalakis Z, Di Iorio R, et al. Non-invasive electrical and magnetic stimulation of the brain, spinal cord, roots and peripheral nerves: Basic principles and procedures for routine clinical and research application: An updated report from an I.F.C.N. Committee. Clinical Neurophysiology 2015;126:1071–107. https://doi.org/10.1016/j.clinph.2015.02.001.</w:t>
      </w:r>
    </w:p>
    <w:p w14:paraId="4E8B07EB" w14:textId="77777777" w:rsidR="00AE03F8" w:rsidRPr="00AE03F8" w:rsidRDefault="00AE03F8" w:rsidP="00AE03F8">
      <w:pPr>
        <w:pStyle w:val="Bibliografia"/>
        <w:spacing w:after="240"/>
        <w:rPr>
          <w:rFonts w:ascii="Arial" w:hAnsi="Arial" w:cs="Arial"/>
          <w:lang w:val="it-IT"/>
        </w:rPr>
      </w:pPr>
      <w:r w:rsidRPr="00AE03F8">
        <w:rPr>
          <w:rFonts w:ascii="Arial" w:hAnsi="Arial" w:cs="Arial"/>
        </w:rPr>
        <w:t xml:space="preserve">Schmidt S, Bathe-Peters R, Fleischmann R, Rönnefarth M, Scholz M, Brandt SA. Nonphysiological factors in navigated TMS studies; Confounding covariates and valid intracortical estimates. </w:t>
      </w:r>
      <w:r w:rsidRPr="00AE03F8">
        <w:rPr>
          <w:rFonts w:ascii="Arial" w:hAnsi="Arial" w:cs="Arial"/>
          <w:lang w:val="it-IT"/>
        </w:rPr>
        <w:t>Human Brain Mapping 2015;36:40–9. https://doi.org/10.1002/hbm.22611.</w:t>
      </w:r>
    </w:p>
    <w:p w14:paraId="46BBB144" w14:textId="77777777" w:rsidR="00AE03F8" w:rsidRPr="00AE03F8" w:rsidRDefault="00AE03F8" w:rsidP="00AE03F8">
      <w:pPr>
        <w:pStyle w:val="Bibliografia"/>
        <w:spacing w:after="240"/>
        <w:rPr>
          <w:rFonts w:ascii="Arial" w:hAnsi="Arial" w:cs="Arial"/>
        </w:rPr>
      </w:pPr>
      <w:r w:rsidRPr="00AE03F8">
        <w:rPr>
          <w:rFonts w:ascii="Arial" w:hAnsi="Arial" w:cs="Arial"/>
          <w:lang w:val="it-IT"/>
        </w:rPr>
        <w:t xml:space="preserve">Turrini S, Bevacqua N, Cataneo A, Chiappini E, Fiori F, Candidi M, et al. </w:t>
      </w:r>
      <w:r w:rsidRPr="00AE03F8">
        <w:rPr>
          <w:rFonts w:ascii="Arial" w:hAnsi="Arial" w:cs="Arial"/>
        </w:rPr>
        <w:t>Transcranial cortico-cortical paired associative stimulation (ccPAS) over ventral premotor-motor pathways enhances action performance and corticomotor excitability in young adults more than in elderly adults. Front Aging Neurosci 2023a;15. https://doi.org/10.3389/fnagi.2023.1119508.</w:t>
      </w:r>
    </w:p>
    <w:p w14:paraId="298C50F3" w14:textId="77777777" w:rsidR="00AE03F8" w:rsidRPr="00AE03F8" w:rsidRDefault="00AE03F8" w:rsidP="00AE03F8">
      <w:pPr>
        <w:pStyle w:val="Bibliografia"/>
        <w:spacing w:after="240"/>
        <w:rPr>
          <w:rFonts w:ascii="Arial" w:hAnsi="Arial" w:cs="Arial"/>
        </w:rPr>
      </w:pPr>
      <w:r w:rsidRPr="00AE03F8">
        <w:rPr>
          <w:rFonts w:ascii="Arial" w:hAnsi="Arial" w:cs="Arial"/>
        </w:rPr>
        <w:t>Turrini S, Fiori F, Chiappini E, Lucero B, Santarnecchi E, Avenanti A. Cortico-cortical paired associative stimulation (ccPAS) over premotor-motor areas affects local circuitries in the human motor cortex via Hebbian plasticity. NeuroImage 2023b;271:120027. https://doi.org/10.1016/j.neuroimage.2023.120027.</w:t>
      </w:r>
    </w:p>
    <w:p w14:paraId="070A4C8D" w14:textId="77777777" w:rsidR="00AE03F8" w:rsidRPr="00AE03F8" w:rsidRDefault="00AE03F8" w:rsidP="00AE03F8">
      <w:pPr>
        <w:pStyle w:val="Bibliografia"/>
        <w:spacing w:after="240"/>
        <w:rPr>
          <w:rFonts w:ascii="Arial" w:hAnsi="Arial" w:cs="Arial"/>
        </w:rPr>
      </w:pPr>
      <w:r w:rsidRPr="00AE03F8">
        <w:rPr>
          <w:rFonts w:ascii="Arial" w:hAnsi="Arial" w:cs="Arial"/>
        </w:rPr>
        <w:t>Turrini S, Fiori F, Chiappini E, Santarnecchi E, Romei V, Avenanti A. Gradual enhancement of corticomotor excitability during cortico-cortical paired associative stimulation. Sci Rep 2022;12:14670. https://doi.org/10.1038/s41598-022-18774-9.</w:t>
      </w:r>
    </w:p>
    <w:p w14:paraId="312781A2" w14:textId="77777777" w:rsidR="00AE03F8" w:rsidRPr="00AE03F8" w:rsidRDefault="00AE03F8" w:rsidP="00AE03F8">
      <w:pPr>
        <w:pStyle w:val="Bibliografia"/>
        <w:spacing w:after="240"/>
        <w:rPr>
          <w:rFonts w:ascii="Arial" w:hAnsi="Arial" w:cs="Arial"/>
        </w:rPr>
      </w:pPr>
      <w:r w:rsidRPr="00AE03F8">
        <w:rPr>
          <w:rFonts w:ascii="Arial" w:hAnsi="Arial" w:cs="Arial"/>
        </w:rPr>
        <w:t>Van Malderen SV, Hehl M, Verstraelen S, Swinnen SP, Cuypers K. Dual-site TMS as a tool to probe effective interactions within the motor network: a review. Reviews in the Neurosciences 2023;34:129–221. https://doi.org/10.1515/revneuro-2022-0020.</w:t>
      </w:r>
    </w:p>
    <w:p w14:paraId="53A4F778" w14:textId="77777777" w:rsidR="00AE03F8" w:rsidRPr="00AE03F8" w:rsidRDefault="00AE03F8" w:rsidP="00AE03F8">
      <w:pPr>
        <w:pStyle w:val="Bibliografia"/>
        <w:spacing w:after="240"/>
        <w:rPr>
          <w:rFonts w:ascii="Arial" w:hAnsi="Arial" w:cs="Arial"/>
        </w:rPr>
      </w:pPr>
      <w:r w:rsidRPr="00AE03F8">
        <w:rPr>
          <w:rFonts w:ascii="Arial" w:hAnsi="Arial" w:cs="Arial"/>
        </w:rPr>
        <w:t>World Medical Association. World Medical Association Declaration of Helsinki: Ethical Principles for Medical Research Involving Human Subjects. JAMA 2013;310:2191–4. https://doi.org/10.1001/jama.2013.281053.</w:t>
      </w:r>
    </w:p>
    <w:p w14:paraId="45CC8A44" w14:textId="4CE614EC" w:rsidR="00F91576" w:rsidRPr="00BF0D27" w:rsidRDefault="00BE6BC9" w:rsidP="00AE03F8">
      <w:pPr>
        <w:spacing w:after="240"/>
        <w:jc w:val="both"/>
        <w:rPr>
          <w:rFonts w:ascii="Arial" w:hAnsi="Arial" w:cs="Arial"/>
          <w:lang w:val="en-US"/>
        </w:rPr>
      </w:pPr>
      <w:r w:rsidRPr="00BF0D27">
        <w:rPr>
          <w:rFonts w:ascii="Arial" w:hAnsi="Arial" w:cs="Arial"/>
          <w:lang w:val="en-US"/>
        </w:rPr>
        <w:fldChar w:fldCharType="end"/>
      </w:r>
    </w:p>
    <w:sectPr w:rsidR="00F91576" w:rsidRPr="00BF0D27">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CB87D3" w14:textId="77777777" w:rsidR="00DA69E6" w:rsidRDefault="00DA69E6" w:rsidP="00FC1B65">
      <w:pPr>
        <w:spacing w:after="0" w:line="240" w:lineRule="auto"/>
      </w:pPr>
      <w:r>
        <w:separator/>
      </w:r>
    </w:p>
  </w:endnote>
  <w:endnote w:type="continuationSeparator" w:id="0">
    <w:p w14:paraId="348EC811" w14:textId="77777777" w:rsidR="00DA69E6" w:rsidRDefault="00DA69E6" w:rsidP="00FC1B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A8160" w14:textId="77777777" w:rsidR="00FC1B65" w:rsidRDefault="00FC1B6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5314466"/>
      <w:docPartObj>
        <w:docPartGallery w:val="Page Numbers (Bottom of Page)"/>
        <w:docPartUnique/>
      </w:docPartObj>
    </w:sdtPr>
    <w:sdtContent>
      <w:p w14:paraId="7E73EFE5" w14:textId="34C7873C" w:rsidR="00FC1B65" w:rsidRDefault="00FC1B65">
        <w:pPr>
          <w:pStyle w:val="Pidipagina"/>
          <w:jc w:val="right"/>
        </w:pPr>
        <w:r>
          <w:fldChar w:fldCharType="begin"/>
        </w:r>
        <w:r>
          <w:instrText>PAGE   \* MERGEFORMAT</w:instrText>
        </w:r>
        <w:r>
          <w:fldChar w:fldCharType="separate"/>
        </w:r>
        <w:r>
          <w:rPr>
            <w:lang w:val="it-IT"/>
          </w:rPr>
          <w:t>2</w:t>
        </w:r>
        <w:r>
          <w:fldChar w:fldCharType="end"/>
        </w:r>
      </w:p>
    </w:sdtContent>
  </w:sdt>
  <w:p w14:paraId="7744B58D" w14:textId="77777777" w:rsidR="00FC1B65" w:rsidRDefault="00FC1B65">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70C59" w14:textId="77777777" w:rsidR="00FC1B65" w:rsidRDefault="00FC1B6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9FCCD" w14:textId="77777777" w:rsidR="00DA69E6" w:rsidRDefault="00DA69E6" w:rsidP="00FC1B65">
      <w:pPr>
        <w:spacing w:after="0" w:line="240" w:lineRule="auto"/>
      </w:pPr>
      <w:r>
        <w:separator/>
      </w:r>
    </w:p>
  </w:footnote>
  <w:footnote w:type="continuationSeparator" w:id="0">
    <w:p w14:paraId="75DDD1C2" w14:textId="77777777" w:rsidR="00DA69E6" w:rsidRDefault="00DA69E6" w:rsidP="00FC1B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9669C5" w14:textId="77777777" w:rsidR="00FC1B65" w:rsidRDefault="00FC1B6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8C3A3C" w14:textId="77777777" w:rsidR="00FC1B65" w:rsidRDefault="00FC1B65">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85E50" w14:textId="77777777" w:rsidR="00FC1B65" w:rsidRDefault="00FC1B6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7673CC"/>
    <w:multiLevelType w:val="hybridMultilevel"/>
    <w:tmpl w:val="423EAF34"/>
    <w:lvl w:ilvl="0" w:tplc="E84A1C9E">
      <w:start w:val="1"/>
      <w:numFmt w:val="bullet"/>
      <w:lvlText w:val=""/>
      <w:lvlJc w:val="left"/>
      <w:pPr>
        <w:ind w:left="720" w:hanging="360"/>
      </w:pPr>
      <w:rPr>
        <w:rFonts w:ascii="Symbol" w:hAnsi="Symbol"/>
      </w:rPr>
    </w:lvl>
    <w:lvl w:ilvl="1" w:tplc="44FC0646">
      <w:start w:val="1"/>
      <w:numFmt w:val="bullet"/>
      <w:lvlText w:val=""/>
      <w:lvlJc w:val="left"/>
      <w:pPr>
        <w:ind w:left="720" w:hanging="360"/>
      </w:pPr>
      <w:rPr>
        <w:rFonts w:ascii="Symbol" w:hAnsi="Symbol"/>
      </w:rPr>
    </w:lvl>
    <w:lvl w:ilvl="2" w:tplc="17A20472">
      <w:start w:val="1"/>
      <w:numFmt w:val="bullet"/>
      <w:lvlText w:val=""/>
      <w:lvlJc w:val="left"/>
      <w:pPr>
        <w:ind w:left="720" w:hanging="360"/>
      </w:pPr>
      <w:rPr>
        <w:rFonts w:ascii="Symbol" w:hAnsi="Symbol"/>
      </w:rPr>
    </w:lvl>
    <w:lvl w:ilvl="3" w:tplc="C6C06640">
      <w:start w:val="1"/>
      <w:numFmt w:val="bullet"/>
      <w:lvlText w:val=""/>
      <w:lvlJc w:val="left"/>
      <w:pPr>
        <w:ind w:left="720" w:hanging="360"/>
      </w:pPr>
      <w:rPr>
        <w:rFonts w:ascii="Symbol" w:hAnsi="Symbol"/>
      </w:rPr>
    </w:lvl>
    <w:lvl w:ilvl="4" w:tplc="0630D26E">
      <w:start w:val="1"/>
      <w:numFmt w:val="bullet"/>
      <w:lvlText w:val=""/>
      <w:lvlJc w:val="left"/>
      <w:pPr>
        <w:ind w:left="720" w:hanging="360"/>
      </w:pPr>
      <w:rPr>
        <w:rFonts w:ascii="Symbol" w:hAnsi="Symbol"/>
      </w:rPr>
    </w:lvl>
    <w:lvl w:ilvl="5" w:tplc="6E0ADCEE">
      <w:start w:val="1"/>
      <w:numFmt w:val="bullet"/>
      <w:lvlText w:val=""/>
      <w:lvlJc w:val="left"/>
      <w:pPr>
        <w:ind w:left="720" w:hanging="360"/>
      </w:pPr>
      <w:rPr>
        <w:rFonts w:ascii="Symbol" w:hAnsi="Symbol"/>
      </w:rPr>
    </w:lvl>
    <w:lvl w:ilvl="6" w:tplc="4D16A1C4">
      <w:start w:val="1"/>
      <w:numFmt w:val="bullet"/>
      <w:lvlText w:val=""/>
      <w:lvlJc w:val="left"/>
      <w:pPr>
        <w:ind w:left="720" w:hanging="360"/>
      </w:pPr>
      <w:rPr>
        <w:rFonts w:ascii="Symbol" w:hAnsi="Symbol"/>
      </w:rPr>
    </w:lvl>
    <w:lvl w:ilvl="7" w:tplc="56E85684">
      <w:start w:val="1"/>
      <w:numFmt w:val="bullet"/>
      <w:lvlText w:val=""/>
      <w:lvlJc w:val="left"/>
      <w:pPr>
        <w:ind w:left="720" w:hanging="360"/>
      </w:pPr>
      <w:rPr>
        <w:rFonts w:ascii="Symbol" w:hAnsi="Symbol"/>
      </w:rPr>
    </w:lvl>
    <w:lvl w:ilvl="8" w:tplc="69B4AE66">
      <w:start w:val="1"/>
      <w:numFmt w:val="bullet"/>
      <w:lvlText w:val=""/>
      <w:lvlJc w:val="left"/>
      <w:pPr>
        <w:ind w:left="720" w:hanging="360"/>
      </w:pPr>
      <w:rPr>
        <w:rFonts w:ascii="Symbol" w:hAnsi="Symbol"/>
      </w:rPr>
    </w:lvl>
  </w:abstractNum>
  <w:abstractNum w:abstractNumId="1" w15:restartNumberingAfterBreak="0">
    <w:nsid w:val="779E365E"/>
    <w:multiLevelType w:val="hybridMultilevel"/>
    <w:tmpl w:val="C5DAB58C"/>
    <w:lvl w:ilvl="0" w:tplc="3126D752">
      <w:start w:val="1"/>
      <w:numFmt w:val="bullet"/>
      <w:lvlText w:val=""/>
      <w:lvlJc w:val="left"/>
      <w:pPr>
        <w:ind w:left="1080" w:hanging="360"/>
      </w:pPr>
      <w:rPr>
        <w:rFonts w:ascii="Symbol" w:hAnsi="Symbol"/>
      </w:rPr>
    </w:lvl>
    <w:lvl w:ilvl="1" w:tplc="20420520">
      <w:start w:val="1"/>
      <w:numFmt w:val="bullet"/>
      <w:lvlText w:val=""/>
      <w:lvlJc w:val="left"/>
      <w:pPr>
        <w:ind w:left="1080" w:hanging="360"/>
      </w:pPr>
      <w:rPr>
        <w:rFonts w:ascii="Symbol" w:hAnsi="Symbol"/>
      </w:rPr>
    </w:lvl>
    <w:lvl w:ilvl="2" w:tplc="1C487C96">
      <w:start w:val="1"/>
      <w:numFmt w:val="bullet"/>
      <w:lvlText w:val=""/>
      <w:lvlJc w:val="left"/>
      <w:pPr>
        <w:ind w:left="1080" w:hanging="360"/>
      </w:pPr>
      <w:rPr>
        <w:rFonts w:ascii="Symbol" w:hAnsi="Symbol"/>
      </w:rPr>
    </w:lvl>
    <w:lvl w:ilvl="3" w:tplc="177EAA6A">
      <w:start w:val="1"/>
      <w:numFmt w:val="bullet"/>
      <w:lvlText w:val=""/>
      <w:lvlJc w:val="left"/>
      <w:pPr>
        <w:ind w:left="1080" w:hanging="360"/>
      </w:pPr>
      <w:rPr>
        <w:rFonts w:ascii="Symbol" w:hAnsi="Symbol"/>
      </w:rPr>
    </w:lvl>
    <w:lvl w:ilvl="4" w:tplc="469E87C4">
      <w:start w:val="1"/>
      <w:numFmt w:val="bullet"/>
      <w:lvlText w:val=""/>
      <w:lvlJc w:val="left"/>
      <w:pPr>
        <w:ind w:left="1080" w:hanging="360"/>
      </w:pPr>
      <w:rPr>
        <w:rFonts w:ascii="Symbol" w:hAnsi="Symbol"/>
      </w:rPr>
    </w:lvl>
    <w:lvl w:ilvl="5" w:tplc="00BA19EA">
      <w:start w:val="1"/>
      <w:numFmt w:val="bullet"/>
      <w:lvlText w:val=""/>
      <w:lvlJc w:val="left"/>
      <w:pPr>
        <w:ind w:left="1080" w:hanging="360"/>
      </w:pPr>
      <w:rPr>
        <w:rFonts w:ascii="Symbol" w:hAnsi="Symbol"/>
      </w:rPr>
    </w:lvl>
    <w:lvl w:ilvl="6" w:tplc="9830F95C">
      <w:start w:val="1"/>
      <w:numFmt w:val="bullet"/>
      <w:lvlText w:val=""/>
      <w:lvlJc w:val="left"/>
      <w:pPr>
        <w:ind w:left="1080" w:hanging="360"/>
      </w:pPr>
      <w:rPr>
        <w:rFonts w:ascii="Symbol" w:hAnsi="Symbol"/>
      </w:rPr>
    </w:lvl>
    <w:lvl w:ilvl="7" w:tplc="C0CE5312">
      <w:start w:val="1"/>
      <w:numFmt w:val="bullet"/>
      <w:lvlText w:val=""/>
      <w:lvlJc w:val="left"/>
      <w:pPr>
        <w:ind w:left="1080" w:hanging="360"/>
      </w:pPr>
      <w:rPr>
        <w:rFonts w:ascii="Symbol" w:hAnsi="Symbol"/>
      </w:rPr>
    </w:lvl>
    <w:lvl w:ilvl="8" w:tplc="42144524">
      <w:start w:val="1"/>
      <w:numFmt w:val="bullet"/>
      <w:lvlText w:val=""/>
      <w:lvlJc w:val="left"/>
      <w:pPr>
        <w:ind w:left="1080" w:hanging="360"/>
      </w:pPr>
      <w:rPr>
        <w:rFonts w:ascii="Symbol" w:hAnsi="Symbol"/>
      </w:rPr>
    </w:lvl>
  </w:abstractNum>
  <w:num w:numId="1" w16cid:durableId="871041987">
    <w:abstractNumId w:val="0"/>
  </w:num>
  <w:num w:numId="2" w16cid:durableId="1695650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00E8B"/>
    <w:rsid w:val="00014BCE"/>
    <w:rsid w:val="00015645"/>
    <w:rsid w:val="00021E9D"/>
    <w:rsid w:val="00022038"/>
    <w:rsid w:val="00047D15"/>
    <w:rsid w:val="00050306"/>
    <w:rsid w:val="000666FE"/>
    <w:rsid w:val="00075463"/>
    <w:rsid w:val="00082B22"/>
    <w:rsid w:val="000A680C"/>
    <w:rsid w:val="000A7F9C"/>
    <w:rsid w:val="000B6EFB"/>
    <w:rsid w:val="000B72E2"/>
    <w:rsid w:val="000D527E"/>
    <w:rsid w:val="000D64D6"/>
    <w:rsid w:val="00100E8B"/>
    <w:rsid w:val="001020F9"/>
    <w:rsid w:val="0011272F"/>
    <w:rsid w:val="001176E7"/>
    <w:rsid w:val="00124C54"/>
    <w:rsid w:val="00125F55"/>
    <w:rsid w:val="00146371"/>
    <w:rsid w:val="001574B0"/>
    <w:rsid w:val="0016499E"/>
    <w:rsid w:val="001677E4"/>
    <w:rsid w:val="001710ED"/>
    <w:rsid w:val="001712CB"/>
    <w:rsid w:val="00176DE9"/>
    <w:rsid w:val="001A4AE7"/>
    <w:rsid w:val="001B318E"/>
    <w:rsid w:val="001B5774"/>
    <w:rsid w:val="001D00CA"/>
    <w:rsid w:val="001D5CED"/>
    <w:rsid w:val="001D62A3"/>
    <w:rsid w:val="001E4279"/>
    <w:rsid w:val="001E6B43"/>
    <w:rsid w:val="001F1F21"/>
    <w:rsid w:val="002051C2"/>
    <w:rsid w:val="002058EA"/>
    <w:rsid w:val="002338A4"/>
    <w:rsid w:val="002728E6"/>
    <w:rsid w:val="00273889"/>
    <w:rsid w:val="0027486B"/>
    <w:rsid w:val="00274C65"/>
    <w:rsid w:val="00294CE4"/>
    <w:rsid w:val="00296400"/>
    <w:rsid w:val="002A4A4B"/>
    <w:rsid w:val="002B11CF"/>
    <w:rsid w:val="002D0930"/>
    <w:rsid w:val="002E42FD"/>
    <w:rsid w:val="002E5022"/>
    <w:rsid w:val="002E6DEC"/>
    <w:rsid w:val="00305FE1"/>
    <w:rsid w:val="0032675F"/>
    <w:rsid w:val="003513E9"/>
    <w:rsid w:val="00353CE4"/>
    <w:rsid w:val="0036264C"/>
    <w:rsid w:val="0036540E"/>
    <w:rsid w:val="00370824"/>
    <w:rsid w:val="00380227"/>
    <w:rsid w:val="003866F2"/>
    <w:rsid w:val="003922F9"/>
    <w:rsid w:val="00397E2D"/>
    <w:rsid w:val="003B119E"/>
    <w:rsid w:val="003B2DA7"/>
    <w:rsid w:val="003D0F08"/>
    <w:rsid w:val="003D5513"/>
    <w:rsid w:val="003E5A11"/>
    <w:rsid w:val="003F326F"/>
    <w:rsid w:val="0040205E"/>
    <w:rsid w:val="00446657"/>
    <w:rsid w:val="004604D2"/>
    <w:rsid w:val="00474C67"/>
    <w:rsid w:val="0048500C"/>
    <w:rsid w:val="004E269B"/>
    <w:rsid w:val="004F7620"/>
    <w:rsid w:val="00507618"/>
    <w:rsid w:val="0051746D"/>
    <w:rsid w:val="00533973"/>
    <w:rsid w:val="00536E46"/>
    <w:rsid w:val="005519E3"/>
    <w:rsid w:val="00554347"/>
    <w:rsid w:val="00557515"/>
    <w:rsid w:val="00580B32"/>
    <w:rsid w:val="00585834"/>
    <w:rsid w:val="00592FD5"/>
    <w:rsid w:val="005A11F2"/>
    <w:rsid w:val="005A50F6"/>
    <w:rsid w:val="005A55E6"/>
    <w:rsid w:val="005E05BA"/>
    <w:rsid w:val="005F42B1"/>
    <w:rsid w:val="005F588D"/>
    <w:rsid w:val="00611701"/>
    <w:rsid w:val="00614F11"/>
    <w:rsid w:val="00623D82"/>
    <w:rsid w:val="00664B9E"/>
    <w:rsid w:val="006724A2"/>
    <w:rsid w:val="00675684"/>
    <w:rsid w:val="0067617B"/>
    <w:rsid w:val="00677DD7"/>
    <w:rsid w:val="006879E1"/>
    <w:rsid w:val="006909F2"/>
    <w:rsid w:val="006A1189"/>
    <w:rsid w:val="006B2CAF"/>
    <w:rsid w:val="006D79F0"/>
    <w:rsid w:val="006E22DE"/>
    <w:rsid w:val="006E2757"/>
    <w:rsid w:val="006F5B36"/>
    <w:rsid w:val="00700EDC"/>
    <w:rsid w:val="00712044"/>
    <w:rsid w:val="007174AD"/>
    <w:rsid w:val="00720540"/>
    <w:rsid w:val="00726323"/>
    <w:rsid w:val="0072772D"/>
    <w:rsid w:val="00733415"/>
    <w:rsid w:val="00754899"/>
    <w:rsid w:val="00760132"/>
    <w:rsid w:val="00766DB0"/>
    <w:rsid w:val="00767B10"/>
    <w:rsid w:val="00781754"/>
    <w:rsid w:val="0079292F"/>
    <w:rsid w:val="007A3A59"/>
    <w:rsid w:val="007D4E93"/>
    <w:rsid w:val="007D5600"/>
    <w:rsid w:val="007E700A"/>
    <w:rsid w:val="007E73F8"/>
    <w:rsid w:val="007F686F"/>
    <w:rsid w:val="007F6E5D"/>
    <w:rsid w:val="007F7FFE"/>
    <w:rsid w:val="00817F8D"/>
    <w:rsid w:val="008201E6"/>
    <w:rsid w:val="008232C0"/>
    <w:rsid w:val="00823337"/>
    <w:rsid w:val="00840099"/>
    <w:rsid w:val="00875754"/>
    <w:rsid w:val="008A16CC"/>
    <w:rsid w:val="008A3B8C"/>
    <w:rsid w:val="008B3E08"/>
    <w:rsid w:val="008C446F"/>
    <w:rsid w:val="008D2DD1"/>
    <w:rsid w:val="008D7582"/>
    <w:rsid w:val="008E3F5A"/>
    <w:rsid w:val="008E7CD3"/>
    <w:rsid w:val="008F4DBF"/>
    <w:rsid w:val="00922053"/>
    <w:rsid w:val="00924A5E"/>
    <w:rsid w:val="009355B6"/>
    <w:rsid w:val="00936B87"/>
    <w:rsid w:val="00944E3C"/>
    <w:rsid w:val="00947E72"/>
    <w:rsid w:val="00970E2E"/>
    <w:rsid w:val="00972F7F"/>
    <w:rsid w:val="00983095"/>
    <w:rsid w:val="00996906"/>
    <w:rsid w:val="009B11D4"/>
    <w:rsid w:val="009B57F7"/>
    <w:rsid w:val="009C2AFC"/>
    <w:rsid w:val="009E0B3D"/>
    <w:rsid w:val="009F05A2"/>
    <w:rsid w:val="00A0132D"/>
    <w:rsid w:val="00A01638"/>
    <w:rsid w:val="00A22BF4"/>
    <w:rsid w:val="00A26EF5"/>
    <w:rsid w:val="00A426A9"/>
    <w:rsid w:val="00A47823"/>
    <w:rsid w:val="00A511C5"/>
    <w:rsid w:val="00A60C4B"/>
    <w:rsid w:val="00A817EA"/>
    <w:rsid w:val="00A90623"/>
    <w:rsid w:val="00A9200C"/>
    <w:rsid w:val="00A96516"/>
    <w:rsid w:val="00AA2641"/>
    <w:rsid w:val="00AB7981"/>
    <w:rsid w:val="00AD1109"/>
    <w:rsid w:val="00AE031B"/>
    <w:rsid w:val="00AE03F8"/>
    <w:rsid w:val="00AE03FE"/>
    <w:rsid w:val="00AE4D0C"/>
    <w:rsid w:val="00AF3D2F"/>
    <w:rsid w:val="00AF4F54"/>
    <w:rsid w:val="00AF79D1"/>
    <w:rsid w:val="00B160B7"/>
    <w:rsid w:val="00B2154A"/>
    <w:rsid w:val="00B25D03"/>
    <w:rsid w:val="00B331B3"/>
    <w:rsid w:val="00B4079A"/>
    <w:rsid w:val="00B40871"/>
    <w:rsid w:val="00B424EB"/>
    <w:rsid w:val="00B523A8"/>
    <w:rsid w:val="00B66561"/>
    <w:rsid w:val="00B87219"/>
    <w:rsid w:val="00BB3635"/>
    <w:rsid w:val="00BE6BC9"/>
    <w:rsid w:val="00BF0D27"/>
    <w:rsid w:val="00C116F8"/>
    <w:rsid w:val="00C27C39"/>
    <w:rsid w:val="00C508A5"/>
    <w:rsid w:val="00C66E8A"/>
    <w:rsid w:val="00C71944"/>
    <w:rsid w:val="00C73EE7"/>
    <w:rsid w:val="00C74634"/>
    <w:rsid w:val="00C80433"/>
    <w:rsid w:val="00C85BF0"/>
    <w:rsid w:val="00C871CF"/>
    <w:rsid w:val="00C9303D"/>
    <w:rsid w:val="00CA17CA"/>
    <w:rsid w:val="00CA4354"/>
    <w:rsid w:val="00CB364B"/>
    <w:rsid w:val="00CC455E"/>
    <w:rsid w:val="00CE68BE"/>
    <w:rsid w:val="00CF36F1"/>
    <w:rsid w:val="00CF41F8"/>
    <w:rsid w:val="00CF547C"/>
    <w:rsid w:val="00D02365"/>
    <w:rsid w:val="00D12661"/>
    <w:rsid w:val="00D15DB2"/>
    <w:rsid w:val="00D1762C"/>
    <w:rsid w:val="00D32609"/>
    <w:rsid w:val="00D32987"/>
    <w:rsid w:val="00D379ED"/>
    <w:rsid w:val="00D42F6F"/>
    <w:rsid w:val="00D53A2F"/>
    <w:rsid w:val="00D54042"/>
    <w:rsid w:val="00D67C9F"/>
    <w:rsid w:val="00D94569"/>
    <w:rsid w:val="00DA0444"/>
    <w:rsid w:val="00DA69E6"/>
    <w:rsid w:val="00DC4D19"/>
    <w:rsid w:val="00DC70CC"/>
    <w:rsid w:val="00DE51F5"/>
    <w:rsid w:val="00DE69A8"/>
    <w:rsid w:val="00DF5021"/>
    <w:rsid w:val="00DF7DA0"/>
    <w:rsid w:val="00E21A76"/>
    <w:rsid w:val="00E34BE2"/>
    <w:rsid w:val="00E373EA"/>
    <w:rsid w:val="00E54941"/>
    <w:rsid w:val="00E96731"/>
    <w:rsid w:val="00EA2703"/>
    <w:rsid w:val="00EB08C9"/>
    <w:rsid w:val="00EE4AAA"/>
    <w:rsid w:val="00F0230A"/>
    <w:rsid w:val="00F176AC"/>
    <w:rsid w:val="00F35E3A"/>
    <w:rsid w:val="00F44974"/>
    <w:rsid w:val="00F47414"/>
    <w:rsid w:val="00F56046"/>
    <w:rsid w:val="00F62C0E"/>
    <w:rsid w:val="00F70BCB"/>
    <w:rsid w:val="00F74703"/>
    <w:rsid w:val="00F83687"/>
    <w:rsid w:val="00F8462C"/>
    <w:rsid w:val="00F91576"/>
    <w:rsid w:val="00FC1B65"/>
    <w:rsid w:val="00FC31D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3E2D48"/>
  <w15:chartTrackingRefBased/>
  <w15:docId w15:val="{01AB352B-A7D0-4C9D-965D-2C952A289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100E8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100E8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00E8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00E8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00E8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00E8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00E8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00E8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00E8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00E8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00E8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00E8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00E8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00E8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00E8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00E8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00E8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00E8B"/>
    <w:rPr>
      <w:rFonts w:eastAsiaTheme="majorEastAsia" w:cstheme="majorBidi"/>
      <w:color w:val="272727" w:themeColor="text1" w:themeTint="D8"/>
    </w:rPr>
  </w:style>
  <w:style w:type="paragraph" w:styleId="Titolo">
    <w:name w:val="Title"/>
    <w:basedOn w:val="Normale"/>
    <w:next w:val="Normale"/>
    <w:link w:val="TitoloCarattere"/>
    <w:uiPriority w:val="10"/>
    <w:qFormat/>
    <w:rsid w:val="00100E8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00E8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00E8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00E8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00E8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00E8B"/>
    <w:rPr>
      <w:i/>
      <w:iCs/>
      <w:color w:val="404040" w:themeColor="text1" w:themeTint="BF"/>
    </w:rPr>
  </w:style>
  <w:style w:type="paragraph" w:styleId="Paragrafoelenco">
    <w:name w:val="List Paragraph"/>
    <w:basedOn w:val="Normale"/>
    <w:uiPriority w:val="34"/>
    <w:qFormat/>
    <w:rsid w:val="00100E8B"/>
    <w:pPr>
      <w:ind w:left="720"/>
      <w:contextualSpacing/>
    </w:pPr>
  </w:style>
  <w:style w:type="character" w:styleId="Enfasiintensa">
    <w:name w:val="Intense Emphasis"/>
    <w:basedOn w:val="Carpredefinitoparagrafo"/>
    <w:uiPriority w:val="21"/>
    <w:qFormat/>
    <w:rsid w:val="00100E8B"/>
    <w:rPr>
      <w:i/>
      <w:iCs/>
      <w:color w:val="0F4761" w:themeColor="accent1" w:themeShade="BF"/>
    </w:rPr>
  </w:style>
  <w:style w:type="paragraph" w:styleId="Citazioneintensa">
    <w:name w:val="Intense Quote"/>
    <w:basedOn w:val="Normale"/>
    <w:next w:val="Normale"/>
    <w:link w:val="CitazioneintensaCarattere"/>
    <w:uiPriority w:val="30"/>
    <w:qFormat/>
    <w:rsid w:val="00100E8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00E8B"/>
    <w:rPr>
      <w:i/>
      <w:iCs/>
      <w:color w:val="0F4761" w:themeColor="accent1" w:themeShade="BF"/>
    </w:rPr>
  </w:style>
  <w:style w:type="character" w:styleId="Riferimentointenso">
    <w:name w:val="Intense Reference"/>
    <w:basedOn w:val="Carpredefinitoparagrafo"/>
    <w:uiPriority w:val="32"/>
    <w:qFormat/>
    <w:rsid w:val="00100E8B"/>
    <w:rPr>
      <w:b/>
      <w:bCs/>
      <w:smallCaps/>
      <w:color w:val="0F4761" w:themeColor="accent1" w:themeShade="BF"/>
      <w:spacing w:val="5"/>
    </w:rPr>
  </w:style>
  <w:style w:type="character" w:styleId="Rimandocommento">
    <w:name w:val="annotation reference"/>
    <w:basedOn w:val="Carpredefinitoparagrafo"/>
    <w:uiPriority w:val="99"/>
    <w:semiHidden/>
    <w:unhideWhenUsed/>
    <w:rsid w:val="00D42F6F"/>
    <w:rPr>
      <w:sz w:val="16"/>
      <w:szCs w:val="16"/>
    </w:rPr>
  </w:style>
  <w:style w:type="paragraph" w:styleId="Testocommento">
    <w:name w:val="annotation text"/>
    <w:basedOn w:val="Normale"/>
    <w:link w:val="TestocommentoCarattere"/>
    <w:uiPriority w:val="99"/>
    <w:unhideWhenUsed/>
    <w:rsid w:val="00D42F6F"/>
    <w:pPr>
      <w:spacing w:line="240" w:lineRule="auto"/>
    </w:pPr>
    <w:rPr>
      <w:sz w:val="20"/>
      <w:szCs w:val="20"/>
    </w:rPr>
  </w:style>
  <w:style w:type="character" w:customStyle="1" w:styleId="TestocommentoCarattere">
    <w:name w:val="Testo commento Carattere"/>
    <w:basedOn w:val="Carpredefinitoparagrafo"/>
    <w:link w:val="Testocommento"/>
    <w:uiPriority w:val="99"/>
    <w:rsid w:val="00D42F6F"/>
    <w:rPr>
      <w:sz w:val="20"/>
      <w:szCs w:val="20"/>
      <w:lang w:val="en-GB"/>
    </w:rPr>
  </w:style>
  <w:style w:type="paragraph" w:styleId="Soggettocommento">
    <w:name w:val="annotation subject"/>
    <w:basedOn w:val="Testocommento"/>
    <w:next w:val="Testocommento"/>
    <w:link w:val="SoggettocommentoCarattere"/>
    <w:uiPriority w:val="99"/>
    <w:semiHidden/>
    <w:unhideWhenUsed/>
    <w:rsid w:val="00D42F6F"/>
    <w:rPr>
      <w:b/>
      <w:bCs/>
    </w:rPr>
  </w:style>
  <w:style w:type="character" w:customStyle="1" w:styleId="SoggettocommentoCarattere">
    <w:name w:val="Soggetto commento Carattere"/>
    <w:basedOn w:val="TestocommentoCarattere"/>
    <w:link w:val="Soggettocommento"/>
    <w:uiPriority w:val="99"/>
    <w:semiHidden/>
    <w:rsid w:val="00D42F6F"/>
    <w:rPr>
      <w:b/>
      <w:bCs/>
      <w:sz w:val="20"/>
      <w:szCs w:val="20"/>
      <w:lang w:val="en-GB"/>
    </w:rPr>
  </w:style>
  <w:style w:type="paragraph" w:styleId="Revisione">
    <w:name w:val="Revision"/>
    <w:hidden/>
    <w:uiPriority w:val="99"/>
    <w:semiHidden/>
    <w:rsid w:val="00664B9E"/>
    <w:pPr>
      <w:spacing w:after="0" w:line="240" w:lineRule="auto"/>
    </w:pPr>
    <w:rPr>
      <w:lang w:val="en-GB"/>
    </w:rPr>
  </w:style>
  <w:style w:type="paragraph" w:styleId="Bibliografia">
    <w:name w:val="Bibliography"/>
    <w:basedOn w:val="Normale"/>
    <w:next w:val="Normale"/>
    <w:uiPriority w:val="37"/>
    <w:unhideWhenUsed/>
    <w:rsid w:val="00BE6BC9"/>
    <w:pPr>
      <w:spacing w:after="0" w:line="240" w:lineRule="auto"/>
    </w:pPr>
  </w:style>
  <w:style w:type="table" w:styleId="Grigliatabella">
    <w:name w:val="Table Grid"/>
    <w:basedOn w:val="Tabellanormale"/>
    <w:uiPriority w:val="39"/>
    <w:rsid w:val="00C73E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3">
    <w:name w:val="Plain Table 3"/>
    <w:basedOn w:val="Tabellanormale"/>
    <w:uiPriority w:val="43"/>
    <w:rsid w:val="00F70BC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eWeb">
    <w:name w:val="Normal (Web)"/>
    <w:basedOn w:val="Normale"/>
    <w:uiPriority w:val="99"/>
    <w:semiHidden/>
    <w:unhideWhenUsed/>
    <w:rsid w:val="009355B6"/>
    <w:pPr>
      <w:spacing w:before="100" w:beforeAutospacing="1" w:after="100" w:afterAutospacing="1" w:line="240" w:lineRule="auto"/>
    </w:pPr>
    <w:rPr>
      <w:rFonts w:ascii="Times New Roman" w:eastAsia="Times New Roman" w:hAnsi="Times New Roman" w:cs="Times New Roman"/>
      <w:kern w:val="0"/>
      <w:sz w:val="24"/>
      <w:szCs w:val="24"/>
      <w:lang w:val="en-US"/>
    </w:rPr>
  </w:style>
  <w:style w:type="character" w:styleId="Enfasicorsivo">
    <w:name w:val="Emphasis"/>
    <w:basedOn w:val="Carpredefinitoparagrafo"/>
    <w:uiPriority w:val="20"/>
    <w:qFormat/>
    <w:rsid w:val="009355B6"/>
    <w:rPr>
      <w:i/>
      <w:iCs/>
    </w:rPr>
  </w:style>
  <w:style w:type="character" w:styleId="Enfasigrassetto">
    <w:name w:val="Strong"/>
    <w:basedOn w:val="Carpredefinitoparagrafo"/>
    <w:uiPriority w:val="22"/>
    <w:qFormat/>
    <w:rsid w:val="00AA2641"/>
    <w:rPr>
      <w:b/>
      <w:bCs/>
    </w:rPr>
  </w:style>
  <w:style w:type="paragraph" w:styleId="Intestazione">
    <w:name w:val="header"/>
    <w:basedOn w:val="Normale"/>
    <w:link w:val="IntestazioneCarattere"/>
    <w:uiPriority w:val="99"/>
    <w:unhideWhenUsed/>
    <w:rsid w:val="00FC1B6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C1B65"/>
    <w:rPr>
      <w:lang w:val="en-GB"/>
    </w:rPr>
  </w:style>
  <w:style w:type="paragraph" w:styleId="Pidipagina">
    <w:name w:val="footer"/>
    <w:basedOn w:val="Normale"/>
    <w:link w:val="PidipaginaCarattere"/>
    <w:uiPriority w:val="99"/>
    <w:unhideWhenUsed/>
    <w:rsid w:val="00FC1B6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C1B6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896007">
      <w:bodyDiv w:val="1"/>
      <w:marLeft w:val="0"/>
      <w:marRight w:val="0"/>
      <w:marTop w:val="0"/>
      <w:marBottom w:val="0"/>
      <w:divBdr>
        <w:top w:val="none" w:sz="0" w:space="0" w:color="auto"/>
        <w:left w:val="none" w:sz="0" w:space="0" w:color="auto"/>
        <w:bottom w:val="none" w:sz="0" w:space="0" w:color="auto"/>
        <w:right w:val="none" w:sz="0" w:space="0" w:color="auto"/>
      </w:divBdr>
      <w:divsChild>
        <w:div w:id="9699363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66370476">
      <w:bodyDiv w:val="1"/>
      <w:marLeft w:val="0"/>
      <w:marRight w:val="0"/>
      <w:marTop w:val="0"/>
      <w:marBottom w:val="0"/>
      <w:divBdr>
        <w:top w:val="none" w:sz="0" w:space="0" w:color="auto"/>
        <w:left w:val="none" w:sz="0" w:space="0" w:color="auto"/>
        <w:bottom w:val="none" w:sz="0" w:space="0" w:color="auto"/>
        <w:right w:val="none" w:sz="0" w:space="0" w:color="auto"/>
      </w:divBdr>
      <w:divsChild>
        <w:div w:id="6441183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03836155">
      <w:bodyDiv w:val="1"/>
      <w:marLeft w:val="0"/>
      <w:marRight w:val="0"/>
      <w:marTop w:val="0"/>
      <w:marBottom w:val="0"/>
      <w:divBdr>
        <w:top w:val="none" w:sz="0" w:space="0" w:color="auto"/>
        <w:left w:val="none" w:sz="0" w:space="0" w:color="auto"/>
        <w:bottom w:val="none" w:sz="0" w:space="0" w:color="auto"/>
        <w:right w:val="none" w:sz="0" w:space="0" w:color="auto"/>
      </w:divBdr>
      <w:divsChild>
        <w:div w:id="8619441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62967522">
      <w:bodyDiv w:val="1"/>
      <w:marLeft w:val="0"/>
      <w:marRight w:val="0"/>
      <w:marTop w:val="0"/>
      <w:marBottom w:val="0"/>
      <w:divBdr>
        <w:top w:val="none" w:sz="0" w:space="0" w:color="auto"/>
        <w:left w:val="none" w:sz="0" w:space="0" w:color="auto"/>
        <w:bottom w:val="none" w:sz="0" w:space="0" w:color="auto"/>
        <w:right w:val="none" w:sz="0" w:space="0" w:color="auto"/>
      </w:divBdr>
    </w:div>
    <w:div w:id="474107744">
      <w:bodyDiv w:val="1"/>
      <w:marLeft w:val="0"/>
      <w:marRight w:val="0"/>
      <w:marTop w:val="0"/>
      <w:marBottom w:val="0"/>
      <w:divBdr>
        <w:top w:val="none" w:sz="0" w:space="0" w:color="auto"/>
        <w:left w:val="none" w:sz="0" w:space="0" w:color="auto"/>
        <w:bottom w:val="none" w:sz="0" w:space="0" w:color="auto"/>
        <w:right w:val="none" w:sz="0" w:space="0" w:color="auto"/>
      </w:divBdr>
    </w:div>
    <w:div w:id="506482052">
      <w:bodyDiv w:val="1"/>
      <w:marLeft w:val="0"/>
      <w:marRight w:val="0"/>
      <w:marTop w:val="0"/>
      <w:marBottom w:val="0"/>
      <w:divBdr>
        <w:top w:val="none" w:sz="0" w:space="0" w:color="auto"/>
        <w:left w:val="none" w:sz="0" w:space="0" w:color="auto"/>
        <w:bottom w:val="none" w:sz="0" w:space="0" w:color="auto"/>
        <w:right w:val="none" w:sz="0" w:space="0" w:color="auto"/>
      </w:divBdr>
    </w:div>
    <w:div w:id="1445034779">
      <w:bodyDiv w:val="1"/>
      <w:marLeft w:val="0"/>
      <w:marRight w:val="0"/>
      <w:marTop w:val="0"/>
      <w:marBottom w:val="0"/>
      <w:divBdr>
        <w:top w:val="none" w:sz="0" w:space="0" w:color="auto"/>
        <w:left w:val="none" w:sz="0" w:space="0" w:color="auto"/>
        <w:bottom w:val="none" w:sz="0" w:space="0" w:color="auto"/>
        <w:right w:val="none" w:sz="0" w:space="0" w:color="auto"/>
      </w:divBdr>
    </w:div>
    <w:div w:id="1646276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44B0976-DE08-4978-992E-7AC3140815AF}">
  <we:reference id="wa200000368" version="1.0.0.0" store="it-IT" storeType="OMEX"/>
  <we:alternateReferences>
    <we:reference id="wa200000368" version="1.0.0.0" store="wa200000368"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6819A2-970B-4C53-89E8-3C04F7C09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1647</TotalTime>
  <Pages>5</Pages>
  <Words>11792</Words>
  <Characters>72287</Characters>
  <Application>Microsoft Office Word</Application>
  <DocSecurity>0</DocSecurity>
  <Lines>1246</Lines>
  <Paragraphs>525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Bevacqua</dc:creator>
  <cp:keywords/>
  <dc:description/>
  <cp:lastModifiedBy>Naomi Bevacqua - naomi.bevacqua@studio.unibo.it</cp:lastModifiedBy>
  <cp:revision>193</cp:revision>
  <dcterms:created xsi:type="dcterms:W3CDTF">2024-04-23T08:51:00Z</dcterms:created>
  <dcterms:modified xsi:type="dcterms:W3CDTF">2025-11-02T14:23:00Z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zotero-version="7.0.27"&gt;&lt;session id="5TSzaiLb"/&gt;&lt;style id="http://www.zotero.org/styles/clinical-neurophysiology" hasBibliography="1" bibliographyStyleHasBeenSet="1"/&gt;&lt;prefs&gt;&lt;pref name="fieldType" value="Field"/&gt;&lt;/prefs&gt;&lt;/data&gt;</vt:lpwstr>
  </property>
  <property fmtid="{D5CDD505-2E9C-101B-9397-08002B2CF9AE}" pid="3" name="GrammarlyDocumentId">
    <vt:lpwstr>31f166a0b19e43847789a438d2e47559af092e1a6deb5f659726d1c02211ac63</vt:lpwstr>
  </property>
</Properties>
</file>