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79" w:rsidRDefault="00B26479" w:rsidP="00B26479">
      <w:pPr>
        <w:tabs>
          <w:tab w:val="left" w:pos="1134"/>
        </w:tabs>
        <w:spacing w:line="360" w:lineRule="auto"/>
        <w:ind w:left="1134" w:hanging="1134"/>
        <w:jc w:val="both"/>
        <w:rPr>
          <w:lang w:val="en-GB"/>
        </w:rPr>
      </w:pPr>
      <w:r>
        <w:rPr>
          <w:b/>
          <w:bCs/>
          <w:lang w:val="en-GB"/>
        </w:rPr>
        <w:t>Additional fi</w:t>
      </w:r>
      <w:r w:rsidRPr="00087C12">
        <w:rPr>
          <w:b/>
          <w:bCs/>
          <w:lang w:val="en-GB"/>
        </w:rPr>
        <w:t>le 7.</w:t>
      </w:r>
      <w:r w:rsidRPr="00087C12">
        <w:rPr>
          <w:lang w:val="en-GB"/>
        </w:rPr>
        <w:t xml:space="preserve"> </w:t>
      </w:r>
      <w:r w:rsidRPr="00581CCC">
        <w:rPr>
          <w:lang w:val="en-GB"/>
        </w:rPr>
        <w:t xml:space="preserve">Risk of lymphoma and its most </w:t>
      </w:r>
      <w:r>
        <w:rPr>
          <w:lang w:val="en-GB"/>
        </w:rPr>
        <w:t>prevalent subtypes by quartiles of cumulative formaldehyde exposure</w:t>
      </w:r>
      <w:r w:rsidRPr="00581CCC">
        <w:rPr>
          <w:lang w:val="en-GB"/>
        </w:rPr>
        <w:t xml:space="preserve">. </w:t>
      </w:r>
      <w:r w:rsidRPr="00781968">
        <w:rPr>
          <w:lang w:val="en-GB"/>
        </w:rPr>
        <w:t xml:space="preserve">Covariates in the logistic regression model include age, sex, </w:t>
      </w:r>
      <w:r>
        <w:rPr>
          <w:lang w:val="en-GB"/>
        </w:rPr>
        <w:t xml:space="preserve">study </w:t>
      </w:r>
      <w:r w:rsidRPr="00781968">
        <w:rPr>
          <w:lang w:val="en-GB"/>
        </w:rPr>
        <w:t>centre</w:t>
      </w:r>
      <w:r>
        <w:rPr>
          <w:lang w:val="en-GB"/>
        </w:rPr>
        <w:t xml:space="preserve">, </w:t>
      </w:r>
      <w:r w:rsidR="009D70A7">
        <w:rPr>
          <w:lang w:val="en-GB"/>
        </w:rPr>
        <w:t xml:space="preserve">and </w:t>
      </w:r>
      <w:r>
        <w:rPr>
          <w:lang w:val="en-GB"/>
        </w:rPr>
        <w:t>education.</w:t>
      </w:r>
    </w:p>
    <w:p w:rsidR="00B26479" w:rsidRDefault="00B26479" w:rsidP="00B26479">
      <w:pPr>
        <w:tabs>
          <w:tab w:val="left" w:pos="1134"/>
        </w:tabs>
        <w:spacing w:line="360" w:lineRule="auto"/>
        <w:ind w:left="1134" w:hanging="1134"/>
        <w:jc w:val="both"/>
        <w:rPr>
          <w:lang w:val="en-GB"/>
        </w:rPr>
      </w:pPr>
    </w:p>
    <w:p w:rsidR="00B26479" w:rsidRPr="00781968" w:rsidRDefault="00B26479" w:rsidP="00B26479">
      <w:pPr>
        <w:tabs>
          <w:tab w:val="left" w:pos="1134"/>
        </w:tabs>
        <w:spacing w:line="360" w:lineRule="auto"/>
        <w:ind w:left="1134" w:hanging="1134"/>
        <w:jc w:val="both"/>
        <w:rPr>
          <w:lang w:val="en-GB"/>
        </w:rPr>
      </w:pPr>
    </w:p>
    <w:tbl>
      <w:tblPr>
        <w:tblStyle w:val="Tabellasemplice-31"/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1"/>
        <w:gridCol w:w="1466"/>
        <w:gridCol w:w="2310"/>
        <w:gridCol w:w="2234"/>
        <w:gridCol w:w="2302"/>
        <w:gridCol w:w="2268"/>
        <w:gridCol w:w="1466"/>
      </w:tblGrid>
      <w:tr w:rsidR="00B26479" w:rsidRPr="00370AF6" w:rsidTr="00554FC6">
        <w:trPr>
          <w:cnfStyle w:val="100000000000"/>
          <w:trHeight w:val="390"/>
          <w:jc w:val="center"/>
        </w:trPr>
        <w:tc>
          <w:tcPr>
            <w:cnfStyle w:val="001000000100"/>
            <w:tcW w:w="2561" w:type="dxa"/>
            <w:vMerge w:val="restart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bookmarkStart w:id="0" w:name="_Hlk195960376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Case  Subset</w:t>
            </w:r>
          </w:p>
        </w:tc>
        <w:tc>
          <w:tcPr>
            <w:tcW w:w="1466" w:type="dxa"/>
            <w:vMerge w:val="restart"/>
            <w:vAlign w:val="center"/>
          </w:tcPr>
          <w:p w:rsidR="00B26479" w:rsidRPr="00B46A4E" w:rsidRDefault="00B26479" w:rsidP="00554FC6">
            <w:pPr>
              <w:jc w:val="center"/>
              <w:cnfStyle w:val="100000000000"/>
              <w:rPr>
                <w:b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caps w:val="0"/>
                <w:color w:val="000000" w:themeColor="text1"/>
                <w:sz w:val="21"/>
                <w:szCs w:val="21"/>
              </w:rPr>
              <w:t>Unexposed</w:t>
            </w:r>
            <w:proofErr w:type="spellEnd"/>
          </w:p>
        </w:tc>
        <w:tc>
          <w:tcPr>
            <w:tcW w:w="10580" w:type="dxa"/>
            <w:gridSpan w:val="5"/>
            <w:vAlign w:val="center"/>
          </w:tcPr>
          <w:p w:rsidR="00B26479" w:rsidRPr="00370AF6" w:rsidRDefault="00B26479" w:rsidP="00554FC6">
            <w:pPr>
              <w:jc w:val="center"/>
              <w:cnfStyle w:val="100000000000"/>
            </w:pPr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 xml:space="preserve">Cumulative </w:t>
            </w:r>
            <w:proofErr w:type="spellStart"/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>exposure</w:t>
            </w:r>
            <w:proofErr w:type="spellEnd"/>
          </w:p>
        </w:tc>
      </w:tr>
      <w:tr w:rsidR="00B26479" w:rsidRPr="00370AF6" w:rsidTr="00554FC6">
        <w:trPr>
          <w:cnfStyle w:val="000000100000"/>
          <w:trHeight w:val="390"/>
          <w:jc w:val="center"/>
        </w:trPr>
        <w:tc>
          <w:tcPr>
            <w:cnfStyle w:val="001000000000"/>
            <w:tcW w:w="2561" w:type="dxa"/>
            <w:vMerge/>
            <w:vAlign w:val="center"/>
          </w:tcPr>
          <w:p w:rsidR="00B26479" w:rsidRDefault="00B26479" w:rsidP="00554FC6">
            <w:pP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:rsidR="00B26479" w:rsidRDefault="00B26479" w:rsidP="00554FC6">
            <w:pPr>
              <w:jc w:val="center"/>
              <w:cnfStyle w:val="000000100000"/>
              <w:rPr>
                <w:b/>
                <w:caps/>
                <w:color w:val="000000" w:themeColor="text1"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:rsidR="00B26479" w:rsidRPr="00252325" w:rsidRDefault="00B26479" w:rsidP="00554FC6">
            <w:pPr>
              <w:jc w:val="center"/>
              <w:cnfStyle w:val="000000100000"/>
              <w:rPr>
                <w:bCs/>
                <w:i/>
                <w:iCs/>
                <w:caps/>
                <w:color w:val="000000" w:themeColor="text1"/>
                <w:sz w:val="21"/>
                <w:szCs w:val="21"/>
              </w:rPr>
            </w:pPr>
            <w:r w:rsidRPr="00252325">
              <w:rPr>
                <w:bCs/>
                <w:i/>
                <w:iCs/>
                <w:color w:val="000000" w:themeColor="text1"/>
                <w:sz w:val="21"/>
                <w:szCs w:val="21"/>
              </w:rPr>
              <w:t>1</w:t>
            </w:r>
            <w:r>
              <w:rPr>
                <w:bCs/>
                <w:i/>
                <w:iCs/>
                <w:color w:val="000000" w:themeColor="text1"/>
                <w:sz w:val="21"/>
                <w:szCs w:val="21"/>
              </w:rPr>
              <w:t>st quartile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2</w:t>
            </w:r>
            <w:r w:rsidRPr="004414A2">
              <w:rPr>
                <w:bCs/>
                <w:i/>
                <w:iCs/>
                <w:color w:val="000000" w:themeColor="text1"/>
                <w:sz w:val="21"/>
                <w:szCs w:val="21"/>
                <w:vertAlign w:val="superscript"/>
                <w:lang w:val="en-GB"/>
              </w:rPr>
              <w:t>nd</w:t>
            </w: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quartile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ind w:right="-124"/>
              <w:jc w:val="center"/>
              <w:cnfStyle w:val="000000100000"/>
              <w:rPr>
                <w:i/>
                <w:iCs/>
                <w:color w:val="000000" w:themeColor="text1"/>
                <w:sz w:val="21"/>
                <w:szCs w:val="21"/>
              </w:rPr>
            </w:pPr>
            <w:r>
              <w:rPr>
                <w:i/>
                <w:iCs/>
                <w:color w:val="000000" w:themeColor="text1"/>
                <w:sz w:val="21"/>
                <w:szCs w:val="21"/>
              </w:rPr>
              <w:t>3rd quartile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ind w:right="-141"/>
              <w:jc w:val="center"/>
              <w:cnfStyle w:val="000000100000"/>
              <w:rPr>
                <w:i/>
                <w:iCs/>
                <w:color w:val="000000" w:themeColor="text1"/>
                <w:sz w:val="21"/>
                <w:szCs w:val="21"/>
              </w:rPr>
            </w:pPr>
            <w:r>
              <w:rPr>
                <w:i/>
                <w:iCs/>
                <w:color w:val="000000" w:themeColor="text1"/>
                <w:sz w:val="21"/>
                <w:szCs w:val="21"/>
              </w:rPr>
              <w:t>4th quartile</w:t>
            </w:r>
          </w:p>
        </w:tc>
        <w:tc>
          <w:tcPr>
            <w:tcW w:w="1466" w:type="dxa"/>
            <w:vMerge w:val="restart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</w:pPr>
            <w:r w:rsidRPr="00581CCC">
              <w:rPr>
                <w:i/>
                <w:iCs/>
              </w:rPr>
              <w:t>p</w:t>
            </w:r>
            <w:r>
              <w:t xml:space="preserve"> test </w:t>
            </w:r>
            <w:proofErr w:type="spellStart"/>
            <w:r>
              <w:t>for</w:t>
            </w:r>
            <w:proofErr w:type="spellEnd"/>
            <w:r>
              <w:t xml:space="preserve"> trend</w:t>
            </w:r>
          </w:p>
        </w:tc>
      </w:tr>
      <w:tr w:rsidR="00B26479" w:rsidRPr="00370AF6" w:rsidTr="00554FC6">
        <w:trPr>
          <w:trHeight w:val="138"/>
          <w:jc w:val="center"/>
        </w:trPr>
        <w:tc>
          <w:tcPr>
            <w:cnfStyle w:val="001000000000"/>
            <w:tcW w:w="2561" w:type="dxa"/>
            <w:vMerge/>
          </w:tcPr>
          <w:p w:rsidR="00B26479" w:rsidRPr="00B46A4E" w:rsidRDefault="00B26479" w:rsidP="00554FC6">
            <w:pP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B26479" w:rsidRDefault="00B26479" w:rsidP="00554FC6">
            <w:pPr>
              <w:jc w:val="center"/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 w:rsidRPr="00370AF6"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</w:t>
            </w: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ses/controls</w:t>
            </w:r>
          </w:p>
        </w:tc>
        <w:tc>
          <w:tcPr>
            <w:tcW w:w="2310" w:type="dxa"/>
          </w:tcPr>
          <w:p w:rsidR="00B26479" w:rsidRPr="00370AF6" w:rsidRDefault="00B26479" w:rsidP="00554FC6">
            <w:pPr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234" w:type="dxa"/>
            <w:vAlign w:val="center"/>
          </w:tcPr>
          <w:p w:rsidR="00B26479" w:rsidRDefault="00B26479" w:rsidP="00554FC6">
            <w:pPr>
              <w:ind w:right="-124"/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302" w:type="dxa"/>
            <w:vAlign w:val="center"/>
          </w:tcPr>
          <w:p w:rsidR="00B26479" w:rsidRDefault="00B26479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268" w:type="dxa"/>
            <w:vAlign w:val="center"/>
          </w:tcPr>
          <w:p w:rsidR="00B26479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1466" w:type="dxa"/>
            <w:vMerge/>
            <w:vAlign w:val="center"/>
          </w:tcPr>
          <w:p w:rsidR="00B26479" w:rsidRPr="00370AF6" w:rsidRDefault="00B26479" w:rsidP="00554FC6">
            <w:pPr>
              <w:cnfStyle w:val="000000000000"/>
            </w:pPr>
          </w:p>
        </w:tc>
      </w:tr>
      <w:tr w:rsidR="00B26479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All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lymphomas</w:t>
            </w:r>
            <w:proofErr w:type="spellEnd"/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68</w:t>
            </w:r>
            <w:r>
              <w:rPr>
                <w:color w:val="000000" w:themeColor="text1"/>
                <w:sz w:val="21"/>
                <w:szCs w:val="21"/>
              </w:rPr>
              <w:t>6/640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left="-122" w:right="-10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48/31   1.3  0.82-2.11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ind w:right="-142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45/33  1.2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73</w:t>
            </w:r>
            <w:r w:rsidRPr="00370AF6">
              <w:rPr>
                <w:color w:val="000000" w:themeColor="text1"/>
                <w:sz w:val="21"/>
                <w:szCs w:val="21"/>
              </w:rPr>
              <w:t>-1.</w:t>
            </w:r>
            <w:r>
              <w:rPr>
                <w:color w:val="000000" w:themeColor="text1"/>
                <w:sz w:val="21"/>
                <w:szCs w:val="21"/>
              </w:rPr>
              <w:t>87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ind w:right="-55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41/38   0.9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31-1.48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47/32  1.2  </w:t>
            </w:r>
            <w:r w:rsidRPr="00370AF6">
              <w:rPr>
                <w:color w:val="000000" w:themeColor="text1"/>
                <w:sz w:val="21"/>
                <w:szCs w:val="21"/>
              </w:rPr>
              <w:t>0.7</w:t>
            </w:r>
            <w:r>
              <w:rPr>
                <w:color w:val="000000" w:themeColor="text1"/>
                <w:sz w:val="21"/>
                <w:szCs w:val="21"/>
              </w:rPr>
              <w:t>7-1.96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</w:pPr>
            <w:r>
              <w:t>0.107</w:t>
            </w:r>
          </w:p>
        </w:tc>
      </w:tr>
      <w:tr w:rsidR="00B26479" w:rsidRPr="00370AF6" w:rsidTr="00554FC6">
        <w:trPr>
          <w:trHeight w:val="514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Non-Hodgkin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’s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391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left="-122"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25/31   1.4  0.83-2.53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17/33  0.8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43</w:t>
            </w:r>
            <w:r w:rsidRPr="00370AF6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1.45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27/38   1.2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69</w:t>
            </w:r>
            <w:r w:rsidRPr="00370AF6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1.98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20/32  0.9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48-1.54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</w:pPr>
            <w:r>
              <w:t>0.253</w:t>
            </w:r>
          </w:p>
        </w:tc>
      </w:tr>
      <w:tr w:rsidR="00B26479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B-cell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378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left="-166" w:right="-149"/>
              <w:jc w:val="both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 24/31   1.4  0.80-2.56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25/33  1.1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63-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>
              <w:rPr>
                <w:color w:val="000000" w:themeColor="text1"/>
                <w:sz w:val="21"/>
                <w:szCs w:val="21"/>
              </w:rPr>
              <w:t>92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19/38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8  </w:t>
            </w:r>
            <w:r w:rsidRPr="00370AF6">
              <w:rPr>
                <w:color w:val="000000" w:themeColor="text1"/>
                <w:sz w:val="21"/>
                <w:szCs w:val="21"/>
              </w:rPr>
              <w:t>0</w:t>
            </w:r>
            <w:r>
              <w:rPr>
                <w:color w:val="000000" w:themeColor="text1"/>
                <w:sz w:val="21"/>
                <w:szCs w:val="21"/>
              </w:rPr>
              <w:t>.44-1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45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2</w:t>
            </w:r>
            <w:r w:rsidRPr="00370AF6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 xml:space="preserve">/32  0.8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46-1.48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</w:pPr>
            <w:r>
              <w:t>0.397</w:t>
            </w:r>
          </w:p>
        </w:tc>
      </w:tr>
      <w:tr w:rsidR="00B26479" w:rsidRPr="00370AF6" w:rsidTr="00554FC6">
        <w:trPr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 xml:space="preserve">Diffuse Large B-cell 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>lymphoma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B46A4E">
              <w:rPr>
                <w:color w:val="000000" w:themeColor="text1"/>
                <w:sz w:val="21"/>
                <w:szCs w:val="21"/>
                <w:lang w:val="en-GB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84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8/31   1.9  0.80-4.34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3/33  0.6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17-1.90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7/38   1.4  </w:t>
            </w:r>
            <w:r w:rsidRPr="00370AF6">
              <w:rPr>
                <w:color w:val="000000" w:themeColor="text1"/>
                <w:sz w:val="21"/>
                <w:szCs w:val="21"/>
              </w:rPr>
              <w:t>0</w:t>
            </w:r>
            <w:r>
              <w:rPr>
                <w:color w:val="000000" w:themeColor="text1"/>
                <w:sz w:val="21"/>
                <w:szCs w:val="21"/>
              </w:rPr>
              <w:t>.57-3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22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3/32  0.3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17-1.98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</w:pPr>
            <w:r>
              <w:t>0.315</w:t>
            </w:r>
          </w:p>
        </w:tc>
      </w:tr>
      <w:tr w:rsidR="00B26479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Follicular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75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right="-10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6/31   1.9  0.73-4.77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ind w:left="-65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 4/33  1.0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34-2.91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0/38     -          -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</w:t>
            </w:r>
            <w:r w:rsidRPr="00370AF6">
              <w:rPr>
                <w:color w:val="000000" w:themeColor="text1"/>
                <w:sz w:val="21"/>
                <w:szCs w:val="21"/>
              </w:rPr>
              <w:t>2</w:t>
            </w:r>
            <w:r>
              <w:rPr>
                <w:color w:val="000000" w:themeColor="text1"/>
                <w:sz w:val="21"/>
                <w:szCs w:val="21"/>
              </w:rPr>
              <w:t xml:space="preserve">/32  0.4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10-1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84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</w:pPr>
            <w:r>
              <w:t>0.161</w:t>
            </w:r>
          </w:p>
        </w:tc>
      </w:tr>
      <w:tr w:rsidR="00B26479" w:rsidRPr="00370AF6" w:rsidTr="00554FC6">
        <w:trPr>
          <w:trHeight w:val="514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Chronic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Lymphocytic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Leukaemia</w:t>
            </w:r>
            <w:proofErr w:type="spellEnd"/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68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5/31   1.6  0.57-4.48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1/33  0.3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03-1.88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2/38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5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11-2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19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5/32  1.2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42-3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</w:pPr>
            <w:r>
              <w:t>0.298</w:t>
            </w:r>
          </w:p>
        </w:tc>
      </w:tr>
      <w:tr w:rsidR="00B26479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Multipl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e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M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y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eloma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65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right="-10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3/31   1.1  0.29-3.84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ind w:right="-3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13/33  3.6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69-7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64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7/38   1.6  0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66-4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09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7/32  1.5  0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63-3.77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100000"/>
            </w:pPr>
            <w:r>
              <w:t>0.013</w:t>
            </w:r>
          </w:p>
        </w:tc>
      </w:tr>
      <w:tr w:rsidR="00B26479" w:rsidRPr="00370AF6" w:rsidTr="00554FC6">
        <w:trPr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B26479" w:rsidRPr="00B46A4E" w:rsidRDefault="00B26479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Hodgkin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’s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140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B26479" w:rsidRPr="00370AF6" w:rsidRDefault="00B26479" w:rsidP="00554FC6">
            <w:pPr>
              <w:ind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13/31   1.1  0.51-2.35</w:t>
            </w:r>
          </w:p>
        </w:tc>
        <w:tc>
          <w:tcPr>
            <w:tcW w:w="2234" w:type="dxa"/>
            <w:vAlign w:val="center"/>
          </w:tcPr>
          <w:p w:rsidR="00B26479" w:rsidRPr="00370AF6" w:rsidRDefault="00B26479" w:rsidP="00554FC6">
            <w:pPr>
              <w:ind w:right="-178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14/33  2.0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97-4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2302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4/38   0.5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16-1.43</w:t>
            </w:r>
          </w:p>
        </w:tc>
        <w:tc>
          <w:tcPr>
            <w:tcW w:w="2268" w:type="dxa"/>
            <w:vAlign w:val="center"/>
          </w:tcPr>
          <w:p w:rsidR="00B26479" w:rsidRPr="00370AF6" w:rsidRDefault="00B26479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10/32  2.7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19-6.20</w:t>
            </w:r>
          </w:p>
        </w:tc>
        <w:tc>
          <w:tcPr>
            <w:tcW w:w="1466" w:type="dxa"/>
            <w:vAlign w:val="center"/>
          </w:tcPr>
          <w:p w:rsidR="00B26479" w:rsidRPr="00370AF6" w:rsidRDefault="00B26479" w:rsidP="00554FC6">
            <w:pPr>
              <w:jc w:val="center"/>
              <w:cnfStyle w:val="000000000000"/>
            </w:pPr>
            <w:r>
              <w:t>0.130</w:t>
            </w:r>
          </w:p>
        </w:tc>
      </w:tr>
      <w:bookmarkEnd w:id="0"/>
    </w:tbl>
    <w:p w:rsidR="00B26479" w:rsidRDefault="00B26479" w:rsidP="00B26479">
      <w:pPr>
        <w:spacing w:line="360" w:lineRule="auto"/>
      </w:pPr>
    </w:p>
    <w:p w:rsidR="00B26479" w:rsidRDefault="00B26479" w:rsidP="00B26479">
      <w:pPr>
        <w:spacing w:line="360" w:lineRule="auto"/>
        <w:jc w:val="both"/>
      </w:pPr>
    </w:p>
    <w:p w:rsidR="008627BA" w:rsidRDefault="008627BA"/>
    <w:sectPr w:rsidR="008627BA" w:rsidSect="00B26479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B26479"/>
    <w:rsid w:val="000E7F93"/>
    <w:rsid w:val="00413FA8"/>
    <w:rsid w:val="008627BA"/>
    <w:rsid w:val="009D70A7"/>
    <w:rsid w:val="00A433FF"/>
    <w:rsid w:val="00B26479"/>
    <w:rsid w:val="00C45A70"/>
    <w:rsid w:val="00CD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6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ellasemplice-31">
    <w:name w:val="Tabella semplice - 31"/>
    <w:basedOn w:val="Tabellanormale"/>
    <w:uiPriority w:val="43"/>
    <w:rsid w:val="00B26479"/>
    <w:pPr>
      <w:spacing w:after="0" w:line="240" w:lineRule="auto"/>
    </w:pPr>
    <w:rPr>
      <w:kern w:val="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Gigi</dc:creator>
  <cp:lastModifiedBy>GigiC</cp:lastModifiedBy>
  <cp:revision>2</cp:revision>
  <dcterms:created xsi:type="dcterms:W3CDTF">2025-07-17T09:26:00Z</dcterms:created>
  <dcterms:modified xsi:type="dcterms:W3CDTF">2025-08-27T12:13:00Z</dcterms:modified>
</cp:coreProperties>
</file>