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84A2C" w14:textId="7A12C8F7" w:rsidR="00E31E80" w:rsidRPr="00B51D9B" w:rsidRDefault="00066F08" w:rsidP="00066F08">
      <w:pPr>
        <w:spacing w:line="480" w:lineRule="auto"/>
        <w:rPr>
          <w:rFonts w:ascii="Times New Roman" w:hAnsi="Times New Roman" w:cs="Times New Roman"/>
          <w:b/>
          <w:bCs/>
          <w:sz w:val="24"/>
          <w:szCs w:val="24"/>
          <w:lang w:val="en-GB"/>
        </w:rPr>
      </w:pPr>
      <w:r w:rsidRPr="00066F08">
        <w:rPr>
          <w:rFonts w:ascii="Times New Roman" w:hAnsi="Times New Roman" w:cs="Times New Roman"/>
          <w:b/>
          <w:bCs/>
          <w:sz w:val="24"/>
          <w:szCs w:val="24"/>
          <w:lang w:val="en-GB"/>
        </w:rPr>
        <w:t>SUPPLEMENTA</w:t>
      </w:r>
      <w:r w:rsidR="003B5018">
        <w:rPr>
          <w:rFonts w:ascii="Times New Roman" w:hAnsi="Times New Roman" w:cs="Times New Roman"/>
          <w:b/>
          <w:bCs/>
          <w:sz w:val="24"/>
          <w:szCs w:val="24"/>
          <w:lang w:val="en-GB"/>
        </w:rPr>
        <w:t xml:space="preserve">RY </w:t>
      </w:r>
      <w:r w:rsidR="00624FC3">
        <w:rPr>
          <w:rFonts w:ascii="Times New Roman" w:hAnsi="Times New Roman" w:cs="Times New Roman"/>
          <w:b/>
          <w:bCs/>
          <w:sz w:val="24"/>
          <w:szCs w:val="24"/>
          <w:lang w:val="en-GB"/>
        </w:rPr>
        <w:t>INFORMATION ON STATISTICAL ANALYSES</w:t>
      </w:r>
    </w:p>
    <w:p w14:paraId="6C9F6898" w14:textId="6409DFB3" w:rsidR="00E31E80" w:rsidRPr="00B51D9B" w:rsidRDefault="00E31E80" w:rsidP="00066F08">
      <w:pPr>
        <w:spacing w:line="480" w:lineRule="auto"/>
        <w:rPr>
          <w:rFonts w:ascii="Times New Roman" w:hAnsi="Times New Roman" w:cs="Times New Roman"/>
          <w:b/>
          <w:bCs/>
          <w:sz w:val="24"/>
          <w:szCs w:val="24"/>
          <w:lang w:val="en-GB"/>
        </w:rPr>
      </w:pPr>
      <w:r w:rsidRPr="00B51D9B">
        <w:rPr>
          <w:rFonts w:ascii="Times New Roman" w:hAnsi="Times New Roman" w:cs="Times New Roman"/>
          <w:b/>
          <w:bCs/>
          <w:sz w:val="24"/>
          <w:szCs w:val="24"/>
          <w:lang w:val="en-GB"/>
        </w:rPr>
        <w:t>Propensity score estimation</w:t>
      </w:r>
    </w:p>
    <w:p w14:paraId="035EF3CD" w14:textId="6FE71A03" w:rsidR="00066F08" w:rsidRPr="00230B50" w:rsidRDefault="00066F08" w:rsidP="00066F08">
      <w:pPr>
        <w:spacing w:line="480" w:lineRule="auto"/>
        <w:rPr>
          <w:rFonts w:ascii="Times New Roman" w:hAnsi="Times New Roman" w:cs="Times New Roman"/>
          <w:sz w:val="24"/>
          <w:szCs w:val="24"/>
          <w:lang w:val="en-GB"/>
        </w:rPr>
      </w:pPr>
      <w:r w:rsidRPr="00230B50">
        <w:rPr>
          <w:rFonts w:ascii="Times New Roman" w:hAnsi="Times New Roman" w:cs="Times New Roman"/>
          <w:sz w:val="24"/>
          <w:szCs w:val="24"/>
          <w:lang w:val="en-GB"/>
        </w:rPr>
        <w:t>To reduce confounding bias and strengthen causal inference, we applied inverse probability of treatment weighting (IPTW) based on general-practice propensity scores. These scores represent the probability of receiving a given organisational model of care and were estimated using Multiple Additive Regression Trees (MART) with a gradient boosting algorithm, incorporating all pre-specified potential confounders [</w:t>
      </w:r>
      <w:r>
        <w:rPr>
          <w:rFonts w:ascii="Times New Roman" w:hAnsi="Times New Roman" w:cs="Times New Roman"/>
          <w:sz w:val="24"/>
          <w:szCs w:val="24"/>
          <w:lang w:val="en-GB"/>
        </w:rPr>
        <w:t>1</w:t>
      </w:r>
      <w:r w:rsidRPr="00230B50">
        <w:rPr>
          <w:rFonts w:ascii="Times New Roman" w:hAnsi="Times New Roman" w:cs="Times New Roman"/>
          <w:sz w:val="24"/>
          <w:szCs w:val="24"/>
          <w:lang w:val="en-GB"/>
        </w:rPr>
        <w:t>]. The boosting procedure used a maximum tree depth of 5, up to 20,000 iterations, 50% bagging, and a shrinkage factor of 0.01. Given the multi-valued exposure (solo or networked practice; group practice outside C</w:t>
      </w:r>
      <w:r w:rsidR="00A6542B">
        <w:rPr>
          <w:rFonts w:ascii="Times New Roman" w:hAnsi="Times New Roman" w:cs="Times New Roman"/>
          <w:sz w:val="24"/>
          <w:szCs w:val="24"/>
          <w:lang w:val="en-GB"/>
        </w:rPr>
        <w:t xml:space="preserve">ommunity </w:t>
      </w:r>
      <w:r w:rsidRPr="00230B50">
        <w:rPr>
          <w:rFonts w:ascii="Times New Roman" w:hAnsi="Times New Roman" w:cs="Times New Roman"/>
          <w:sz w:val="24"/>
          <w:szCs w:val="24"/>
          <w:lang w:val="en-GB"/>
        </w:rPr>
        <w:t>H</w:t>
      </w:r>
      <w:r w:rsidR="00A6542B">
        <w:rPr>
          <w:rFonts w:ascii="Times New Roman" w:hAnsi="Times New Roman" w:cs="Times New Roman"/>
          <w:sz w:val="24"/>
          <w:szCs w:val="24"/>
          <w:lang w:val="en-GB"/>
        </w:rPr>
        <w:t xml:space="preserve">ealth </w:t>
      </w:r>
      <w:r w:rsidRPr="00230B50">
        <w:rPr>
          <w:rFonts w:ascii="Times New Roman" w:hAnsi="Times New Roman" w:cs="Times New Roman"/>
          <w:sz w:val="24"/>
          <w:szCs w:val="24"/>
          <w:lang w:val="en-GB"/>
        </w:rPr>
        <w:t>C</w:t>
      </w:r>
      <w:r w:rsidR="00A6542B">
        <w:rPr>
          <w:rFonts w:ascii="Times New Roman" w:hAnsi="Times New Roman" w:cs="Times New Roman"/>
          <w:sz w:val="24"/>
          <w:szCs w:val="24"/>
          <w:lang w:val="en-GB"/>
        </w:rPr>
        <w:t>entre</w:t>
      </w:r>
      <w:r w:rsidRPr="00230B50">
        <w:rPr>
          <w:rFonts w:ascii="Times New Roman" w:hAnsi="Times New Roman" w:cs="Times New Roman"/>
          <w:sz w:val="24"/>
          <w:szCs w:val="24"/>
          <w:lang w:val="en-GB"/>
        </w:rPr>
        <w:t xml:space="preserve">s; group practice within </w:t>
      </w:r>
      <w:r w:rsidR="00A6542B" w:rsidRPr="00230B50">
        <w:rPr>
          <w:rFonts w:ascii="Times New Roman" w:hAnsi="Times New Roman" w:cs="Times New Roman"/>
          <w:sz w:val="24"/>
          <w:szCs w:val="24"/>
          <w:lang w:val="en-GB"/>
        </w:rPr>
        <w:t>C</w:t>
      </w:r>
      <w:r w:rsidR="00A6542B">
        <w:rPr>
          <w:rFonts w:ascii="Times New Roman" w:hAnsi="Times New Roman" w:cs="Times New Roman"/>
          <w:sz w:val="24"/>
          <w:szCs w:val="24"/>
          <w:lang w:val="en-GB"/>
        </w:rPr>
        <w:t xml:space="preserve">ommunity </w:t>
      </w:r>
      <w:r w:rsidR="00A6542B" w:rsidRPr="00230B50">
        <w:rPr>
          <w:rFonts w:ascii="Times New Roman" w:hAnsi="Times New Roman" w:cs="Times New Roman"/>
          <w:sz w:val="24"/>
          <w:szCs w:val="24"/>
          <w:lang w:val="en-GB"/>
        </w:rPr>
        <w:t>H</w:t>
      </w:r>
      <w:r w:rsidR="00A6542B">
        <w:rPr>
          <w:rFonts w:ascii="Times New Roman" w:hAnsi="Times New Roman" w:cs="Times New Roman"/>
          <w:sz w:val="24"/>
          <w:szCs w:val="24"/>
          <w:lang w:val="en-GB"/>
        </w:rPr>
        <w:t xml:space="preserve">ealth </w:t>
      </w:r>
      <w:r w:rsidR="00A6542B" w:rsidRPr="00230B50">
        <w:rPr>
          <w:rFonts w:ascii="Times New Roman" w:hAnsi="Times New Roman" w:cs="Times New Roman"/>
          <w:sz w:val="24"/>
          <w:szCs w:val="24"/>
          <w:lang w:val="en-GB"/>
        </w:rPr>
        <w:t>C</w:t>
      </w:r>
      <w:r w:rsidR="00A6542B">
        <w:rPr>
          <w:rFonts w:ascii="Times New Roman" w:hAnsi="Times New Roman" w:cs="Times New Roman"/>
          <w:sz w:val="24"/>
          <w:szCs w:val="24"/>
          <w:lang w:val="en-GB"/>
        </w:rPr>
        <w:t>entre</w:t>
      </w:r>
      <w:r w:rsidR="00A6542B" w:rsidRPr="00230B50">
        <w:rPr>
          <w:rFonts w:ascii="Times New Roman" w:hAnsi="Times New Roman" w:cs="Times New Roman"/>
          <w:sz w:val="24"/>
          <w:szCs w:val="24"/>
          <w:lang w:val="en-GB"/>
        </w:rPr>
        <w:t>s</w:t>
      </w:r>
      <w:r w:rsidRPr="00230B50">
        <w:rPr>
          <w:rFonts w:ascii="Times New Roman" w:hAnsi="Times New Roman" w:cs="Times New Roman"/>
          <w:sz w:val="24"/>
          <w:szCs w:val="24"/>
          <w:lang w:val="en-GB"/>
        </w:rPr>
        <w:t>), a multinomial distribution was assumed for propensity score estimation.</w:t>
      </w:r>
    </w:p>
    <w:p w14:paraId="6CBBBD36" w14:textId="77777777" w:rsidR="00066F08" w:rsidRPr="00230B50" w:rsidRDefault="00066F08" w:rsidP="00066F08">
      <w:pPr>
        <w:spacing w:line="480" w:lineRule="auto"/>
        <w:ind w:firstLine="284"/>
        <w:rPr>
          <w:rFonts w:ascii="Times New Roman" w:hAnsi="Times New Roman" w:cs="Times New Roman"/>
          <w:sz w:val="24"/>
          <w:szCs w:val="24"/>
          <w:lang w:val="en-GB"/>
        </w:rPr>
      </w:pPr>
      <w:r w:rsidRPr="00230B50">
        <w:rPr>
          <w:rFonts w:ascii="Times New Roman" w:hAnsi="Times New Roman" w:cs="Times New Roman"/>
          <w:sz w:val="24"/>
          <w:szCs w:val="24"/>
          <w:lang w:val="en-GB"/>
        </w:rPr>
        <w:t xml:space="preserve">Because our </w:t>
      </w:r>
      <w:proofErr w:type="spellStart"/>
      <w:r w:rsidRPr="00230B50">
        <w:rPr>
          <w:rFonts w:ascii="Times New Roman" w:hAnsi="Times New Roman" w:cs="Times New Roman"/>
          <w:sz w:val="24"/>
          <w:szCs w:val="24"/>
          <w:lang w:val="en-GB"/>
        </w:rPr>
        <w:t>estimand</w:t>
      </w:r>
      <w:proofErr w:type="spellEnd"/>
      <w:r w:rsidRPr="00230B50">
        <w:rPr>
          <w:rFonts w:ascii="Times New Roman" w:hAnsi="Times New Roman" w:cs="Times New Roman"/>
          <w:sz w:val="24"/>
          <w:szCs w:val="24"/>
          <w:lang w:val="en-GB"/>
        </w:rPr>
        <w:t xml:space="preserve"> of interest was the average treatment effect in the population, each observation was weighted by the inverse probability of receiving the “treatment” </w:t>
      </w:r>
      <w:proofErr w:type="gramStart"/>
      <w:r w:rsidRPr="00230B50">
        <w:rPr>
          <w:rFonts w:ascii="Times New Roman" w:hAnsi="Times New Roman" w:cs="Times New Roman"/>
          <w:sz w:val="24"/>
          <w:szCs w:val="24"/>
          <w:lang w:val="en-GB"/>
        </w:rPr>
        <w:t>actually received</w:t>
      </w:r>
      <w:proofErr w:type="gramEnd"/>
      <w:r w:rsidRPr="00230B50">
        <w:rPr>
          <w:rFonts w:ascii="Times New Roman" w:hAnsi="Times New Roman" w:cs="Times New Roman"/>
          <w:sz w:val="24"/>
          <w:szCs w:val="24"/>
          <w:lang w:val="en-GB"/>
        </w:rPr>
        <w:t>. Propensity scores were truncated at the 99</w:t>
      </w:r>
      <w:r w:rsidRPr="00230B50">
        <w:rPr>
          <w:rFonts w:ascii="Times New Roman" w:hAnsi="Times New Roman" w:cs="Times New Roman"/>
          <w:sz w:val="24"/>
          <w:szCs w:val="24"/>
          <w:vertAlign w:val="superscript"/>
          <w:lang w:val="en-GB"/>
        </w:rPr>
        <w:t>th</w:t>
      </w:r>
      <w:r w:rsidRPr="00230B50">
        <w:rPr>
          <w:rFonts w:ascii="Times New Roman" w:hAnsi="Times New Roman" w:cs="Times New Roman"/>
          <w:sz w:val="24"/>
          <w:szCs w:val="24"/>
          <w:lang w:val="en-GB"/>
        </w:rPr>
        <w:t xml:space="preserve"> percentile for all models to limit extreme values and preserve covariate balance.</w:t>
      </w:r>
    </w:p>
    <w:p w14:paraId="361456B7" w14:textId="2CCB1C51" w:rsidR="00B51D9B" w:rsidRPr="00B51D9B" w:rsidRDefault="00B51D9B" w:rsidP="00B51D9B">
      <w:pPr>
        <w:spacing w:line="480" w:lineRule="auto"/>
        <w:rPr>
          <w:rFonts w:ascii="Times New Roman" w:hAnsi="Times New Roman" w:cs="Times New Roman"/>
          <w:b/>
          <w:bCs/>
          <w:sz w:val="24"/>
          <w:szCs w:val="24"/>
          <w:lang w:val="en-GB"/>
        </w:rPr>
      </w:pPr>
      <w:r w:rsidRPr="00B51D9B">
        <w:rPr>
          <w:rFonts w:ascii="Times New Roman" w:hAnsi="Times New Roman" w:cs="Times New Roman"/>
          <w:b/>
          <w:bCs/>
          <w:sz w:val="24"/>
          <w:szCs w:val="24"/>
          <w:lang w:val="en-GB"/>
        </w:rPr>
        <w:t>Doubly robust estimation and covariate selection</w:t>
      </w:r>
    </w:p>
    <w:p w14:paraId="7956B43A" w14:textId="32F32D0F" w:rsidR="00066F08" w:rsidRPr="00230B50" w:rsidRDefault="00066F08" w:rsidP="00B51D9B">
      <w:pPr>
        <w:spacing w:line="480" w:lineRule="auto"/>
        <w:rPr>
          <w:rFonts w:ascii="Times New Roman" w:hAnsi="Times New Roman" w:cs="Times New Roman"/>
          <w:sz w:val="24"/>
          <w:szCs w:val="24"/>
          <w:lang w:val="en-GB"/>
        </w:rPr>
      </w:pPr>
      <w:r w:rsidRPr="00230B50">
        <w:rPr>
          <w:rFonts w:ascii="Times New Roman" w:hAnsi="Times New Roman" w:cs="Times New Roman"/>
          <w:sz w:val="24"/>
          <w:szCs w:val="24"/>
          <w:lang w:val="en-GB"/>
        </w:rPr>
        <w:t>To further mitigate residual confounding after the boosting stage, we adopted a doubly robust estimation approach, which entails including in the outcome model the covariates already used in the propensity score estimation [</w:t>
      </w:r>
      <w:r>
        <w:rPr>
          <w:rFonts w:ascii="Times New Roman" w:hAnsi="Times New Roman" w:cs="Times New Roman"/>
          <w:sz w:val="24"/>
          <w:szCs w:val="24"/>
          <w:lang w:val="en-GB"/>
        </w:rPr>
        <w:t>2</w:t>
      </w:r>
      <w:r w:rsidRPr="00230B50">
        <w:rPr>
          <w:rFonts w:ascii="Times New Roman" w:hAnsi="Times New Roman" w:cs="Times New Roman"/>
          <w:sz w:val="24"/>
          <w:szCs w:val="24"/>
          <w:lang w:val="en-GB"/>
        </w:rPr>
        <w:t>,</w:t>
      </w:r>
      <w:r>
        <w:rPr>
          <w:rFonts w:ascii="Times New Roman" w:hAnsi="Times New Roman" w:cs="Times New Roman"/>
          <w:sz w:val="24"/>
          <w:szCs w:val="24"/>
          <w:lang w:val="en-GB"/>
        </w:rPr>
        <w:t>3</w:t>
      </w:r>
      <w:r w:rsidRPr="00230B50">
        <w:rPr>
          <w:rFonts w:ascii="Times New Roman" w:hAnsi="Times New Roman" w:cs="Times New Roman"/>
          <w:sz w:val="24"/>
          <w:szCs w:val="24"/>
          <w:lang w:val="en-GB"/>
        </w:rPr>
        <w:t>]. However, to improve estimate efficiency and avoid overfitting, covariates were pre-selected using a preliminary double-selection lasso logistic regression with clustered standard errors, except for patient sex and age, which were forced into the model [</w:t>
      </w:r>
      <w:r>
        <w:rPr>
          <w:rFonts w:ascii="Times New Roman" w:hAnsi="Times New Roman" w:cs="Times New Roman"/>
          <w:sz w:val="24"/>
          <w:szCs w:val="24"/>
          <w:lang w:val="en-GB"/>
        </w:rPr>
        <w:t>4</w:t>
      </w:r>
      <w:r w:rsidRPr="00230B50">
        <w:rPr>
          <w:rFonts w:ascii="Times New Roman" w:hAnsi="Times New Roman" w:cs="Times New Roman"/>
          <w:sz w:val="24"/>
          <w:szCs w:val="24"/>
          <w:lang w:val="en-GB"/>
        </w:rPr>
        <w:t>].</w:t>
      </w:r>
    </w:p>
    <w:p w14:paraId="07E80D9B" w14:textId="1F770A43" w:rsidR="00380547" w:rsidRPr="00380547" w:rsidRDefault="00380547" w:rsidP="00380547">
      <w:pPr>
        <w:spacing w:line="480" w:lineRule="auto"/>
        <w:rPr>
          <w:rFonts w:ascii="Times New Roman" w:hAnsi="Times New Roman" w:cs="Times New Roman"/>
          <w:b/>
          <w:bCs/>
          <w:sz w:val="24"/>
          <w:szCs w:val="24"/>
          <w:lang w:val="en-GB"/>
        </w:rPr>
      </w:pPr>
      <w:r w:rsidRPr="00380547">
        <w:rPr>
          <w:rFonts w:ascii="Times New Roman" w:hAnsi="Times New Roman" w:cs="Times New Roman"/>
          <w:b/>
          <w:bCs/>
          <w:sz w:val="24"/>
          <w:szCs w:val="24"/>
          <w:lang w:val="en-GB"/>
        </w:rPr>
        <w:t>Model estimation and random effects</w:t>
      </w:r>
    </w:p>
    <w:p w14:paraId="6CA02330" w14:textId="4D1870F1" w:rsidR="00A6542B" w:rsidRPr="00EB564C" w:rsidRDefault="00066F08" w:rsidP="00380547">
      <w:pPr>
        <w:spacing w:line="480" w:lineRule="auto"/>
        <w:rPr>
          <w:rFonts w:ascii="Times New Roman" w:hAnsi="Times New Roman" w:cs="Times New Roman"/>
          <w:sz w:val="24"/>
          <w:szCs w:val="24"/>
          <w:lang w:val="en-US"/>
        </w:rPr>
      </w:pPr>
      <w:r w:rsidRPr="00230B50">
        <w:rPr>
          <w:rFonts w:ascii="Times New Roman" w:hAnsi="Times New Roman" w:cs="Times New Roman"/>
          <w:sz w:val="24"/>
          <w:szCs w:val="24"/>
          <w:lang w:val="en-GB"/>
        </w:rPr>
        <w:t>Final mixed-effects models were fitted using mean–variance adaptive Gauss–Hermite quadrature, a method shown to improve estimation accuracy in multi-level modelling [</w:t>
      </w:r>
      <w:r>
        <w:rPr>
          <w:rFonts w:ascii="Times New Roman" w:hAnsi="Times New Roman" w:cs="Times New Roman"/>
          <w:sz w:val="24"/>
          <w:szCs w:val="24"/>
          <w:lang w:val="en-GB"/>
        </w:rPr>
        <w:t>5</w:t>
      </w:r>
      <w:r w:rsidRPr="00230B50">
        <w:rPr>
          <w:rFonts w:ascii="Times New Roman" w:hAnsi="Times New Roman" w:cs="Times New Roman"/>
          <w:sz w:val="24"/>
          <w:szCs w:val="24"/>
          <w:lang w:val="en-GB"/>
        </w:rPr>
        <w:t xml:space="preserve">]. The likelihood ratio test did not support the inclusion of random slopes for any patient-level covariates; therefore, all </w:t>
      </w:r>
      <w:r w:rsidRPr="00230B50">
        <w:rPr>
          <w:rFonts w:ascii="Times New Roman" w:hAnsi="Times New Roman" w:cs="Times New Roman"/>
          <w:sz w:val="24"/>
          <w:szCs w:val="24"/>
          <w:lang w:val="en-GB"/>
        </w:rPr>
        <w:lastRenderedPageBreak/>
        <w:t>covariates were modelled as fixed effects.</w:t>
      </w:r>
      <w:r w:rsidR="00A6542B">
        <w:rPr>
          <w:rFonts w:ascii="Times New Roman" w:hAnsi="Times New Roman" w:cs="Times New Roman"/>
          <w:sz w:val="24"/>
          <w:szCs w:val="24"/>
          <w:lang w:val="en-GB"/>
        </w:rPr>
        <w:t xml:space="preserve"> The </w:t>
      </w:r>
      <w:r w:rsidR="00A6542B" w:rsidRPr="00ED4D94">
        <w:rPr>
          <w:rFonts w:ascii="Times New Roman" w:hAnsi="Times New Roman" w:cs="Times New Roman"/>
          <w:sz w:val="24"/>
          <w:szCs w:val="24"/>
          <w:lang w:val="en-GB"/>
        </w:rPr>
        <w:t>variance partition coefficients (VPCs), indicating the proportion of residual variance attributable to differences</w:t>
      </w:r>
      <w:r w:rsidR="00A6542B">
        <w:rPr>
          <w:rFonts w:ascii="Times New Roman" w:hAnsi="Times New Roman" w:cs="Times New Roman"/>
          <w:sz w:val="24"/>
          <w:szCs w:val="24"/>
          <w:lang w:val="en-GB"/>
        </w:rPr>
        <w:t xml:space="preserve"> across general practitioners (i.e., across random intercepts), were calculated </w:t>
      </w:r>
      <w:r w:rsidR="00EB564C">
        <w:rPr>
          <w:rFonts w:ascii="Times New Roman" w:hAnsi="Times New Roman" w:cs="Times New Roman"/>
          <w:sz w:val="24"/>
          <w:szCs w:val="24"/>
          <w:lang w:val="en-GB"/>
        </w:rPr>
        <w:t xml:space="preserve">following </w:t>
      </w:r>
      <w:r w:rsidR="00EB564C" w:rsidRPr="00EB564C">
        <w:rPr>
          <w:rFonts w:ascii="Times New Roman" w:hAnsi="Times New Roman" w:cs="Times New Roman"/>
          <w:sz w:val="24"/>
          <w:szCs w:val="24"/>
          <w:lang w:val="en-US"/>
        </w:rPr>
        <w:t>Snijders and Bosker</w:t>
      </w:r>
      <w:r w:rsidR="00EB564C">
        <w:rPr>
          <w:rFonts w:ascii="Times New Roman" w:hAnsi="Times New Roman" w:cs="Times New Roman"/>
          <w:sz w:val="24"/>
          <w:szCs w:val="24"/>
          <w:lang w:val="en-US"/>
        </w:rPr>
        <w:t>’</w:t>
      </w:r>
      <w:r w:rsidR="00EB564C" w:rsidRPr="00EB564C">
        <w:rPr>
          <w:rFonts w:ascii="Times New Roman" w:hAnsi="Times New Roman" w:cs="Times New Roman"/>
          <w:sz w:val="24"/>
          <w:szCs w:val="24"/>
          <w:lang w:val="en-US"/>
        </w:rPr>
        <w:t>s</w:t>
      </w:r>
      <w:r w:rsidR="00EB564C">
        <w:rPr>
          <w:rFonts w:ascii="Times New Roman" w:hAnsi="Times New Roman" w:cs="Times New Roman"/>
          <w:sz w:val="24"/>
          <w:szCs w:val="24"/>
          <w:lang w:val="en-US"/>
        </w:rPr>
        <w:t xml:space="preserve"> </w:t>
      </w:r>
      <w:r w:rsidR="00A6542B">
        <w:rPr>
          <w:rFonts w:ascii="Times New Roman" w:hAnsi="Times New Roman" w:cs="Times New Roman"/>
          <w:sz w:val="24"/>
          <w:szCs w:val="24"/>
          <w:lang w:val="en-GB"/>
        </w:rPr>
        <w:t>classical approach</w:t>
      </w:r>
      <w:r w:rsidR="00A6542B" w:rsidRPr="00ED4D94">
        <w:rPr>
          <w:rFonts w:ascii="Times New Roman" w:hAnsi="Times New Roman" w:cs="Times New Roman"/>
          <w:sz w:val="24"/>
          <w:szCs w:val="24"/>
          <w:lang w:val="en-GB"/>
        </w:rPr>
        <w:t>.[</w:t>
      </w:r>
      <w:r w:rsidR="00A6542B">
        <w:rPr>
          <w:rFonts w:ascii="Times New Roman" w:hAnsi="Times New Roman" w:cs="Times New Roman"/>
          <w:sz w:val="24"/>
          <w:szCs w:val="24"/>
          <w:lang w:val="en-GB"/>
        </w:rPr>
        <w:t>6</w:t>
      </w:r>
      <w:r w:rsidR="00A6542B" w:rsidRPr="00ED4D94">
        <w:rPr>
          <w:rFonts w:ascii="Times New Roman" w:hAnsi="Times New Roman" w:cs="Times New Roman"/>
          <w:sz w:val="24"/>
          <w:szCs w:val="24"/>
          <w:lang w:val="en-GB"/>
        </w:rPr>
        <w:t>]</w:t>
      </w:r>
    </w:p>
    <w:p w14:paraId="6291815A" w14:textId="71A42C15" w:rsidR="00380547" w:rsidRPr="00380547" w:rsidRDefault="00380547" w:rsidP="00380547">
      <w:pPr>
        <w:spacing w:line="480" w:lineRule="auto"/>
        <w:rPr>
          <w:rFonts w:ascii="Times New Roman" w:hAnsi="Times New Roman" w:cs="Times New Roman"/>
          <w:b/>
          <w:bCs/>
          <w:sz w:val="24"/>
          <w:szCs w:val="24"/>
          <w:lang w:val="en-GB"/>
        </w:rPr>
      </w:pPr>
      <w:r w:rsidRPr="00380547">
        <w:rPr>
          <w:rFonts w:ascii="Times New Roman" w:hAnsi="Times New Roman" w:cs="Times New Roman"/>
          <w:b/>
          <w:bCs/>
          <w:sz w:val="24"/>
          <w:szCs w:val="24"/>
          <w:lang w:val="en-GB"/>
        </w:rPr>
        <w:t>Interaction and stratified analysis</w:t>
      </w:r>
    </w:p>
    <w:p w14:paraId="4EEA853A" w14:textId="72DD442D" w:rsidR="00066F08" w:rsidRPr="00230B50" w:rsidRDefault="00066F08" w:rsidP="00380547">
      <w:pPr>
        <w:spacing w:line="480" w:lineRule="auto"/>
        <w:rPr>
          <w:rFonts w:ascii="Times New Roman" w:hAnsi="Times New Roman" w:cs="Times New Roman"/>
          <w:sz w:val="24"/>
          <w:szCs w:val="24"/>
          <w:lang w:val="en-GB"/>
        </w:rPr>
      </w:pPr>
      <w:r>
        <w:rPr>
          <w:rFonts w:ascii="Times New Roman" w:hAnsi="Times New Roman" w:cs="Times New Roman"/>
          <w:sz w:val="24"/>
          <w:szCs w:val="24"/>
          <w:lang w:val="en-GB"/>
        </w:rPr>
        <w:t>W</w:t>
      </w:r>
      <w:r w:rsidRPr="00230B50">
        <w:rPr>
          <w:rFonts w:ascii="Times New Roman" w:hAnsi="Times New Roman" w:cs="Times New Roman"/>
          <w:sz w:val="24"/>
          <w:szCs w:val="24"/>
          <w:lang w:val="en-GB"/>
        </w:rPr>
        <w:t xml:space="preserve">e tested statistical interactions between the </w:t>
      </w:r>
      <w:r w:rsidR="00A6542B">
        <w:rPr>
          <w:rFonts w:ascii="Times New Roman" w:hAnsi="Times New Roman" w:cs="Times New Roman"/>
          <w:sz w:val="24"/>
          <w:szCs w:val="24"/>
          <w:lang w:val="en-GB"/>
        </w:rPr>
        <w:t>general practitioner</w:t>
      </w:r>
      <w:r w:rsidRPr="00230B50">
        <w:rPr>
          <w:rFonts w:ascii="Times New Roman" w:hAnsi="Times New Roman" w:cs="Times New Roman"/>
          <w:sz w:val="24"/>
          <w:szCs w:val="24"/>
          <w:lang w:val="en-GB"/>
        </w:rPr>
        <w:t xml:space="preserve">’s district of practice and the exposure variable (i.e., general practice model), operationalised as a binary indicator contrasting solo or networked practices versus group-based care. This simplification was adopted to address the pronounced imbalance in the local distribution of group practices located inside versus outside </w:t>
      </w:r>
      <w:r w:rsidR="00A6542B">
        <w:rPr>
          <w:rFonts w:ascii="Times New Roman" w:hAnsi="Times New Roman" w:cs="Times New Roman"/>
          <w:sz w:val="24"/>
          <w:szCs w:val="24"/>
          <w:lang w:val="en-GB"/>
        </w:rPr>
        <w:t>Community Health Centres</w:t>
      </w:r>
      <w:r w:rsidRPr="00230B50">
        <w:rPr>
          <w:rFonts w:ascii="Times New Roman" w:hAnsi="Times New Roman" w:cs="Times New Roman"/>
          <w:sz w:val="24"/>
          <w:szCs w:val="24"/>
          <w:lang w:val="en-GB"/>
        </w:rPr>
        <w:t>: in several districts, one of the two categories was underrepresented, leading to unstable estimates and interpretative challenges. Although structural integration may differ between the two settings, they often share similar care delivery patterns at the local level—particularly in smaller districts. Therefore, for the purpose of district-level comparisons, the analysis focused on the broader contrast between solo/network and group-based practice.</w:t>
      </w:r>
    </w:p>
    <w:p w14:paraId="1605DA90" w14:textId="77777777" w:rsidR="00066F08" w:rsidRDefault="00066F08" w:rsidP="00066F08">
      <w:pPr>
        <w:spacing w:line="480" w:lineRule="auto"/>
        <w:ind w:firstLine="284"/>
        <w:rPr>
          <w:rFonts w:ascii="Times New Roman" w:hAnsi="Times New Roman" w:cs="Times New Roman"/>
          <w:sz w:val="24"/>
          <w:szCs w:val="24"/>
          <w:lang w:val="en-GB"/>
        </w:rPr>
      </w:pPr>
      <w:r w:rsidRPr="00230B50">
        <w:rPr>
          <w:rFonts w:ascii="Times New Roman" w:hAnsi="Times New Roman" w:cs="Times New Roman"/>
          <w:sz w:val="24"/>
          <w:szCs w:val="24"/>
          <w:lang w:val="en-GB"/>
        </w:rPr>
        <w:t>Stratified analyses were then performed only for districts showing a statistically significant interaction with the binary exposure. The model specification remained unchanged, and weights and covariates were retained from the overall Romagna cohort.</w:t>
      </w:r>
    </w:p>
    <w:p w14:paraId="55698262" w14:textId="68D79D66" w:rsidR="00066F08" w:rsidRPr="00380547" w:rsidRDefault="00380547" w:rsidP="00380547">
      <w:pPr>
        <w:spacing w:line="480" w:lineRule="auto"/>
        <w:rPr>
          <w:rFonts w:ascii="Times New Roman" w:hAnsi="Times New Roman" w:cs="Times New Roman"/>
          <w:b/>
          <w:bCs/>
          <w:sz w:val="24"/>
          <w:szCs w:val="24"/>
          <w:lang w:val="en-GB"/>
        </w:rPr>
      </w:pPr>
      <w:r w:rsidRPr="00380547">
        <w:rPr>
          <w:rFonts w:ascii="Times New Roman" w:hAnsi="Times New Roman" w:cs="Times New Roman"/>
          <w:b/>
          <w:bCs/>
          <w:sz w:val="24"/>
          <w:szCs w:val="24"/>
          <w:lang w:val="en-GB"/>
        </w:rPr>
        <w:t>References</w:t>
      </w:r>
    </w:p>
    <w:p w14:paraId="578C5E60" w14:textId="6B0E72BD" w:rsidR="00066F08" w:rsidRPr="00230B50" w:rsidRDefault="00066F08" w:rsidP="00066F08">
      <w:pPr>
        <w:spacing w:line="480" w:lineRule="auto"/>
        <w:rPr>
          <w:rFonts w:ascii="Times New Roman" w:hAnsi="Times New Roman" w:cs="Times New Roman"/>
          <w:sz w:val="24"/>
          <w:szCs w:val="24"/>
          <w:lang w:val="en-GB"/>
        </w:rPr>
      </w:pPr>
      <w:r w:rsidRPr="00230B50">
        <w:rPr>
          <w:rFonts w:ascii="Times New Roman" w:hAnsi="Times New Roman" w:cs="Times New Roman"/>
          <w:sz w:val="24"/>
          <w:szCs w:val="24"/>
          <w:lang w:val="en-GB"/>
        </w:rPr>
        <w:t>[</w:t>
      </w:r>
      <w:r>
        <w:rPr>
          <w:rFonts w:ascii="Times New Roman" w:hAnsi="Times New Roman" w:cs="Times New Roman"/>
          <w:sz w:val="24"/>
          <w:szCs w:val="24"/>
          <w:lang w:val="en-GB"/>
        </w:rPr>
        <w:t>1</w:t>
      </w:r>
      <w:r w:rsidRPr="00230B50">
        <w:rPr>
          <w:rFonts w:ascii="Times New Roman" w:hAnsi="Times New Roman" w:cs="Times New Roman"/>
          <w:sz w:val="24"/>
          <w:szCs w:val="24"/>
          <w:lang w:val="en-GB"/>
        </w:rPr>
        <w:t xml:space="preserve">] McCaffrey DF, Griffin BA, Almirall D, Slaughter ME, Ramchand R, Burgette LF. A tutorial on propensity score estimation for multiple treatments using generalized boosted models. Stat Med. 2013 Aug 30;32(19):3388-414. </w:t>
      </w:r>
      <w:proofErr w:type="spellStart"/>
      <w:r w:rsidRPr="00230B50">
        <w:rPr>
          <w:rFonts w:ascii="Times New Roman" w:hAnsi="Times New Roman" w:cs="Times New Roman"/>
          <w:sz w:val="24"/>
          <w:szCs w:val="24"/>
          <w:lang w:val="en-GB"/>
        </w:rPr>
        <w:t>doi</w:t>
      </w:r>
      <w:proofErr w:type="spellEnd"/>
      <w:r w:rsidRPr="00230B50">
        <w:rPr>
          <w:rFonts w:ascii="Times New Roman" w:hAnsi="Times New Roman" w:cs="Times New Roman"/>
          <w:sz w:val="24"/>
          <w:szCs w:val="24"/>
          <w:lang w:val="en-GB"/>
        </w:rPr>
        <w:t xml:space="preserve">: 10.1002/sim.5753. </w:t>
      </w:r>
      <w:proofErr w:type="spellStart"/>
      <w:r w:rsidRPr="00230B50">
        <w:rPr>
          <w:rFonts w:ascii="Times New Roman" w:hAnsi="Times New Roman" w:cs="Times New Roman"/>
          <w:sz w:val="24"/>
          <w:szCs w:val="24"/>
          <w:lang w:val="en-GB"/>
        </w:rPr>
        <w:t>Epub</w:t>
      </w:r>
      <w:proofErr w:type="spellEnd"/>
      <w:r w:rsidRPr="00230B50">
        <w:rPr>
          <w:rFonts w:ascii="Times New Roman" w:hAnsi="Times New Roman" w:cs="Times New Roman"/>
          <w:sz w:val="24"/>
          <w:szCs w:val="24"/>
          <w:lang w:val="en-GB"/>
        </w:rPr>
        <w:t xml:space="preserve"> 2013 Mar 18. PMID: 23508673; PMCID: PMC3710547.</w:t>
      </w:r>
    </w:p>
    <w:p w14:paraId="3F0D7140" w14:textId="74D2395C" w:rsidR="00066F08" w:rsidRPr="00230B50" w:rsidRDefault="00066F08" w:rsidP="00066F08">
      <w:pPr>
        <w:spacing w:line="480" w:lineRule="auto"/>
        <w:rPr>
          <w:rFonts w:ascii="Times New Roman" w:hAnsi="Times New Roman" w:cs="Times New Roman"/>
          <w:sz w:val="24"/>
          <w:szCs w:val="24"/>
          <w:lang w:val="en-GB"/>
        </w:rPr>
      </w:pPr>
      <w:r w:rsidRPr="00230B50">
        <w:rPr>
          <w:rFonts w:ascii="Times New Roman" w:hAnsi="Times New Roman" w:cs="Times New Roman"/>
          <w:sz w:val="24"/>
          <w:szCs w:val="24"/>
          <w:lang w:val="en-GB"/>
        </w:rPr>
        <w:t>[</w:t>
      </w:r>
      <w:r>
        <w:rPr>
          <w:rFonts w:ascii="Times New Roman" w:hAnsi="Times New Roman" w:cs="Times New Roman"/>
          <w:sz w:val="24"/>
          <w:szCs w:val="24"/>
          <w:lang w:val="en-GB"/>
        </w:rPr>
        <w:t>2</w:t>
      </w:r>
      <w:r w:rsidRPr="00230B50">
        <w:rPr>
          <w:rFonts w:ascii="Times New Roman" w:hAnsi="Times New Roman" w:cs="Times New Roman"/>
          <w:sz w:val="24"/>
          <w:szCs w:val="24"/>
          <w:lang w:val="en-GB"/>
        </w:rPr>
        <w:t xml:space="preserve">] Austin PC, Stuart EA. Moving towards best practice when using inverse probability of treatment weighting (IPTW) using the propensity score to estimate causal treatment effects in observational studies. Stat Med. 2015 Dec 10;34(28):3661-79. </w:t>
      </w:r>
      <w:proofErr w:type="spellStart"/>
      <w:r w:rsidRPr="00230B50">
        <w:rPr>
          <w:rFonts w:ascii="Times New Roman" w:hAnsi="Times New Roman" w:cs="Times New Roman"/>
          <w:sz w:val="24"/>
          <w:szCs w:val="24"/>
          <w:lang w:val="en-GB"/>
        </w:rPr>
        <w:t>doi</w:t>
      </w:r>
      <w:proofErr w:type="spellEnd"/>
      <w:r w:rsidRPr="00230B50">
        <w:rPr>
          <w:rFonts w:ascii="Times New Roman" w:hAnsi="Times New Roman" w:cs="Times New Roman"/>
          <w:sz w:val="24"/>
          <w:szCs w:val="24"/>
          <w:lang w:val="en-GB"/>
        </w:rPr>
        <w:t xml:space="preserve">: 10.1002/sim.6607. </w:t>
      </w:r>
      <w:proofErr w:type="spellStart"/>
      <w:r w:rsidRPr="00230B50">
        <w:rPr>
          <w:rFonts w:ascii="Times New Roman" w:hAnsi="Times New Roman" w:cs="Times New Roman"/>
          <w:sz w:val="24"/>
          <w:szCs w:val="24"/>
          <w:lang w:val="en-GB"/>
        </w:rPr>
        <w:t>Epub</w:t>
      </w:r>
      <w:proofErr w:type="spellEnd"/>
      <w:r w:rsidRPr="00230B50">
        <w:rPr>
          <w:rFonts w:ascii="Times New Roman" w:hAnsi="Times New Roman" w:cs="Times New Roman"/>
          <w:sz w:val="24"/>
          <w:szCs w:val="24"/>
          <w:lang w:val="en-GB"/>
        </w:rPr>
        <w:t xml:space="preserve"> 2015 Aug 3. PMID: 26238958; PMCID: PMC4626409.</w:t>
      </w:r>
    </w:p>
    <w:p w14:paraId="01BE8A88" w14:textId="71154E84" w:rsidR="00066F08" w:rsidRPr="00230B50" w:rsidRDefault="00066F08" w:rsidP="00066F08">
      <w:pPr>
        <w:spacing w:line="480" w:lineRule="auto"/>
        <w:rPr>
          <w:rFonts w:ascii="Times New Roman" w:hAnsi="Times New Roman" w:cs="Times New Roman"/>
          <w:sz w:val="24"/>
          <w:szCs w:val="24"/>
          <w:lang w:val="en-GB"/>
        </w:rPr>
      </w:pPr>
      <w:r w:rsidRPr="00230B50">
        <w:rPr>
          <w:rFonts w:ascii="Times New Roman" w:hAnsi="Times New Roman" w:cs="Times New Roman"/>
          <w:sz w:val="24"/>
          <w:szCs w:val="24"/>
          <w:lang w:val="en-GB"/>
        </w:rPr>
        <w:lastRenderedPageBreak/>
        <w:t>[</w:t>
      </w:r>
      <w:r>
        <w:rPr>
          <w:rFonts w:ascii="Times New Roman" w:hAnsi="Times New Roman" w:cs="Times New Roman"/>
          <w:sz w:val="24"/>
          <w:szCs w:val="24"/>
          <w:lang w:val="en-GB"/>
        </w:rPr>
        <w:t>3</w:t>
      </w:r>
      <w:r w:rsidRPr="00230B50">
        <w:rPr>
          <w:rFonts w:ascii="Times New Roman" w:hAnsi="Times New Roman" w:cs="Times New Roman"/>
          <w:sz w:val="24"/>
          <w:szCs w:val="24"/>
          <w:lang w:val="en-GB"/>
        </w:rPr>
        <w:t xml:space="preserve">] Hashimoto Y, Yasunaga H. Theory and practice of propensity score analysis. Ann Clin </w:t>
      </w:r>
      <w:proofErr w:type="spellStart"/>
      <w:r w:rsidRPr="00230B50">
        <w:rPr>
          <w:rFonts w:ascii="Times New Roman" w:hAnsi="Times New Roman" w:cs="Times New Roman"/>
          <w:sz w:val="24"/>
          <w:szCs w:val="24"/>
          <w:lang w:val="en-GB"/>
        </w:rPr>
        <w:t>Epidemiol</w:t>
      </w:r>
      <w:proofErr w:type="spellEnd"/>
      <w:r w:rsidRPr="00230B50">
        <w:rPr>
          <w:rFonts w:ascii="Times New Roman" w:hAnsi="Times New Roman" w:cs="Times New Roman"/>
          <w:sz w:val="24"/>
          <w:szCs w:val="24"/>
          <w:lang w:val="en-GB"/>
        </w:rPr>
        <w:t xml:space="preserve">. 2022 Oct 3;4(4):101-109. </w:t>
      </w:r>
      <w:proofErr w:type="spellStart"/>
      <w:r w:rsidRPr="00230B50">
        <w:rPr>
          <w:rFonts w:ascii="Times New Roman" w:hAnsi="Times New Roman" w:cs="Times New Roman"/>
          <w:sz w:val="24"/>
          <w:szCs w:val="24"/>
          <w:lang w:val="en-GB"/>
        </w:rPr>
        <w:t>doi</w:t>
      </w:r>
      <w:proofErr w:type="spellEnd"/>
      <w:r w:rsidRPr="00230B50">
        <w:rPr>
          <w:rFonts w:ascii="Times New Roman" w:hAnsi="Times New Roman" w:cs="Times New Roman"/>
          <w:sz w:val="24"/>
          <w:szCs w:val="24"/>
          <w:lang w:val="en-GB"/>
        </w:rPr>
        <w:t>: 10.37737/ace.22013. PMID: 38505253; PMCID: PMC10760486.</w:t>
      </w:r>
    </w:p>
    <w:p w14:paraId="05D53490" w14:textId="42DFDFA7" w:rsidR="00066F08" w:rsidRPr="00230B50" w:rsidRDefault="00066F08" w:rsidP="00066F08">
      <w:pPr>
        <w:spacing w:line="480" w:lineRule="auto"/>
        <w:rPr>
          <w:rFonts w:ascii="Times New Roman" w:hAnsi="Times New Roman" w:cs="Times New Roman"/>
          <w:sz w:val="24"/>
          <w:szCs w:val="24"/>
          <w:lang w:val="en-GB"/>
        </w:rPr>
      </w:pPr>
      <w:r w:rsidRPr="00230B50">
        <w:rPr>
          <w:rFonts w:ascii="Times New Roman" w:hAnsi="Times New Roman" w:cs="Times New Roman"/>
          <w:sz w:val="24"/>
          <w:szCs w:val="24"/>
          <w:lang w:val="en-GB"/>
        </w:rPr>
        <w:t>[</w:t>
      </w:r>
      <w:r>
        <w:rPr>
          <w:rFonts w:ascii="Times New Roman" w:hAnsi="Times New Roman" w:cs="Times New Roman"/>
          <w:sz w:val="24"/>
          <w:szCs w:val="24"/>
          <w:lang w:val="en-GB"/>
        </w:rPr>
        <w:t>4</w:t>
      </w:r>
      <w:r w:rsidRPr="00230B50">
        <w:rPr>
          <w:rFonts w:ascii="Times New Roman" w:hAnsi="Times New Roman" w:cs="Times New Roman"/>
          <w:sz w:val="24"/>
          <w:szCs w:val="24"/>
          <w:lang w:val="en-GB"/>
        </w:rPr>
        <w:t xml:space="preserve">] Belloni A, </w:t>
      </w:r>
      <w:proofErr w:type="spellStart"/>
      <w:r w:rsidRPr="00230B50">
        <w:rPr>
          <w:rFonts w:ascii="Times New Roman" w:hAnsi="Times New Roman" w:cs="Times New Roman"/>
          <w:sz w:val="24"/>
          <w:szCs w:val="24"/>
          <w:lang w:val="en-GB"/>
        </w:rPr>
        <w:t>Chernozhukov</w:t>
      </w:r>
      <w:proofErr w:type="spellEnd"/>
      <w:r w:rsidRPr="00230B50">
        <w:rPr>
          <w:rFonts w:ascii="Times New Roman" w:hAnsi="Times New Roman" w:cs="Times New Roman"/>
          <w:sz w:val="24"/>
          <w:szCs w:val="24"/>
          <w:lang w:val="en-GB"/>
        </w:rPr>
        <w:t xml:space="preserve"> V, Wei Y. Post-selection inference for generalized linear models with many controls. J Bus Econ Stat. 2016;34(4):606–619. </w:t>
      </w:r>
      <w:proofErr w:type="spellStart"/>
      <w:r w:rsidRPr="00230B50">
        <w:rPr>
          <w:rFonts w:ascii="Times New Roman" w:hAnsi="Times New Roman" w:cs="Times New Roman"/>
          <w:sz w:val="24"/>
          <w:szCs w:val="24"/>
          <w:lang w:val="en-GB"/>
        </w:rPr>
        <w:t>doi</w:t>
      </w:r>
      <w:proofErr w:type="spellEnd"/>
      <w:r w:rsidRPr="00230B50">
        <w:rPr>
          <w:rFonts w:ascii="Times New Roman" w:hAnsi="Times New Roman" w:cs="Times New Roman"/>
          <w:sz w:val="24"/>
          <w:szCs w:val="24"/>
          <w:lang w:val="en-GB"/>
        </w:rPr>
        <w:t>: 10.1080/07350015.2016.1166116.</w:t>
      </w:r>
    </w:p>
    <w:p w14:paraId="3B0521B2" w14:textId="116ACBBE" w:rsidR="00066F08" w:rsidRDefault="00066F08" w:rsidP="00066F08">
      <w:pPr>
        <w:spacing w:line="480" w:lineRule="auto"/>
        <w:rPr>
          <w:rFonts w:ascii="Times New Roman" w:hAnsi="Times New Roman" w:cs="Times New Roman"/>
          <w:sz w:val="24"/>
          <w:szCs w:val="24"/>
          <w:lang w:val="en-GB"/>
        </w:rPr>
      </w:pPr>
      <w:r w:rsidRPr="00230B50">
        <w:rPr>
          <w:rFonts w:ascii="Times New Roman" w:hAnsi="Times New Roman" w:cs="Times New Roman"/>
          <w:sz w:val="24"/>
          <w:szCs w:val="24"/>
          <w:lang w:val="en-GB"/>
        </w:rPr>
        <w:t>[</w:t>
      </w:r>
      <w:r>
        <w:rPr>
          <w:rFonts w:ascii="Times New Roman" w:hAnsi="Times New Roman" w:cs="Times New Roman"/>
          <w:sz w:val="24"/>
          <w:szCs w:val="24"/>
          <w:lang w:val="en-GB"/>
        </w:rPr>
        <w:t>5</w:t>
      </w:r>
      <w:r w:rsidRPr="00230B50">
        <w:rPr>
          <w:rFonts w:ascii="Times New Roman" w:hAnsi="Times New Roman" w:cs="Times New Roman"/>
          <w:sz w:val="24"/>
          <w:szCs w:val="24"/>
          <w:lang w:val="en-GB"/>
        </w:rPr>
        <w:t xml:space="preserve">] Pinheiro JC, Chao EC. Efficient Laplacian and adaptive Gaussian quadrature algorithms for multilevel generalized linear mixed models. J </w:t>
      </w:r>
      <w:proofErr w:type="spellStart"/>
      <w:r w:rsidRPr="00230B50">
        <w:rPr>
          <w:rFonts w:ascii="Times New Roman" w:hAnsi="Times New Roman" w:cs="Times New Roman"/>
          <w:sz w:val="24"/>
          <w:szCs w:val="24"/>
          <w:lang w:val="en-GB"/>
        </w:rPr>
        <w:t>Comput</w:t>
      </w:r>
      <w:proofErr w:type="spellEnd"/>
      <w:r w:rsidRPr="00230B50">
        <w:rPr>
          <w:rFonts w:ascii="Times New Roman" w:hAnsi="Times New Roman" w:cs="Times New Roman"/>
          <w:sz w:val="24"/>
          <w:szCs w:val="24"/>
          <w:lang w:val="en-GB"/>
        </w:rPr>
        <w:t xml:space="preserve"> Graph Stat. 2006;15(1):58–81. </w:t>
      </w:r>
      <w:proofErr w:type="spellStart"/>
      <w:r w:rsidRPr="00230B50">
        <w:rPr>
          <w:rFonts w:ascii="Times New Roman" w:hAnsi="Times New Roman" w:cs="Times New Roman"/>
          <w:sz w:val="24"/>
          <w:szCs w:val="24"/>
          <w:lang w:val="en-GB"/>
        </w:rPr>
        <w:t>doi</w:t>
      </w:r>
      <w:proofErr w:type="spellEnd"/>
      <w:r w:rsidRPr="00230B50">
        <w:rPr>
          <w:rFonts w:ascii="Times New Roman" w:hAnsi="Times New Roman" w:cs="Times New Roman"/>
          <w:sz w:val="24"/>
          <w:szCs w:val="24"/>
          <w:lang w:val="en-GB"/>
        </w:rPr>
        <w:t>: 10.1198/106186006X96962.</w:t>
      </w:r>
    </w:p>
    <w:p w14:paraId="04BDE463" w14:textId="74846CFD" w:rsidR="00A6542B" w:rsidRPr="0055414D" w:rsidRDefault="00A6542B" w:rsidP="00066F08">
      <w:pPr>
        <w:spacing w:line="480" w:lineRule="auto"/>
        <w:rPr>
          <w:rFonts w:ascii="Times New Roman" w:hAnsi="Times New Roman" w:cs="Times New Roman"/>
          <w:sz w:val="24"/>
          <w:szCs w:val="24"/>
          <w:lang w:val="en-GB"/>
        </w:rPr>
      </w:pPr>
      <w:r w:rsidRPr="00ED4D94">
        <w:rPr>
          <w:rFonts w:ascii="Times New Roman" w:hAnsi="Times New Roman" w:cs="Times New Roman"/>
          <w:sz w:val="24"/>
          <w:szCs w:val="24"/>
          <w:lang w:val="en-GB"/>
        </w:rPr>
        <w:t>[</w:t>
      </w:r>
      <w:r>
        <w:rPr>
          <w:rFonts w:ascii="Times New Roman" w:hAnsi="Times New Roman" w:cs="Times New Roman"/>
          <w:sz w:val="24"/>
          <w:szCs w:val="24"/>
          <w:lang w:val="en-GB"/>
        </w:rPr>
        <w:t>6</w:t>
      </w:r>
      <w:r w:rsidRPr="00ED4D94">
        <w:rPr>
          <w:rFonts w:ascii="Times New Roman" w:hAnsi="Times New Roman" w:cs="Times New Roman"/>
          <w:sz w:val="24"/>
          <w:szCs w:val="24"/>
          <w:lang w:val="en-GB"/>
        </w:rPr>
        <w:t xml:space="preserve">] Snijders TAB, Bosker RJ. Multilevel Analysis: An Introduction to Basic and Advanced Multilevel </w:t>
      </w:r>
      <w:proofErr w:type="spellStart"/>
      <w:r w:rsidRPr="00ED4D94">
        <w:rPr>
          <w:rFonts w:ascii="Times New Roman" w:hAnsi="Times New Roman" w:cs="Times New Roman"/>
          <w:sz w:val="24"/>
          <w:szCs w:val="24"/>
          <w:lang w:val="en-GB"/>
        </w:rPr>
        <w:t>Modeling</w:t>
      </w:r>
      <w:proofErr w:type="spellEnd"/>
      <w:r w:rsidRPr="00ED4D94">
        <w:rPr>
          <w:rFonts w:ascii="Times New Roman" w:hAnsi="Times New Roman" w:cs="Times New Roman"/>
          <w:sz w:val="24"/>
          <w:szCs w:val="24"/>
          <w:lang w:val="en-GB"/>
        </w:rPr>
        <w:t>. 2</w:t>
      </w:r>
      <w:r w:rsidRPr="00ED4D94">
        <w:rPr>
          <w:rFonts w:ascii="Times New Roman" w:hAnsi="Times New Roman" w:cs="Times New Roman"/>
          <w:sz w:val="24"/>
          <w:szCs w:val="24"/>
          <w:vertAlign w:val="superscript"/>
          <w:lang w:val="en-GB"/>
        </w:rPr>
        <w:t>nd</w:t>
      </w:r>
      <w:r w:rsidRPr="00ED4D94">
        <w:rPr>
          <w:rFonts w:ascii="Times New Roman" w:hAnsi="Times New Roman" w:cs="Times New Roman"/>
          <w:sz w:val="24"/>
          <w:szCs w:val="24"/>
          <w:lang w:val="en-GB"/>
        </w:rPr>
        <w:t xml:space="preserve"> ed. Los Angeles: Sage; 2012.</w:t>
      </w:r>
    </w:p>
    <w:sectPr w:rsidR="00A6542B" w:rsidRPr="0055414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F08"/>
    <w:rsid w:val="00066F08"/>
    <w:rsid w:val="001A1A1C"/>
    <w:rsid w:val="002A2718"/>
    <w:rsid w:val="00380547"/>
    <w:rsid w:val="003B5018"/>
    <w:rsid w:val="0055414D"/>
    <w:rsid w:val="00606EE0"/>
    <w:rsid w:val="00624FC3"/>
    <w:rsid w:val="006A75DA"/>
    <w:rsid w:val="00A6542B"/>
    <w:rsid w:val="00A97BC8"/>
    <w:rsid w:val="00B0669D"/>
    <w:rsid w:val="00B51D9B"/>
    <w:rsid w:val="00E31E80"/>
    <w:rsid w:val="00EB564C"/>
    <w:rsid w:val="00FC13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406E6"/>
  <w15:chartTrackingRefBased/>
  <w15:docId w15:val="{5069657B-A361-44D5-846E-357EC602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66F08"/>
    <w:pPr>
      <w:spacing w:after="0" w:line="240" w:lineRule="auto"/>
    </w:pPr>
  </w:style>
  <w:style w:type="paragraph" w:styleId="Titolo1">
    <w:name w:val="heading 1"/>
    <w:basedOn w:val="Normale"/>
    <w:next w:val="Normale"/>
    <w:link w:val="Titolo1Carattere"/>
    <w:uiPriority w:val="9"/>
    <w:qFormat/>
    <w:rsid w:val="00066F08"/>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66F08"/>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66F08"/>
    <w:pPr>
      <w:keepNext/>
      <w:keepLines/>
      <w:spacing w:before="160" w:after="80" w:line="259" w:lineRule="auto"/>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66F08"/>
    <w:pPr>
      <w:keepNext/>
      <w:keepLines/>
      <w:spacing w:before="80" w:after="40" w:line="259" w:lineRule="auto"/>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66F08"/>
    <w:pPr>
      <w:keepNext/>
      <w:keepLines/>
      <w:spacing w:before="80" w:after="40" w:line="259" w:lineRule="auto"/>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66F08"/>
    <w:pPr>
      <w:keepNext/>
      <w:keepLines/>
      <w:spacing w:before="40" w:line="259" w:lineRule="auto"/>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66F08"/>
    <w:pPr>
      <w:keepNext/>
      <w:keepLines/>
      <w:spacing w:before="40" w:line="259" w:lineRule="auto"/>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66F08"/>
    <w:pPr>
      <w:keepNext/>
      <w:keepLines/>
      <w:spacing w:line="259" w:lineRule="auto"/>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66F08"/>
    <w:pPr>
      <w:keepNext/>
      <w:keepLines/>
      <w:spacing w:line="259" w:lineRule="auto"/>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66F0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66F0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66F0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66F0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66F0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66F0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66F0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66F0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66F08"/>
    <w:rPr>
      <w:rFonts w:eastAsiaTheme="majorEastAsia" w:cstheme="majorBidi"/>
      <w:color w:val="272727" w:themeColor="text1" w:themeTint="D8"/>
    </w:rPr>
  </w:style>
  <w:style w:type="paragraph" w:styleId="Titolo">
    <w:name w:val="Title"/>
    <w:basedOn w:val="Normale"/>
    <w:next w:val="Normale"/>
    <w:link w:val="TitoloCarattere"/>
    <w:uiPriority w:val="10"/>
    <w:qFormat/>
    <w:rsid w:val="00066F08"/>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66F0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66F08"/>
    <w:pPr>
      <w:numPr>
        <w:ilvl w:val="1"/>
      </w:numPr>
      <w:spacing w:after="160" w:line="259" w:lineRule="auto"/>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66F0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66F08"/>
    <w:pPr>
      <w:spacing w:before="160" w:after="160" w:line="259" w:lineRule="auto"/>
      <w:jc w:val="center"/>
    </w:pPr>
    <w:rPr>
      <w:i/>
      <w:iCs/>
      <w:color w:val="404040" w:themeColor="text1" w:themeTint="BF"/>
    </w:rPr>
  </w:style>
  <w:style w:type="character" w:customStyle="1" w:styleId="CitazioneCarattere">
    <w:name w:val="Citazione Carattere"/>
    <w:basedOn w:val="Carpredefinitoparagrafo"/>
    <w:link w:val="Citazione"/>
    <w:uiPriority w:val="29"/>
    <w:rsid w:val="00066F08"/>
    <w:rPr>
      <w:i/>
      <w:iCs/>
      <w:color w:val="404040" w:themeColor="text1" w:themeTint="BF"/>
    </w:rPr>
  </w:style>
  <w:style w:type="paragraph" w:styleId="Paragrafoelenco">
    <w:name w:val="List Paragraph"/>
    <w:basedOn w:val="Normale"/>
    <w:uiPriority w:val="34"/>
    <w:qFormat/>
    <w:rsid w:val="00066F08"/>
    <w:pPr>
      <w:spacing w:after="160" w:line="259" w:lineRule="auto"/>
      <w:ind w:left="720"/>
      <w:contextualSpacing/>
    </w:pPr>
  </w:style>
  <w:style w:type="character" w:styleId="Enfasiintensa">
    <w:name w:val="Intense Emphasis"/>
    <w:basedOn w:val="Carpredefinitoparagrafo"/>
    <w:uiPriority w:val="21"/>
    <w:qFormat/>
    <w:rsid w:val="00066F08"/>
    <w:rPr>
      <w:i/>
      <w:iCs/>
      <w:color w:val="0F4761" w:themeColor="accent1" w:themeShade="BF"/>
    </w:rPr>
  </w:style>
  <w:style w:type="paragraph" w:styleId="Citazioneintensa">
    <w:name w:val="Intense Quote"/>
    <w:basedOn w:val="Normale"/>
    <w:next w:val="Normale"/>
    <w:link w:val="CitazioneintensaCarattere"/>
    <w:uiPriority w:val="30"/>
    <w:qFormat/>
    <w:rsid w:val="00066F08"/>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66F08"/>
    <w:rPr>
      <w:i/>
      <w:iCs/>
      <w:color w:val="0F4761" w:themeColor="accent1" w:themeShade="BF"/>
    </w:rPr>
  </w:style>
  <w:style w:type="character" w:styleId="Riferimentointenso">
    <w:name w:val="Intense Reference"/>
    <w:basedOn w:val="Carpredefinitoparagrafo"/>
    <w:uiPriority w:val="32"/>
    <w:qFormat/>
    <w:rsid w:val="00066F0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721</Words>
  <Characters>4113</Characters>
  <Application>Microsoft Office Word</Application>
  <DocSecurity>0</DocSecurity>
  <Lines>34</Lines>
  <Paragraphs>9</Paragraphs>
  <ScaleCrop>false</ScaleCrop>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Jacopo Lenzi</dc:creator>
  <cp:keywords/>
  <dc:description/>
  <cp:lastModifiedBy>Jacopo Lenzi</cp:lastModifiedBy>
  <cp:revision>10</cp:revision>
  <dcterms:created xsi:type="dcterms:W3CDTF">2025-07-14T14:39:00Z</dcterms:created>
  <dcterms:modified xsi:type="dcterms:W3CDTF">2025-07-17T09:10:00Z</dcterms:modified>
</cp:coreProperties>
</file>