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4F5EB" w14:textId="32B74CC8" w:rsidR="005151F5" w:rsidRDefault="009D2446" w:rsidP="009D2446">
      <w:pPr>
        <w:spacing w:after="0" w:line="240" w:lineRule="auto"/>
        <w:ind w:right="-1"/>
        <w:jc w:val="both"/>
        <w:rPr>
          <w:rFonts w:ascii="Times New Roman" w:hAnsi="Times New Roman" w:cs="Times New Roman"/>
          <w:b/>
          <w:lang w:val="en-GB"/>
        </w:rPr>
      </w:pPr>
      <w:r>
        <w:rPr>
          <w:rFonts w:ascii="Times New Roman" w:hAnsi="Times New Roman" w:cs="Times New Roman"/>
          <w:b/>
          <w:lang w:val="en-GB"/>
        </w:rPr>
        <w:t>Fig. S</w:t>
      </w:r>
      <w:r w:rsidR="00BA2D05">
        <w:rPr>
          <w:rFonts w:ascii="Times New Roman" w:hAnsi="Times New Roman" w:cs="Times New Roman"/>
          <w:b/>
          <w:lang w:val="en-GB"/>
        </w:rPr>
        <w:t>1</w:t>
      </w:r>
    </w:p>
    <w:p w14:paraId="0D0B6A71" w14:textId="4C049194" w:rsidR="009D2446" w:rsidRPr="001D0FCE" w:rsidRDefault="00731537" w:rsidP="009D2446">
      <w:pPr>
        <w:spacing w:after="0" w:line="240" w:lineRule="auto"/>
        <w:ind w:right="-1"/>
        <w:jc w:val="both"/>
        <w:rPr>
          <w:rFonts w:ascii="Times New Roman" w:hAnsi="Times New Roman" w:cs="Times New Roman"/>
          <w:lang w:val="en-GB"/>
        </w:rPr>
      </w:pPr>
      <w:r>
        <w:rPr>
          <w:rFonts w:ascii="Times New Roman" w:hAnsi="Times New Roman" w:cs="Times New Roman"/>
          <w:lang w:val="en-GB"/>
        </w:rPr>
        <w:t>Production a</w:t>
      </w:r>
      <w:r w:rsidR="009D2446">
        <w:rPr>
          <w:rFonts w:ascii="Times New Roman" w:hAnsi="Times New Roman" w:cs="Times New Roman"/>
          <w:lang w:val="en-GB"/>
        </w:rPr>
        <w:t>ctivities</w:t>
      </w:r>
      <w:r w:rsidR="009D2446" w:rsidRPr="00992247">
        <w:rPr>
          <w:rFonts w:ascii="Times New Roman" w:hAnsi="Times New Roman" w:cs="Times New Roman"/>
          <w:lang w:val="en-GB"/>
        </w:rPr>
        <w:t xml:space="preserve"> </w:t>
      </w:r>
      <w:r w:rsidR="009D2446" w:rsidRPr="00E10A16">
        <w:rPr>
          <w:rFonts w:ascii="Times New Roman" w:hAnsi="Times New Roman" w:cs="Times New Roman"/>
          <w:lang w:val="en-GB"/>
        </w:rPr>
        <w:t xml:space="preserve">in the </w:t>
      </w:r>
      <w:bookmarkStart w:id="0" w:name="_GoBack"/>
      <w:bookmarkEnd w:id="0"/>
      <w:r w:rsidR="009D2446" w:rsidRPr="00E10A16">
        <w:rPr>
          <w:rFonts w:ascii="Times New Roman" w:hAnsi="Times New Roman" w:cs="Times New Roman"/>
          <w:lang w:val="en-GB"/>
        </w:rPr>
        <w:t>food sectors</w:t>
      </w:r>
      <w:r w:rsidR="009D2446">
        <w:rPr>
          <w:rFonts w:ascii="Times New Roman" w:hAnsi="Times New Roman" w:cs="Times New Roman"/>
          <w:lang w:val="en-GB"/>
        </w:rPr>
        <w:t xml:space="preserve"> </w:t>
      </w:r>
      <w:r w:rsidR="009D2446" w:rsidRPr="00992247">
        <w:rPr>
          <w:rFonts w:ascii="Times New Roman" w:hAnsi="Times New Roman" w:cs="Times New Roman"/>
          <w:lang w:val="en-GB"/>
        </w:rPr>
        <w:t xml:space="preserve">that handle food of animal origin in the Emilia-Romagna </w:t>
      </w:r>
      <w:r w:rsidR="00297C14">
        <w:rPr>
          <w:rFonts w:ascii="Times New Roman" w:hAnsi="Times New Roman" w:cs="Times New Roman"/>
          <w:lang w:val="en-GB"/>
        </w:rPr>
        <w:t>R</w:t>
      </w:r>
      <w:r w:rsidR="009D2446" w:rsidRPr="00992247">
        <w:rPr>
          <w:rFonts w:ascii="Times New Roman" w:hAnsi="Times New Roman" w:cs="Times New Roman"/>
          <w:lang w:val="en-GB"/>
        </w:rPr>
        <w:t xml:space="preserve">egion </w:t>
      </w:r>
      <w:r w:rsidR="00107A78">
        <w:rPr>
          <w:rFonts w:ascii="Times New Roman" w:hAnsi="Times New Roman" w:cs="Times New Roman"/>
          <w:lang w:val="en-GB"/>
        </w:rPr>
        <w:t>(</w:t>
      </w:r>
      <w:r w:rsidR="009D2446" w:rsidRPr="00992247">
        <w:rPr>
          <w:rFonts w:ascii="Times New Roman" w:hAnsi="Times New Roman" w:cs="Times New Roman"/>
          <w:lang w:val="en-GB"/>
        </w:rPr>
        <w:t>2020-2024</w:t>
      </w:r>
      <w:r w:rsidR="00107A78">
        <w:rPr>
          <w:rFonts w:ascii="Times New Roman" w:hAnsi="Times New Roman" w:cs="Times New Roman"/>
          <w:lang w:val="en-GB"/>
        </w:rPr>
        <w:t>)</w:t>
      </w:r>
      <w:r w:rsidR="009D2446" w:rsidRPr="00992247">
        <w:rPr>
          <w:rFonts w:ascii="Times New Roman" w:hAnsi="Times New Roman" w:cs="Times New Roman"/>
          <w:lang w:val="en-GB"/>
        </w:rPr>
        <w:t>.</w:t>
      </w:r>
    </w:p>
    <w:p w14:paraId="09FF1CD0" w14:textId="77777777" w:rsidR="009D2446" w:rsidRDefault="009D2446" w:rsidP="009D2446">
      <w:pPr>
        <w:spacing w:after="0" w:line="240" w:lineRule="auto"/>
        <w:jc w:val="both"/>
        <w:rPr>
          <w:rFonts w:ascii="Times New Roman" w:hAnsi="Times New Roman" w:cs="Times New Roman"/>
          <w:b/>
          <w:lang w:val="en-GB"/>
        </w:rPr>
      </w:pPr>
      <w:r>
        <w:drawing>
          <wp:inline distT="0" distB="0" distL="0" distR="0" wp14:anchorId="7C34F984" wp14:editId="193FC1B6">
            <wp:extent cx="4500000" cy="2700000"/>
            <wp:effectExtent l="0" t="0" r="0" b="5715"/>
            <wp:docPr id="2" name="Grafico 2">
              <a:extLst xmlns:a="http://schemas.openxmlformats.org/drawingml/2006/main">
                <a:ext uri="{FF2B5EF4-FFF2-40B4-BE49-F238E27FC236}">
                  <a16:creationId xmlns:a16="http://schemas.microsoft.com/office/drawing/2014/main" id="{AD0282BF-C1AC-49EA-B468-8F33AB8CD4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Pr>
          <w:rFonts w:ascii="Times New Roman" w:hAnsi="Times New Roman" w:cs="Times New Roman"/>
          <w:b/>
          <w:lang w:val="en-GB"/>
        </w:rPr>
        <w:t xml:space="preserve"> </w:t>
      </w:r>
      <w:r>
        <w:drawing>
          <wp:inline distT="0" distB="0" distL="0" distR="0" wp14:anchorId="3CE6EFF8" wp14:editId="544FD37A">
            <wp:extent cx="4500000" cy="2700000"/>
            <wp:effectExtent l="0" t="0" r="0" b="5715"/>
            <wp:docPr id="14" name="Grafico 14">
              <a:extLst xmlns:a="http://schemas.openxmlformats.org/drawingml/2006/main">
                <a:ext uri="{FF2B5EF4-FFF2-40B4-BE49-F238E27FC236}">
                  <a16:creationId xmlns:a16="http://schemas.microsoft.com/office/drawing/2014/main" id="{AF6FEF46-6A9B-46D1-A68F-E0041C2F49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B010E0A" w14:textId="77777777" w:rsidR="009D2446" w:rsidRPr="001D0FCE" w:rsidRDefault="009D2446" w:rsidP="009D2446">
      <w:pPr>
        <w:spacing w:after="0" w:line="240" w:lineRule="auto"/>
        <w:jc w:val="both"/>
        <w:rPr>
          <w:rFonts w:ascii="Times New Roman" w:hAnsi="Times New Roman" w:cs="Times New Roman"/>
          <w:lang w:val="en-GB"/>
        </w:rPr>
      </w:pPr>
      <w:r w:rsidRPr="001D0FCE">
        <w:rPr>
          <w:rFonts w:ascii="Times New Roman" w:hAnsi="Times New Roman" w:cs="Times New Roman"/>
          <w:lang w:val="en-GB"/>
        </w:rPr>
        <w:t>A1</w:t>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r>
      <w:r w:rsidRPr="001D0FCE">
        <w:rPr>
          <w:rFonts w:ascii="Times New Roman" w:hAnsi="Times New Roman" w:cs="Times New Roman"/>
          <w:lang w:val="en-GB"/>
        </w:rPr>
        <w:tab/>
        <w:t>A2</w:t>
      </w:r>
    </w:p>
    <w:p w14:paraId="12844B22" w14:textId="77777777" w:rsidR="009D2446" w:rsidRPr="001D0FCE" w:rsidRDefault="009D2446" w:rsidP="009D2446">
      <w:pPr>
        <w:spacing w:after="0" w:line="240" w:lineRule="auto"/>
        <w:jc w:val="both"/>
        <w:rPr>
          <w:rFonts w:ascii="Times New Roman" w:hAnsi="Times New Roman" w:cs="Times New Roman"/>
          <w:lang w:val="en-GB"/>
        </w:rPr>
      </w:pPr>
      <w:r>
        <w:drawing>
          <wp:inline distT="0" distB="0" distL="0" distR="0" wp14:anchorId="0653A5E0" wp14:editId="51C2BFA7">
            <wp:extent cx="4500000" cy="2700000"/>
            <wp:effectExtent l="0" t="0" r="0" b="5715"/>
            <wp:docPr id="7" name="Grafico 7">
              <a:extLst xmlns:a="http://schemas.openxmlformats.org/drawingml/2006/main">
                <a:ext uri="{FF2B5EF4-FFF2-40B4-BE49-F238E27FC236}">
                  <a16:creationId xmlns:a16="http://schemas.microsoft.com/office/drawing/2014/main" id="{7FD00886-FF4D-4655-A999-E2C324DAE2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rFonts w:ascii="Times New Roman" w:hAnsi="Times New Roman" w:cs="Times New Roman"/>
          <w:lang w:val="en-GB"/>
        </w:rPr>
        <w:t xml:space="preserve"> </w:t>
      </w:r>
      <w:r>
        <w:drawing>
          <wp:inline distT="0" distB="0" distL="0" distR="0" wp14:anchorId="2CC2B2AA" wp14:editId="761AD5D9">
            <wp:extent cx="4500000" cy="2700000"/>
            <wp:effectExtent l="0" t="0" r="0" b="5715"/>
            <wp:docPr id="8" name="Grafico 8">
              <a:extLst xmlns:a="http://schemas.openxmlformats.org/drawingml/2006/main">
                <a:ext uri="{FF2B5EF4-FFF2-40B4-BE49-F238E27FC236}">
                  <a16:creationId xmlns:a16="http://schemas.microsoft.com/office/drawing/2014/main" id="{F312FE17-0B1F-4580-B230-263B79348C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8432559" w14:textId="77777777" w:rsidR="009D2446" w:rsidRDefault="009D2446" w:rsidP="009D2446">
      <w:pPr>
        <w:spacing w:after="0" w:line="240" w:lineRule="auto"/>
        <w:jc w:val="both"/>
        <w:rPr>
          <w:rFonts w:ascii="Times New Roman" w:hAnsi="Times New Roman" w:cs="Times New Roman"/>
          <w:lang w:val="en-GB"/>
        </w:rPr>
      </w:pPr>
      <w:r>
        <w:rPr>
          <w:rFonts w:ascii="Times New Roman" w:hAnsi="Times New Roman" w:cs="Times New Roman"/>
          <w:lang w:val="en-GB"/>
        </w:rPr>
        <w:t>B1</w:t>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t>B2</w:t>
      </w:r>
      <w:r>
        <w:rPr>
          <w:rFonts w:ascii="Times New Roman" w:hAnsi="Times New Roman" w:cs="Times New Roman"/>
          <w:lang w:val="en-GB"/>
        </w:rPr>
        <w:br w:type="page"/>
      </w:r>
    </w:p>
    <w:p w14:paraId="42FCCAE8" w14:textId="36DC858E" w:rsidR="009D2446" w:rsidRDefault="009D2446" w:rsidP="009D2446">
      <w:pPr>
        <w:spacing w:after="0" w:line="240" w:lineRule="auto"/>
        <w:jc w:val="both"/>
        <w:rPr>
          <w:rFonts w:ascii="Times New Roman" w:hAnsi="Times New Roman" w:cs="Times New Roman"/>
          <w:lang w:val="en-US"/>
        </w:rPr>
      </w:pPr>
      <w:r w:rsidRPr="00A66F8A">
        <w:rPr>
          <w:rFonts w:ascii="Times New Roman" w:hAnsi="Times New Roman" w:cs="Times New Roman"/>
          <w:lang w:val="en-US"/>
        </w:rPr>
        <w:lastRenderedPageBreak/>
        <w:t>Figure caption.</w:t>
      </w:r>
      <w:r>
        <w:rPr>
          <w:rFonts w:ascii="Times New Roman" w:hAnsi="Times New Roman" w:cs="Times New Roman"/>
          <w:lang w:val="en-US"/>
        </w:rPr>
        <w:t xml:space="preserve"> A1) </w:t>
      </w:r>
      <w:r w:rsidRPr="002344C3">
        <w:rPr>
          <w:rFonts w:ascii="Times New Roman" w:hAnsi="Times New Roman" w:cs="Times New Roman"/>
          <w:lang w:val="en-US"/>
        </w:rPr>
        <w:t>The risk category is high for all these plants (sections I</w:t>
      </w:r>
      <w:r w:rsidR="00DD5A8A">
        <w:rPr>
          <w:rFonts w:ascii="Times New Roman" w:hAnsi="Times New Roman" w:cs="Times New Roman"/>
          <w:lang w:val="en-US"/>
        </w:rPr>
        <w:t>-</w:t>
      </w:r>
      <w:r w:rsidRPr="002344C3">
        <w:rPr>
          <w:rFonts w:ascii="Times New Roman" w:hAnsi="Times New Roman" w:cs="Times New Roman"/>
          <w:lang w:val="en-US"/>
        </w:rPr>
        <w:t>V</w:t>
      </w:r>
      <w:r>
        <w:rPr>
          <w:rFonts w:ascii="Times New Roman" w:hAnsi="Times New Roman" w:cs="Times New Roman"/>
          <w:lang w:val="en-US"/>
        </w:rPr>
        <w:t>, and XI</w:t>
      </w:r>
      <w:r w:rsidRPr="002344C3">
        <w:rPr>
          <w:rFonts w:ascii="Times New Roman" w:hAnsi="Times New Roman" w:cs="Times New Roman"/>
          <w:lang w:val="en-US"/>
        </w:rPr>
        <w:t xml:space="preserve">), </w:t>
      </w:r>
      <w:r>
        <w:rPr>
          <w:rFonts w:ascii="Times New Roman" w:hAnsi="Times New Roman" w:cs="Times New Roman"/>
          <w:lang w:val="en-US"/>
        </w:rPr>
        <w:t>while</w:t>
      </w:r>
      <w:r w:rsidRPr="002344C3">
        <w:rPr>
          <w:rFonts w:ascii="Times New Roman" w:hAnsi="Times New Roman" w:cs="Times New Roman"/>
          <w:lang w:val="en-US"/>
        </w:rPr>
        <w:t xml:space="preserve"> for the meat products (section VI) </w:t>
      </w:r>
      <w:r>
        <w:rPr>
          <w:rFonts w:ascii="Times New Roman" w:hAnsi="Times New Roman" w:cs="Times New Roman"/>
          <w:lang w:val="en-US"/>
        </w:rPr>
        <w:t xml:space="preserve">and </w:t>
      </w:r>
      <w:r w:rsidRPr="002344C3">
        <w:rPr>
          <w:rFonts w:ascii="Times New Roman" w:hAnsi="Times New Roman" w:cs="Times New Roman"/>
          <w:lang w:val="en-US"/>
        </w:rPr>
        <w:t>re-wrapping and re-packaging establishments (section 0) the risk is depending on the production entity</w:t>
      </w:r>
      <w:r>
        <w:rPr>
          <w:rFonts w:ascii="Times New Roman" w:hAnsi="Times New Roman" w:cs="Times New Roman"/>
          <w:lang w:val="en-US"/>
        </w:rPr>
        <w:t xml:space="preserve"> (high and medium); A2) </w:t>
      </w:r>
      <w:r w:rsidRPr="008758E5">
        <w:rPr>
          <w:rFonts w:ascii="Times New Roman" w:hAnsi="Times New Roman" w:cs="Times New Roman"/>
          <w:lang w:val="en-US"/>
        </w:rPr>
        <w:t>The risk category is high for mollusc purification</w:t>
      </w:r>
      <w:r>
        <w:rPr>
          <w:rFonts w:ascii="Times New Roman" w:hAnsi="Times New Roman" w:cs="Times New Roman"/>
          <w:lang w:val="en-US"/>
        </w:rPr>
        <w:t xml:space="preserve"> </w:t>
      </w:r>
      <w:r w:rsidRPr="008758E5">
        <w:rPr>
          <w:rFonts w:ascii="Times New Roman" w:hAnsi="Times New Roman" w:cs="Times New Roman"/>
          <w:lang w:val="en-US"/>
        </w:rPr>
        <w:t>(section VII) and fresh fish handling and processing plants (section VIII), while the risk is medium or low wholesale market, auction hall and for production of mechanically separated fishmeat</w:t>
      </w:r>
      <w:r>
        <w:rPr>
          <w:rFonts w:ascii="Times New Roman" w:hAnsi="Times New Roman" w:cs="Times New Roman"/>
          <w:lang w:val="en-US"/>
        </w:rPr>
        <w:t xml:space="preserve"> (section VIII); B1) </w:t>
      </w:r>
      <w:r w:rsidRPr="008758E5">
        <w:rPr>
          <w:rFonts w:ascii="Times New Roman" w:hAnsi="Times New Roman" w:cs="Times New Roman"/>
          <w:lang w:val="en-US"/>
        </w:rPr>
        <w:t>The risk category is low for milk collection centres, standardization centres and cheese aging plants (section IX)</w:t>
      </w:r>
      <w:r>
        <w:rPr>
          <w:rFonts w:ascii="Times New Roman" w:hAnsi="Times New Roman" w:cs="Times New Roman"/>
          <w:lang w:val="en-US"/>
        </w:rPr>
        <w:t>, while the risk is high for the h</w:t>
      </w:r>
      <w:r w:rsidRPr="007D4D3C">
        <w:rPr>
          <w:rFonts w:ascii="Times New Roman" w:hAnsi="Times New Roman" w:cs="Times New Roman"/>
          <w:lang w:val="en-US"/>
        </w:rPr>
        <w:t>eat treatment plants</w:t>
      </w:r>
      <w:r>
        <w:rPr>
          <w:rFonts w:ascii="Times New Roman" w:hAnsi="Times New Roman" w:cs="Times New Roman"/>
          <w:lang w:val="en-US"/>
        </w:rPr>
        <w:t xml:space="preserve"> and high o medium for the dairy products (section IX); B2)</w:t>
      </w:r>
      <w:r w:rsidRPr="007D4D3C">
        <w:t xml:space="preserve"> </w:t>
      </w:r>
      <w:r w:rsidRPr="007D4D3C">
        <w:rPr>
          <w:rFonts w:ascii="Times New Roman" w:hAnsi="Times New Roman" w:cs="Times New Roman"/>
          <w:lang w:val="en-US"/>
        </w:rPr>
        <w:t xml:space="preserve">The risk category is low for </w:t>
      </w:r>
      <w:r>
        <w:rPr>
          <w:rFonts w:ascii="Times New Roman" w:hAnsi="Times New Roman" w:cs="Times New Roman"/>
          <w:lang w:val="en-US"/>
        </w:rPr>
        <w:t>the eggs packing (section X), RAFG processing plants (section XII), TSBI processing plants (section XIII), gelatine collection centres and processing plants (section XIV) and collagene collection centres and processing plants (section XV), while the risk is medium for the liquid egg plants and eggs processing plants (section X), and medium or low for the cold storage facilities (section 0).</w:t>
      </w:r>
    </w:p>
    <w:p w14:paraId="7700FE9E" w14:textId="77777777" w:rsidR="009D2446" w:rsidRPr="00DA4951" w:rsidRDefault="009D2446" w:rsidP="009D2446">
      <w:pPr>
        <w:spacing w:after="0" w:line="240" w:lineRule="auto"/>
        <w:jc w:val="both"/>
        <w:rPr>
          <w:rFonts w:ascii="Times New Roman" w:hAnsi="Times New Roman" w:cs="Times New Roman"/>
          <w:lang w:val="en-US"/>
        </w:rPr>
      </w:pPr>
      <w:r w:rsidRPr="007344A2">
        <w:rPr>
          <w:rFonts w:ascii="Times New Roman" w:hAnsi="Times New Roman" w:cs="Times New Roman"/>
        </w:rPr>
        <w:t xml:space="preserve">RAFG = rendered animal fats and greaves; </w:t>
      </w:r>
      <w:r>
        <w:rPr>
          <w:rFonts w:ascii="Times New Roman" w:hAnsi="Times New Roman" w:cs="Times New Roman"/>
        </w:rPr>
        <w:t>RW = r</w:t>
      </w:r>
      <w:r w:rsidRPr="00C142C5">
        <w:rPr>
          <w:rFonts w:ascii="Times New Roman" w:hAnsi="Times New Roman" w:cs="Times New Roman"/>
        </w:rPr>
        <w:t>e-wrapping and re-packaging establishment</w:t>
      </w:r>
      <w:r>
        <w:rPr>
          <w:rFonts w:ascii="Times New Roman" w:hAnsi="Times New Roman" w:cs="Times New Roman"/>
        </w:rPr>
        <w:t>; TSBI = t</w:t>
      </w:r>
      <w:r w:rsidRPr="007145F8">
        <w:rPr>
          <w:rFonts w:ascii="Times New Roman" w:hAnsi="Times New Roman" w:cs="Times New Roman"/>
        </w:rPr>
        <w:t>reated stomach, bladders and intestines</w:t>
      </w:r>
      <w:r>
        <w:rPr>
          <w:rFonts w:ascii="Times New Roman" w:hAnsi="Times New Roman" w:cs="Times New Roman"/>
        </w:rPr>
        <w:t>;</w:t>
      </w:r>
      <w:r w:rsidRPr="00A76AE2">
        <w:t xml:space="preserve"> </w:t>
      </w:r>
      <w:r w:rsidRPr="00A76AE2">
        <w:rPr>
          <w:rFonts w:ascii="Times New Roman" w:hAnsi="Times New Roman" w:cs="Times New Roman"/>
        </w:rPr>
        <w:t>* collection and standardization.</w:t>
      </w:r>
      <w:r>
        <w:rPr>
          <w:rFonts w:ascii="Times New Roman" w:hAnsi="Times New Roman" w:cs="Times New Roman"/>
          <w:b/>
          <w:lang w:val="en-GB"/>
        </w:rPr>
        <w:br w:type="page"/>
      </w:r>
    </w:p>
    <w:p w14:paraId="5E0C6ABD" w14:textId="57817478" w:rsidR="005151F5" w:rsidRDefault="00F15E94" w:rsidP="00F15E94">
      <w:pPr>
        <w:spacing w:after="0" w:line="240" w:lineRule="auto"/>
        <w:jc w:val="both"/>
        <w:rPr>
          <w:rFonts w:ascii="Times New Roman" w:hAnsi="Times New Roman" w:cs="Times New Roman"/>
          <w:b/>
          <w:lang w:val="en-GB"/>
        </w:rPr>
      </w:pPr>
      <w:r w:rsidRPr="00B26A91">
        <w:rPr>
          <w:rFonts w:ascii="Times New Roman" w:hAnsi="Times New Roman" w:cs="Times New Roman"/>
          <w:b/>
          <w:lang w:val="en-GB"/>
        </w:rPr>
        <w:t>Fig</w:t>
      </w:r>
      <w:r w:rsidR="009D2446">
        <w:rPr>
          <w:rFonts w:ascii="Times New Roman" w:hAnsi="Times New Roman" w:cs="Times New Roman"/>
          <w:b/>
          <w:lang w:val="en-GB"/>
        </w:rPr>
        <w:t>.</w:t>
      </w:r>
      <w:r w:rsidRPr="00B26A91">
        <w:rPr>
          <w:rFonts w:ascii="Times New Roman" w:hAnsi="Times New Roman" w:cs="Times New Roman"/>
          <w:b/>
          <w:lang w:val="en-GB"/>
        </w:rPr>
        <w:t xml:space="preserve"> </w:t>
      </w:r>
      <w:r w:rsidR="00AB3619">
        <w:rPr>
          <w:rFonts w:ascii="Times New Roman" w:hAnsi="Times New Roman" w:cs="Times New Roman"/>
          <w:b/>
          <w:lang w:val="en-GB"/>
        </w:rPr>
        <w:t>S</w:t>
      </w:r>
      <w:r w:rsidR="00BA2D05">
        <w:rPr>
          <w:rFonts w:ascii="Times New Roman" w:hAnsi="Times New Roman" w:cs="Times New Roman"/>
          <w:b/>
          <w:lang w:val="en-GB"/>
        </w:rPr>
        <w:t>2</w:t>
      </w:r>
    </w:p>
    <w:p w14:paraId="2118D40C" w14:textId="58BCCCDF" w:rsidR="00F15E94" w:rsidRDefault="000751EB" w:rsidP="00F15E94">
      <w:pPr>
        <w:spacing w:after="0" w:line="240" w:lineRule="auto"/>
        <w:jc w:val="both"/>
        <w:rPr>
          <w:rFonts w:ascii="Times New Roman" w:hAnsi="Times New Roman" w:cs="Times New Roman"/>
          <w:lang w:val="en-GB"/>
        </w:rPr>
      </w:pPr>
      <w:r>
        <w:rPr>
          <w:rFonts w:ascii="Times New Roman" w:hAnsi="Times New Roman" w:cs="Times New Roman"/>
          <w:lang w:val="en-GB"/>
        </w:rPr>
        <w:t>Trend</w:t>
      </w:r>
      <w:r w:rsidRPr="00DF1E37">
        <w:rPr>
          <w:rFonts w:ascii="Times New Roman" w:hAnsi="Times New Roman" w:cs="Times New Roman"/>
          <w:lang w:val="en-GB"/>
        </w:rPr>
        <w:t xml:space="preserve"> of non-co</w:t>
      </w:r>
      <w:r>
        <w:rPr>
          <w:rFonts w:ascii="Times New Roman" w:hAnsi="Times New Roman" w:cs="Times New Roman"/>
          <w:lang w:val="en-GB"/>
        </w:rPr>
        <w:t xml:space="preserve">mpliances </w:t>
      </w:r>
      <w:r w:rsidRPr="00DF1E37">
        <w:rPr>
          <w:rFonts w:ascii="Times New Roman" w:hAnsi="Times New Roman" w:cs="Times New Roman"/>
          <w:lang w:val="en-GB"/>
        </w:rPr>
        <w:t>critical to consumer food safety</w:t>
      </w:r>
      <w:r w:rsidR="004E368E">
        <w:rPr>
          <w:rFonts w:ascii="Times New Roman" w:hAnsi="Times New Roman" w:cs="Times New Roman"/>
          <w:lang w:val="en-GB"/>
        </w:rPr>
        <w:t xml:space="preserve"> detected at inspection.</w:t>
      </w:r>
    </w:p>
    <w:p w14:paraId="75338324" w14:textId="77777777" w:rsidR="000751EB" w:rsidRDefault="000751EB" w:rsidP="00F15E94">
      <w:pPr>
        <w:spacing w:after="0" w:line="240" w:lineRule="auto"/>
        <w:jc w:val="both"/>
        <w:rPr>
          <w:rFonts w:ascii="Times New Roman" w:hAnsi="Times New Roman" w:cs="Times New Roman"/>
          <w:lang w:val="en-GB"/>
        </w:rPr>
      </w:pPr>
    </w:p>
    <w:p w14:paraId="0C33BF04" w14:textId="1E2B83EA" w:rsidR="000751EB" w:rsidRDefault="005F13F5" w:rsidP="00F15E94">
      <w:pPr>
        <w:spacing w:after="0" w:line="240" w:lineRule="auto"/>
        <w:jc w:val="both"/>
        <w:rPr>
          <w:rFonts w:ascii="Times New Roman" w:hAnsi="Times New Roman" w:cs="Times New Roman"/>
          <w:lang w:val="en-GB"/>
        </w:rPr>
      </w:pPr>
      <w:r>
        <w:drawing>
          <wp:inline distT="0" distB="0" distL="0" distR="0" wp14:anchorId="39574316" wp14:editId="5E64237E">
            <wp:extent cx="3960000" cy="2340000"/>
            <wp:effectExtent l="0" t="0" r="2540" b="3175"/>
            <wp:docPr id="1" name="Grafico 1">
              <a:extLst xmlns:a="http://schemas.openxmlformats.org/drawingml/2006/main">
                <a:ext uri="{FF2B5EF4-FFF2-40B4-BE49-F238E27FC236}">
                  <a16:creationId xmlns:a16="http://schemas.microsoft.com/office/drawing/2014/main" id="{4DE7D01D-58F6-43B6-A86F-1901547B89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0751EB">
        <w:rPr>
          <w:rFonts w:ascii="Times New Roman" w:hAnsi="Times New Roman" w:cs="Times New Roman"/>
          <w:lang w:val="en-GB"/>
        </w:rPr>
        <w:tab/>
      </w:r>
      <w:r w:rsidR="000751EB">
        <w:tab/>
      </w:r>
      <w:r>
        <w:drawing>
          <wp:inline distT="0" distB="0" distL="0" distR="0" wp14:anchorId="06706767" wp14:editId="189E4DB0">
            <wp:extent cx="3960000" cy="2340000"/>
            <wp:effectExtent l="0" t="0" r="2540" b="3175"/>
            <wp:docPr id="3" name="Grafico 3">
              <a:extLst xmlns:a="http://schemas.openxmlformats.org/drawingml/2006/main">
                <a:ext uri="{FF2B5EF4-FFF2-40B4-BE49-F238E27FC236}">
                  <a16:creationId xmlns:a16="http://schemas.microsoft.com/office/drawing/2014/main" id="{2AC34379-0C78-4135-8428-1F94B38525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4D9662F" w14:textId="4D4AA36D" w:rsidR="00D11356" w:rsidRPr="000751EB" w:rsidRDefault="000751EB" w:rsidP="00F15E94">
      <w:pPr>
        <w:spacing w:after="0" w:line="240" w:lineRule="auto"/>
        <w:jc w:val="both"/>
        <w:rPr>
          <w:rFonts w:ascii="Times New Roman" w:hAnsi="Times New Roman" w:cs="Times New Roman"/>
          <w:lang w:val="en-GB"/>
        </w:rPr>
      </w:pPr>
      <w:r w:rsidRPr="000751EB">
        <w:rPr>
          <w:rFonts w:ascii="Times New Roman" w:hAnsi="Times New Roman" w:cs="Times New Roman"/>
          <w:lang w:val="en-GB"/>
        </w:rPr>
        <w:t>Structure and equipment</w:t>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sidRPr="000751EB">
        <w:rPr>
          <w:rFonts w:ascii="Times New Roman" w:hAnsi="Times New Roman" w:cs="Times New Roman"/>
          <w:lang w:val="en-GB"/>
        </w:rPr>
        <w:t>Raw materials, semi-finished products</w:t>
      </w:r>
    </w:p>
    <w:p w14:paraId="7C8C39DE" w14:textId="77777777" w:rsidR="00BF77F3" w:rsidRDefault="00BF77F3" w:rsidP="00F273F6">
      <w:pPr>
        <w:spacing w:after="0" w:line="240" w:lineRule="auto"/>
        <w:jc w:val="both"/>
        <w:rPr>
          <w:rFonts w:ascii="Times New Roman" w:hAnsi="Times New Roman" w:cs="Times New Roman"/>
          <w:lang w:val="en-US"/>
        </w:rPr>
      </w:pPr>
    </w:p>
    <w:p w14:paraId="76371B96" w14:textId="624C809F" w:rsidR="00F03361" w:rsidRDefault="00B739E6" w:rsidP="00F03361">
      <w:pPr>
        <w:spacing w:after="0" w:line="240" w:lineRule="auto"/>
        <w:jc w:val="both"/>
        <w:rPr>
          <w:rFonts w:ascii="Times New Roman" w:hAnsi="Times New Roman" w:cs="Times New Roman"/>
          <w:lang w:val="en-GB"/>
        </w:rPr>
      </w:pPr>
      <w:r w:rsidRPr="00B739E6">
        <w:rPr>
          <w:rFonts w:ascii="Times New Roman" w:hAnsi="Times New Roman" w:cs="Times New Roman"/>
          <w:lang w:val="en-US"/>
        </w:rPr>
        <w:t>Figure caption</w:t>
      </w:r>
      <w:r>
        <w:rPr>
          <w:rFonts w:ascii="Times New Roman" w:hAnsi="Times New Roman" w:cs="Times New Roman"/>
          <w:lang w:val="en-US"/>
        </w:rPr>
        <w:t>.</w:t>
      </w:r>
      <w:r w:rsidRPr="00B739E6">
        <w:rPr>
          <w:rFonts w:ascii="Times New Roman" w:hAnsi="Times New Roman" w:cs="Times New Roman"/>
          <w:lang w:val="en-GB"/>
        </w:rPr>
        <w:t xml:space="preserve"> </w:t>
      </w:r>
      <w:r w:rsidR="000D0784" w:rsidRPr="000D0784">
        <w:rPr>
          <w:rFonts w:ascii="Times New Roman" w:hAnsi="Times New Roman" w:cs="Times New Roman"/>
          <w:lang w:val="en-GB"/>
        </w:rPr>
        <w:t>I</w:t>
      </w:r>
      <w:r w:rsidR="00CB42A9">
        <w:rPr>
          <w:rFonts w:ascii="Times New Roman" w:hAnsi="Times New Roman" w:cs="Times New Roman"/>
          <w:lang w:val="en-GB"/>
        </w:rPr>
        <w:t xml:space="preserve"> = </w:t>
      </w:r>
      <w:r w:rsidR="000D0784" w:rsidRPr="000D0784">
        <w:rPr>
          <w:rFonts w:ascii="Times New Roman" w:hAnsi="Times New Roman" w:cs="Times New Roman"/>
          <w:lang w:val="en-GB"/>
        </w:rPr>
        <w:t>Meat of domestic ungulates</w:t>
      </w:r>
      <w:r w:rsidR="000D0784">
        <w:rPr>
          <w:rFonts w:ascii="Times New Roman" w:hAnsi="Times New Roman" w:cs="Times New Roman"/>
          <w:lang w:val="en-GB"/>
        </w:rPr>
        <w:t xml:space="preserve">; </w:t>
      </w:r>
      <w:r w:rsidR="000D0784" w:rsidRPr="000D0784">
        <w:rPr>
          <w:rFonts w:ascii="Times New Roman" w:hAnsi="Times New Roman" w:cs="Times New Roman"/>
          <w:lang w:val="en-GB"/>
        </w:rPr>
        <w:t>V</w:t>
      </w:r>
      <w:r w:rsidR="00284354">
        <w:rPr>
          <w:rFonts w:ascii="Times New Roman" w:hAnsi="Times New Roman" w:cs="Times New Roman"/>
          <w:lang w:val="en-GB"/>
        </w:rPr>
        <w:t xml:space="preserve"> = </w:t>
      </w:r>
      <w:r w:rsidR="000D0784" w:rsidRPr="000D0784">
        <w:rPr>
          <w:rFonts w:ascii="Times New Roman" w:hAnsi="Times New Roman" w:cs="Times New Roman"/>
          <w:lang w:val="en-GB"/>
        </w:rPr>
        <w:t>Minced meat, meat preparations and MSM</w:t>
      </w:r>
      <w:r w:rsidR="000D0784">
        <w:rPr>
          <w:rFonts w:ascii="Times New Roman" w:hAnsi="Times New Roman" w:cs="Times New Roman"/>
          <w:lang w:val="en-GB"/>
        </w:rPr>
        <w:t xml:space="preserve">; </w:t>
      </w:r>
      <w:r w:rsidR="000D0784" w:rsidRPr="000D0784">
        <w:rPr>
          <w:rFonts w:ascii="Times New Roman" w:hAnsi="Times New Roman" w:cs="Times New Roman"/>
          <w:lang w:val="en-GB"/>
        </w:rPr>
        <w:t>VI</w:t>
      </w:r>
      <w:r w:rsidR="00284354">
        <w:rPr>
          <w:rFonts w:ascii="Times New Roman" w:hAnsi="Times New Roman" w:cs="Times New Roman"/>
          <w:lang w:val="en-GB"/>
        </w:rPr>
        <w:t xml:space="preserve"> = </w:t>
      </w:r>
      <w:r w:rsidR="000D0784" w:rsidRPr="000D0784">
        <w:rPr>
          <w:rFonts w:ascii="Times New Roman" w:hAnsi="Times New Roman" w:cs="Times New Roman"/>
          <w:lang w:val="en-GB"/>
        </w:rPr>
        <w:t>Meat products</w:t>
      </w:r>
      <w:r w:rsidR="000D0784">
        <w:rPr>
          <w:rFonts w:ascii="Times New Roman" w:hAnsi="Times New Roman" w:cs="Times New Roman"/>
          <w:lang w:val="en-GB"/>
        </w:rPr>
        <w:t xml:space="preserve">; </w:t>
      </w:r>
      <w:r w:rsidR="000D0784" w:rsidRPr="000D0784">
        <w:rPr>
          <w:rFonts w:ascii="Times New Roman" w:hAnsi="Times New Roman" w:cs="Times New Roman"/>
          <w:lang w:val="en-GB"/>
        </w:rPr>
        <w:t>IX</w:t>
      </w:r>
      <w:r w:rsidR="00284354">
        <w:rPr>
          <w:rFonts w:ascii="Times New Roman" w:hAnsi="Times New Roman" w:cs="Times New Roman"/>
          <w:lang w:val="en-GB"/>
        </w:rPr>
        <w:t xml:space="preserve"> = </w:t>
      </w:r>
      <w:r w:rsidR="000D0784" w:rsidRPr="000D0784">
        <w:rPr>
          <w:rFonts w:ascii="Times New Roman" w:hAnsi="Times New Roman" w:cs="Times New Roman"/>
          <w:lang w:val="en-GB"/>
        </w:rPr>
        <w:t>Raw milk and dairy products</w:t>
      </w:r>
      <w:r w:rsidR="000D0784">
        <w:rPr>
          <w:rFonts w:ascii="Times New Roman" w:hAnsi="Times New Roman" w:cs="Times New Roman"/>
          <w:lang w:val="en-GB"/>
        </w:rPr>
        <w:t xml:space="preserve">; </w:t>
      </w:r>
      <w:r w:rsidR="00FB4E20">
        <w:rPr>
          <w:rFonts w:ascii="Times New Roman" w:hAnsi="Times New Roman" w:cs="Times New Roman"/>
          <w:lang w:val="en-GB"/>
        </w:rPr>
        <w:t xml:space="preserve">SH = </w:t>
      </w:r>
      <w:r w:rsidR="00FB4E20" w:rsidRPr="00FB4E20">
        <w:rPr>
          <w:rFonts w:ascii="Times New Roman" w:hAnsi="Times New Roman" w:cs="Times New Roman"/>
          <w:lang w:val="en-GB"/>
        </w:rPr>
        <w:t>Slaughterhouse</w:t>
      </w:r>
      <w:r w:rsidR="00FB4E20">
        <w:rPr>
          <w:rFonts w:ascii="Times New Roman" w:hAnsi="Times New Roman" w:cs="Times New Roman"/>
          <w:lang w:val="en-GB"/>
        </w:rPr>
        <w:t xml:space="preserve">; CP = </w:t>
      </w:r>
      <w:r w:rsidR="00FB4E20" w:rsidRPr="00FB4E20">
        <w:rPr>
          <w:rFonts w:ascii="Times New Roman" w:hAnsi="Times New Roman" w:cs="Times New Roman"/>
          <w:lang w:val="en-GB"/>
        </w:rPr>
        <w:t>Cutting plant</w:t>
      </w:r>
      <w:r w:rsidR="00FB4E20">
        <w:rPr>
          <w:rFonts w:ascii="Times New Roman" w:hAnsi="Times New Roman" w:cs="Times New Roman"/>
          <w:lang w:val="en-GB"/>
        </w:rPr>
        <w:t xml:space="preserve">; </w:t>
      </w:r>
      <w:r w:rsidR="00164C7C">
        <w:rPr>
          <w:rFonts w:ascii="Times New Roman" w:hAnsi="Times New Roman" w:cs="Times New Roman"/>
          <w:lang w:val="en-GB"/>
        </w:rPr>
        <w:t xml:space="preserve">MM = </w:t>
      </w:r>
      <w:r w:rsidR="00FB4E20" w:rsidRPr="00FB4E20">
        <w:rPr>
          <w:rFonts w:ascii="Times New Roman" w:hAnsi="Times New Roman" w:cs="Times New Roman"/>
          <w:lang w:val="en-GB"/>
        </w:rPr>
        <w:t>Minced meat establishment</w:t>
      </w:r>
      <w:r w:rsidR="00164C7C">
        <w:rPr>
          <w:rFonts w:ascii="Times New Roman" w:hAnsi="Times New Roman" w:cs="Times New Roman"/>
          <w:lang w:val="en-GB"/>
        </w:rPr>
        <w:t xml:space="preserve">; PP = </w:t>
      </w:r>
      <w:r w:rsidR="00FB4E20" w:rsidRPr="00FB4E20">
        <w:rPr>
          <w:rFonts w:ascii="Times New Roman" w:hAnsi="Times New Roman" w:cs="Times New Roman"/>
          <w:lang w:val="en-GB"/>
        </w:rPr>
        <w:t>Processing plant</w:t>
      </w:r>
      <w:r w:rsidR="0078470E">
        <w:rPr>
          <w:rFonts w:ascii="Times New Roman" w:hAnsi="Times New Roman" w:cs="Times New Roman"/>
          <w:lang w:val="en-GB"/>
        </w:rPr>
        <w:t>.</w:t>
      </w:r>
      <w:r w:rsidR="00F03361">
        <w:rPr>
          <w:rFonts w:ascii="Times New Roman" w:hAnsi="Times New Roman" w:cs="Times New Roman"/>
          <w:lang w:val="en-GB"/>
        </w:rPr>
        <w:br w:type="page"/>
      </w:r>
    </w:p>
    <w:p w14:paraId="32FC4495" w14:textId="65B5A408" w:rsidR="003F31E7" w:rsidRDefault="00F03361" w:rsidP="00F03361">
      <w:pPr>
        <w:spacing w:after="0" w:line="240" w:lineRule="auto"/>
        <w:ind w:right="-1"/>
        <w:jc w:val="both"/>
        <w:rPr>
          <w:rFonts w:ascii="Times New Roman" w:hAnsi="Times New Roman" w:cs="Times New Roman"/>
          <w:b/>
          <w:lang w:val="en-GB"/>
        </w:rPr>
      </w:pPr>
      <w:r w:rsidRPr="00B26A91">
        <w:rPr>
          <w:rFonts w:ascii="Times New Roman" w:hAnsi="Times New Roman" w:cs="Times New Roman"/>
          <w:b/>
          <w:lang w:val="en-GB"/>
        </w:rPr>
        <w:t>Fig</w:t>
      </w:r>
      <w:r>
        <w:rPr>
          <w:rFonts w:ascii="Times New Roman" w:hAnsi="Times New Roman" w:cs="Times New Roman"/>
          <w:b/>
          <w:lang w:val="en-GB"/>
        </w:rPr>
        <w:t>. S</w:t>
      </w:r>
      <w:r w:rsidR="00BA2D05">
        <w:rPr>
          <w:rFonts w:ascii="Times New Roman" w:hAnsi="Times New Roman" w:cs="Times New Roman"/>
          <w:b/>
          <w:lang w:val="en-GB"/>
        </w:rPr>
        <w:t>3</w:t>
      </w:r>
    </w:p>
    <w:p w14:paraId="51183529" w14:textId="783C0E44" w:rsidR="00F03361" w:rsidRDefault="00F03361" w:rsidP="00F03361">
      <w:pPr>
        <w:spacing w:after="0" w:line="240" w:lineRule="auto"/>
        <w:ind w:right="-1"/>
        <w:jc w:val="both"/>
        <w:rPr>
          <w:rFonts w:ascii="Times New Roman" w:hAnsi="Times New Roman" w:cs="Times New Roman"/>
          <w:noProof w:val="0"/>
          <w:lang w:val="en-GB"/>
        </w:rPr>
      </w:pPr>
      <w:r w:rsidRPr="00F03361">
        <w:rPr>
          <w:rFonts w:ascii="Times New Roman" w:hAnsi="Times New Roman" w:cs="Times New Roman"/>
          <w:noProof w:val="0"/>
          <w:lang w:val="en-GB"/>
        </w:rPr>
        <w:t>Opinions of veterinarian to questions concerning the official control system.</w:t>
      </w:r>
    </w:p>
    <w:p w14:paraId="28BC39F7" w14:textId="77777777" w:rsidR="00F03361" w:rsidRDefault="00F03361" w:rsidP="00F03361">
      <w:pPr>
        <w:rPr>
          <w:rFonts w:ascii="Times New Roman" w:hAnsi="Times New Roman" w:cs="Times New Roman"/>
          <w:lang w:val="en-GB"/>
        </w:rPr>
      </w:pPr>
      <w:r>
        <w:drawing>
          <wp:inline distT="0" distB="0" distL="0" distR="0" wp14:anchorId="016C35B7" wp14:editId="7285914A">
            <wp:extent cx="6480000" cy="5400000"/>
            <wp:effectExtent l="0" t="0" r="0" b="0"/>
            <wp:docPr id="6" name="Grafico 6">
              <a:extLst xmlns:a="http://schemas.openxmlformats.org/drawingml/2006/main">
                <a:ext uri="{FF2B5EF4-FFF2-40B4-BE49-F238E27FC236}">
                  <a16:creationId xmlns:a16="http://schemas.microsoft.com/office/drawing/2014/main" id="{A9C9D3B9-B1CE-4C92-B38F-1AC195D1F3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8088AED" w14:textId="77777777" w:rsidR="00F03361" w:rsidRDefault="00F03361" w:rsidP="00F03361">
      <w:pPr>
        <w:rPr>
          <w:rFonts w:ascii="Times New Roman" w:hAnsi="Times New Roman" w:cs="Times New Roman"/>
          <w:b/>
          <w:lang w:val="en-GB"/>
        </w:rPr>
      </w:pPr>
      <w:r>
        <w:rPr>
          <w:rFonts w:ascii="Times New Roman" w:hAnsi="Times New Roman" w:cs="Times New Roman"/>
          <w:lang w:val="en-GB"/>
        </w:rPr>
        <w:t>A1</w:t>
      </w:r>
      <w:r>
        <w:rPr>
          <w:rFonts w:ascii="Times New Roman" w:hAnsi="Times New Roman" w:cs="Times New Roman"/>
          <w:lang w:val="en-GB"/>
        </w:rPr>
        <w:br w:type="page"/>
      </w:r>
    </w:p>
    <w:p w14:paraId="5AC689E7" w14:textId="77777777" w:rsidR="00F03361" w:rsidRPr="006730FC" w:rsidRDefault="00F03361" w:rsidP="00F03361">
      <w:pPr>
        <w:rPr>
          <w:rFonts w:ascii="Times New Roman" w:hAnsi="Times New Roman" w:cs="Times New Roman"/>
          <w:lang w:val="en-GB"/>
        </w:rPr>
      </w:pPr>
      <w:r>
        <w:drawing>
          <wp:inline distT="0" distB="0" distL="0" distR="0" wp14:anchorId="7AA05B39" wp14:editId="6208C14C">
            <wp:extent cx="3600000" cy="2520000"/>
            <wp:effectExtent l="0" t="0" r="635" b="0"/>
            <wp:docPr id="9" name="Grafico 9">
              <a:extLst xmlns:a="http://schemas.openxmlformats.org/drawingml/2006/main">
                <a:ext uri="{FF2B5EF4-FFF2-40B4-BE49-F238E27FC236}">
                  <a16:creationId xmlns:a16="http://schemas.microsoft.com/office/drawing/2014/main" id="{C43B2D02-ACC5-47BF-9E63-79A492F6AE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ascii="Times New Roman" w:hAnsi="Times New Roman" w:cs="Times New Roman"/>
          <w:lang w:val="en-GB"/>
        </w:rPr>
        <w:tab/>
      </w:r>
      <w:r>
        <w:drawing>
          <wp:inline distT="0" distB="0" distL="0" distR="0" wp14:anchorId="354059BC" wp14:editId="19E4E7B3">
            <wp:extent cx="3600000" cy="2520000"/>
            <wp:effectExtent l="0" t="0" r="635" b="0"/>
            <wp:docPr id="10" name="Grafico 10">
              <a:extLst xmlns:a="http://schemas.openxmlformats.org/drawingml/2006/main">
                <a:ext uri="{FF2B5EF4-FFF2-40B4-BE49-F238E27FC236}">
                  <a16:creationId xmlns:a16="http://schemas.microsoft.com/office/drawing/2014/main" id="{AB99605B-C215-46EA-88AB-C8A35905EA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DA53AAA" w14:textId="77777777" w:rsidR="00F03361" w:rsidRPr="006730FC" w:rsidRDefault="00F03361" w:rsidP="00F03361">
      <w:pPr>
        <w:rPr>
          <w:rFonts w:ascii="Times New Roman" w:hAnsi="Times New Roman" w:cs="Times New Roman"/>
          <w:lang w:val="en-GB"/>
        </w:rPr>
      </w:pPr>
      <w:r w:rsidRPr="006730FC">
        <w:rPr>
          <w:rFonts w:ascii="Times New Roman" w:hAnsi="Times New Roman" w:cs="Times New Roman"/>
          <w:lang w:val="en-GB"/>
        </w:rPr>
        <w:t>B1</w:t>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r>
      <w:r>
        <w:rPr>
          <w:rFonts w:ascii="Times New Roman" w:hAnsi="Times New Roman" w:cs="Times New Roman"/>
          <w:lang w:val="en-GB"/>
        </w:rPr>
        <w:tab/>
        <w:t>B2</w:t>
      </w:r>
    </w:p>
    <w:p w14:paraId="16C833C6" w14:textId="77777777" w:rsidR="00F03361" w:rsidRPr="006730FC" w:rsidRDefault="00F03361" w:rsidP="00F03361">
      <w:pPr>
        <w:rPr>
          <w:rFonts w:ascii="Times New Roman" w:hAnsi="Times New Roman" w:cs="Times New Roman"/>
          <w:lang w:val="en-GB"/>
        </w:rPr>
      </w:pPr>
      <w:r>
        <w:drawing>
          <wp:inline distT="0" distB="0" distL="0" distR="0" wp14:anchorId="475A67EC" wp14:editId="3BF3A4B3">
            <wp:extent cx="3600000" cy="1980000"/>
            <wp:effectExtent l="0" t="0" r="635" b="1270"/>
            <wp:docPr id="11" name="Grafico 11">
              <a:extLst xmlns:a="http://schemas.openxmlformats.org/drawingml/2006/main">
                <a:ext uri="{FF2B5EF4-FFF2-40B4-BE49-F238E27FC236}">
                  <a16:creationId xmlns:a16="http://schemas.microsoft.com/office/drawing/2014/main" id="{34C363AE-CC3B-45C0-9A00-2A7EE90C17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6730FC">
        <w:rPr>
          <w:rFonts w:ascii="Times New Roman" w:hAnsi="Times New Roman" w:cs="Times New Roman"/>
          <w:lang w:val="en-GB"/>
        </w:rPr>
        <w:tab/>
      </w:r>
      <w:r>
        <w:drawing>
          <wp:inline distT="0" distB="0" distL="0" distR="0" wp14:anchorId="4149B95E" wp14:editId="4DA36C80">
            <wp:extent cx="3600000" cy="1980000"/>
            <wp:effectExtent l="0" t="0" r="635" b="1270"/>
            <wp:docPr id="12" name="Grafico 12">
              <a:extLst xmlns:a="http://schemas.openxmlformats.org/drawingml/2006/main">
                <a:ext uri="{FF2B5EF4-FFF2-40B4-BE49-F238E27FC236}">
                  <a16:creationId xmlns:a16="http://schemas.microsoft.com/office/drawing/2014/main" id="{70D444D6-D9C1-46B3-9D68-B1244F86A7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E5058A5" w14:textId="64F5DB4C" w:rsidR="00F03361" w:rsidRDefault="00F03361">
      <w:pPr>
        <w:rPr>
          <w:rFonts w:ascii="Times New Roman" w:hAnsi="Times New Roman" w:cs="Times New Roman"/>
          <w:lang w:val="en-GB"/>
        </w:rPr>
      </w:pPr>
      <w:r w:rsidRPr="006730FC">
        <w:rPr>
          <w:rFonts w:ascii="Times New Roman" w:hAnsi="Times New Roman" w:cs="Times New Roman"/>
          <w:lang w:val="en-GB"/>
        </w:rPr>
        <w:t>C1</w:t>
      </w:r>
      <w:r w:rsidRPr="006730FC">
        <w:rPr>
          <w:rFonts w:ascii="Times New Roman" w:hAnsi="Times New Roman" w:cs="Times New Roman"/>
          <w:lang w:val="en-GB"/>
        </w:rPr>
        <w:tab/>
      </w:r>
      <w:r w:rsidRPr="006730FC">
        <w:rPr>
          <w:rFonts w:ascii="Times New Roman" w:hAnsi="Times New Roman" w:cs="Times New Roman"/>
          <w:lang w:val="en-GB"/>
        </w:rPr>
        <w:tab/>
      </w:r>
      <w:r w:rsidRPr="006730FC">
        <w:rPr>
          <w:rFonts w:ascii="Times New Roman" w:hAnsi="Times New Roman" w:cs="Times New Roman"/>
          <w:lang w:val="en-GB"/>
        </w:rPr>
        <w:tab/>
      </w:r>
      <w:r w:rsidRPr="006730FC">
        <w:rPr>
          <w:rFonts w:ascii="Times New Roman" w:hAnsi="Times New Roman" w:cs="Times New Roman"/>
          <w:lang w:val="en-GB"/>
        </w:rPr>
        <w:tab/>
      </w:r>
      <w:r w:rsidRPr="006730FC">
        <w:rPr>
          <w:rFonts w:ascii="Times New Roman" w:hAnsi="Times New Roman" w:cs="Times New Roman"/>
          <w:lang w:val="en-GB"/>
        </w:rPr>
        <w:tab/>
      </w:r>
      <w:r w:rsidRPr="006730FC">
        <w:rPr>
          <w:rFonts w:ascii="Times New Roman" w:hAnsi="Times New Roman" w:cs="Times New Roman"/>
          <w:lang w:val="en-GB"/>
        </w:rPr>
        <w:tab/>
      </w:r>
      <w:r w:rsidRPr="006730FC">
        <w:rPr>
          <w:rFonts w:ascii="Times New Roman" w:hAnsi="Times New Roman" w:cs="Times New Roman"/>
          <w:lang w:val="en-GB"/>
        </w:rPr>
        <w:tab/>
      </w:r>
      <w:r w:rsidRPr="006730FC">
        <w:rPr>
          <w:rFonts w:ascii="Times New Roman" w:hAnsi="Times New Roman" w:cs="Times New Roman"/>
          <w:lang w:val="en-GB"/>
        </w:rPr>
        <w:tab/>
      </w:r>
      <w:r w:rsidRPr="006730FC">
        <w:rPr>
          <w:rFonts w:ascii="Times New Roman" w:hAnsi="Times New Roman" w:cs="Times New Roman"/>
          <w:lang w:val="en-GB"/>
        </w:rPr>
        <w:tab/>
        <w:t>C2</w:t>
      </w:r>
      <w:r>
        <w:rPr>
          <w:rFonts w:ascii="Times New Roman" w:hAnsi="Times New Roman" w:cs="Times New Roman"/>
          <w:lang w:val="en-GB"/>
        </w:rPr>
        <w:br w:type="page"/>
      </w:r>
    </w:p>
    <w:p w14:paraId="32FB49DA" w14:textId="62F41457" w:rsidR="00F03361" w:rsidRPr="00F03361" w:rsidRDefault="00F03361" w:rsidP="00F03361">
      <w:pPr>
        <w:spacing w:after="0" w:line="276" w:lineRule="auto"/>
        <w:jc w:val="both"/>
        <w:rPr>
          <w:rFonts w:ascii="Times New Roman" w:hAnsi="Times New Roman" w:cs="Times New Roman"/>
          <w:noProof w:val="0"/>
          <w:lang w:val="en-US"/>
        </w:rPr>
      </w:pPr>
      <w:r w:rsidRPr="00F03361">
        <w:rPr>
          <w:rFonts w:ascii="Times New Roman" w:hAnsi="Times New Roman" w:cs="Times New Roman"/>
          <w:noProof w:val="0"/>
          <w:lang w:val="en-US"/>
        </w:rPr>
        <w:t xml:space="preserve">Figure caption. The bars show the percentage (%) of respondents choosing the given option. Graph A1 shows the </w:t>
      </w:r>
      <w:proofErr w:type="spellStart"/>
      <w:r w:rsidRPr="00F03361">
        <w:rPr>
          <w:rFonts w:ascii="Times New Roman" w:hAnsi="Times New Roman" w:cs="Times New Roman"/>
          <w:noProof w:val="0"/>
        </w:rPr>
        <w:t>percentages</w:t>
      </w:r>
      <w:proofErr w:type="spellEnd"/>
      <w:r w:rsidRPr="00F03361">
        <w:rPr>
          <w:rFonts w:ascii="Times New Roman" w:hAnsi="Times New Roman" w:cs="Times New Roman"/>
          <w:noProof w:val="0"/>
        </w:rPr>
        <w:t xml:space="preserve"> of </w:t>
      </w:r>
      <w:proofErr w:type="spellStart"/>
      <w:r w:rsidRPr="00F03361">
        <w:rPr>
          <w:rFonts w:ascii="Times New Roman" w:hAnsi="Times New Roman" w:cs="Times New Roman"/>
          <w:noProof w:val="0"/>
        </w:rPr>
        <w:t>answers</w:t>
      </w:r>
      <w:proofErr w:type="spellEnd"/>
      <w:r w:rsidRPr="00F03361">
        <w:rPr>
          <w:rFonts w:ascii="Times New Roman" w:hAnsi="Times New Roman" w:cs="Times New Roman"/>
          <w:noProof w:val="0"/>
          <w:lang w:val="en-US"/>
        </w:rPr>
        <w:t xml:space="preserve"> to the questionnaire from Q7 to Q22 (Q7 = Is there a rotation system for the approved establishments you oversee? Q8 = Do you believe the number of controls assigned to each production activity is appropriate relative to the time required to carry them out? Q9 = Do you feel adequately trained on the objectives, criteria, and procedures of the inspections and audits in which you participate? Q10 = Do you consider the mandatory regional qualification course to be useful for conducting inspections and audits; Q11 = Do you think further theoretical and practical courses at company level are necessary for conducting inspections and audits? Q12 =</w:t>
      </w:r>
      <w:r w:rsidRPr="00F03361">
        <w:rPr>
          <w:noProof w:val="0"/>
        </w:rPr>
        <w:t xml:space="preserve"> </w:t>
      </w:r>
      <w:r w:rsidRPr="00F03361">
        <w:rPr>
          <w:rFonts w:ascii="Times New Roman" w:hAnsi="Times New Roman" w:cs="Times New Roman"/>
          <w:noProof w:val="0"/>
          <w:lang w:val="en-US"/>
        </w:rPr>
        <w:t xml:space="preserve">What is your general opinion on the effectiveness of the inspections currently carried out? Q13 = What is your general opinion on the effectiveness of the audits currently conducted? Q14 = </w:t>
      </w:r>
      <w:r w:rsidRPr="00F03361">
        <w:rPr>
          <w:rFonts w:ascii="Times New Roman" w:hAnsi="Times New Roman" w:cs="Times New Roman"/>
          <w:noProof w:val="0"/>
        </w:rPr>
        <w:t xml:space="preserve">Do </w:t>
      </w:r>
      <w:proofErr w:type="spellStart"/>
      <w:r w:rsidRPr="00F03361">
        <w:rPr>
          <w:rFonts w:ascii="Times New Roman" w:hAnsi="Times New Roman" w:cs="Times New Roman"/>
          <w:noProof w:val="0"/>
        </w:rPr>
        <w:t>you</w:t>
      </w:r>
      <w:proofErr w:type="spellEnd"/>
      <w:r w:rsidRPr="00F03361">
        <w:rPr>
          <w:rFonts w:ascii="Times New Roman" w:hAnsi="Times New Roman" w:cs="Times New Roman"/>
          <w:noProof w:val="0"/>
        </w:rPr>
        <w:t xml:space="preserve"> believe </w:t>
      </w:r>
      <w:proofErr w:type="spellStart"/>
      <w:r w:rsidRPr="00F03361">
        <w:rPr>
          <w:rFonts w:ascii="Times New Roman" w:hAnsi="Times New Roman" w:cs="Times New Roman"/>
          <w:noProof w:val="0"/>
        </w:rPr>
        <w:t>that</w:t>
      </w:r>
      <w:proofErr w:type="spellEnd"/>
      <w:r w:rsidRPr="00F03361">
        <w:rPr>
          <w:rFonts w:ascii="Times New Roman" w:hAnsi="Times New Roman" w:cs="Times New Roman"/>
          <w:noProof w:val="0"/>
        </w:rPr>
        <w:t xml:space="preserve"> audits are a more </w:t>
      </w:r>
      <w:proofErr w:type="spellStart"/>
      <w:r w:rsidRPr="00F03361">
        <w:rPr>
          <w:rFonts w:ascii="Times New Roman" w:hAnsi="Times New Roman" w:cs="Times New Roman"/>
          <w:noProof w:val="0"/>
        </w:rPr>
        <w:t>effective</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tool</w:t>
      </w:r>
      <w:proofErr w:type="spellEnd"/>
      <w:r w:rsidRPr="00F03361">
        <w:rPr>
          <w:rFonts w:ascii="Times New Roman" w:hAnsi="Times New Roman" w:cs="Times New Roman"/>
          <w:noProof w:val="0"/>
        </w:rPr>
        <w:t xml:space="preserve"> for </w:t>
      </w:r>
      <w:proofErr w:type="spellStart"/>
      <w:r w:rsidRPr="00F03361">
        <w:rPr>
          <w:rFonts w:ascii="Times New Roman" w:hAnsi="Times New Roman" w:cs="Times New Roman"/>
          <w:noProof w:val="0"/>
        </w:rPr>
        <w:t>official</w:t>
      </w:r>
      <w:proofErr w:type="spellEnd"/>
      <w:r w:rsidRPr="00F03361">
        <w:rPr>
          <w:rFonts w:ascii="Times New Roman" w:hAnsi="Times New Roman" w:cs="Times New Roman"/>
          <w:noProof w:val="0"/>
        </w:rPr>
        <w:t xml:space="preserve"> control </w:t>
      </w:r>
      <w:proofErr w:type="spellStart"/>
      <w:r w:rsidRPr="00F03361">
        <w:rPr>
          <w:rFonts w:ascii="Times New Roman" w:hAnsi="Times New Roman" w:cs="Times New Roman"/>
          <w:noProof w:val="0"/>
        </w:rPr>
        <w:t>than</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inspections</w:t>
      </w:r>
      <w:proofErr w:type="spellEnd"/>
      <w:r w:rsidRPr="00F03361">
        <w:rPr>
          <w:rFonts w:ascii="Times New Roman" w:hAnsi="Times New Roman" w:cs="Times New Roman"/>
          <w:noProof w:val="0"/>
        </w:rPr>
        <w:t xml:space="preserve">? Q15 = How </w:t>
      </w:r>
      <w:proofErr w:type="spellStart"/>
      <w:r w:rsidRPr="00F03361">
        <w:rPr>
          <w:rFonts w:ascii="Times New Roman" w:hAnsi="Times New Roman" w:cs="Times New Roman"/>
          <w:noProof w:val="0"/>
        </w:rPr>
        <w:t>adequate</w:t>
      </w:r>
      <w:proofErr w:type="spellEnd"/>
      <w:r w:rsidRPr="00F03361">
        <w:rPr>
          <w:rFonts w:ascii="Times New Roman" w:hAnsi="Times New Roman" w:cs="Times New Roman"/>
          <w:noProof w:val="0"/>
        </w:rPr>
        <w:t xml:space="preserve"> do </w:t>
      </w:r>
      <w:proofErr w:type="spellStart"/>
      <w:r w:rsidRPr="00F03361">
        <w:rPr>
          <w:rFonts w:ascii="Times New Roman" w:hAnsi="Times New Roman" w:cs="Times New Roman"/>
          <w:noProof w:val="0"/>
        </w:rPr>
        <w:t>you</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consider</w:t>
      </w:r>
      <w:proofErr w:type="spellEnd"/>
      <w:r w:rsidRPr="00F03361">
        <w:rPr>
          <w:rFonts w:ascii="Times New Roman" w:hAnsi="Times New Roman" w:cs="Times New Roman"/>
          <w:noProof w:val="0"/>
        </w:rPr>
        <w:t xml:space="preserve"> the resources (time, </w:t>
      </w:r>
      <w:proofErr w:type="spellStart"/>
      <w:r w:rsidRPr="00F03361">
        <w:rPr>
          <w:rFonts w:ascii="Times New Roman" w:hAnsi="Times New Roman" w:cs="Times New Roman"/>
          <w:noProof w:val="0"/>
        </w:rPr>
        <w:t>tools</w:t>
      </w:r>
      <w:proofErr w:type="spellEnd"/>
      <w:r w:rsidRPr="00F03361">
        <w:rPr>
          <w:rFonts w:ascii="Times New Roman" w:hAnsi="Times New Roman" w:cs="Times New Roman"/>
          <w:noProof w:val="0"/>
        </w:rPr>
        <w:t xml:space="preserve">, staff) available for </w:t>
      </w:r>
      <w:proofErr w:type="spellStart"/>
      <w:r w:rsidRPr="00F03361">
        <w:rPr>
          <w:rFonts w:ascii="Times New Roman" w:hAnsi="Times New Roman" w:cs="Times New Roman"/>
          <w:noProof w:val="0"/>
        </w:rPr>
        <w:t>inspections</w:t>
      </w:r>
      <w:proofErr w:type="spellEnd"/>
      <w:r w:rsidRPr="00F03361">
        <w:rPr>
          <w:rFonts w:ascii="Times New Roman" w:hAnsi="Times New Roman" w:cs="Times New Roman"/>
          <w:noProof w:val="0"/>
        </w:rPr>
        <w:t xml:space="preserve">? Q16 = How do </w:t>
      </w:r>
      <w:proofErr w:type="spellStart"/>
      <w:r w:rsidRPr="00F03361">
        <w:rPr>
          <w:rFonts w:ascii="Times New Roman" w:hAnsi="Times New Roman" w:cs="Times New Roman"/>
          <w:noProof w:val="0"/>
        </w:rPr>
        <w:t>you</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assess</w:t>
      </w:r>
      <w:proofErr w:type="spellEnd"/>
      <w:r w:rsidRPr="00F03361">
        <w:rPr>
          <w:rFonts w:ascii="Times New Roman" w:hAnsi="Times New Roman" w:cs="Times New Roman"/>
          <w:noProof w:val="0"/>
        </w:rPr>
        <w:t xml:space="preserve"> the </w:t>
      </w:r>
      <w:proofErr w:type="spellStart"/>
      <w:r w:rsidRPr="00F03361">
        <w:rPr>
          <w:rFonts w:ascii="Times New Roman" w:hAnsi="Times New Roman" w:cs="Times New Roman"/>
          <w:noProof w:val="0"/>
        </w:rPr>
        <w:t>clarity</w:t>
      </w:r>
      <w:proofErr w:type="spellEnd"/>
      <w:r w:rsidRPr="00F03361">
        <w:rPr>
          <w:rFonts w:ascii="Times New Roman" w:hAnsi="Times New Roman" w:cs="Times New Roman"/>
          <w:noProof w:val="0"/>
        </w:rPr>
        <w:t xml:space="preserve"> of the </w:t>
      </w:r>
      <w:proofErr w:type="spellStart"/>
      <w:r w:rsidRPr="00F03361">
        <w:rPr>
          <w:rFonts w:ascii="Times New Roman" w:hAnsi="Times New Roman" w:cs="Times New Roman"/>
          <w:noProof w:val="0"/>
        </w:rPr>
        <w:t>manuals</w:t>
      </w:r>
      <w:proofErr w:type="spellEnd"/>
      <w:r w:rsidRPr="00F03361">
        <w:rPr>
          <w:rFonts w:ascii="Times New Roman" w:hAnsi="Times New Roman" w:cs="Times New Roman"/>
          <w:noProof w:val="0"/>
        </w:rPr>
        <w:t xml:space="preserve"> and </w:t>
      </w:r>
      <w:proofErr w:type="spellStart"/>
      <w:r w:rsidRPr="00F03361">
        <w:rPr>
          <w:rFonts w:ascii="Times New Roman" w:hAnsi="Times New Roman" w:cs="Times New Roman"/>
          <w:noProof w:val="0"/>
        </w:rPr>
        <w:t>checklists</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used</w:t>
      </w:r>
      <w:proofErr w:type="spellEnd"/>
      <w:r w:rsidRPr="00F03361">
        <w:rPr>
          <w:rFonts w:ascii="Times New Roman" w:hAnsi="Times New Roman" w:cs="Times New Roman"/>
          <w:noProof w:val="0"/>
        </w:rPr>
        <w:t xml:space="preserve"> for </w:t>
      </w:r>
      <w:proofErr w:type="spellStart"/>
      <w:r w:rsidRPr="00F03361">
        <w:rPr>
          <w:rFonts w:ascii="Times New Roman" w:hAnsi="Times New Roman" w:cs="Times New Roman"/>
          <w:noProof w:val="0"/>
        </w:rPr>
        <w:t>inspections</w:t>
      </w:r>
      <w:proofErr w:type="spellEnd"/>
      <w:r w:rsidRPr="00F03361">
        <w:rPr>
          <w:rFonts w:ascii="Times New Roman" w:hAnsi="Times New Roman" w:cs="Times New Roman"/>
          <w:noProof w:val="0"/>
        </w:rPr>
        <w:t xml:space="preserve"> and audits? Q17 = Do </w:t>
      </w:r>
      <w:proofErr w:type="spellStart"/>
      <w:r w:rsidRPr="00F03361">
        <w:rPr>
          <w:rFonts w:ascii="Times New Roman" w:hAnsi="Times New Roman" w:cs="Times New Roman"/>
          <w:noProof w:val="0"/>
        </w:rPr>
        <w:t>you</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think</w:t>
      </w:r>
      <w:proofErr w:type="spellEnd"/>
      <w:r w:rsidRPr="00F03361">
        <w:rPr>
          <w:rFonts w:ascii="Times New Roman" w:hAnsi="Times New Roman" w:cs="Times New Roman"/>
          <w:noProof w:val="0"/>
        </w:rPr>
        <w:t xml:space="preserve"> separate </w:t>
      </w:r>
      <w:proofErr w:type="spellStart"/>
      <w:r w:rsidRPr="00F03361">
        <w:rPr>
          <w:rFonts w:ascii="Times New Roman" w:hAnsi="Times New Roman" w:cs="Times New Roman"/>
          <w:noProof w:val="0"/>
        </w:rPr>
        <w:t>manuals</w:t>
      </w:r>
      <w:proofErr w:type="spellEnd"/>
      <w:r w:rsidRPr="00F03361">
        <w:rPr>
          <w:rFonts w:ascii="Times New Roman" w:hAnsi="Times New Roman" w:cs="Times New Roman"/>
          <w:noProof w:val="0"/>
        </w:rPr>
        <w:t xml:space="preserve"> and </w:t>
      </w:r>
      <w:proofErr w:type="spellStart"/>
      <w:r w:rsidRPr="00F03361">
        <w:rPr>
          <w:rFonts w:ascii="Times New Roman" w:hAnsi="Times New Roman" w:cs="Times New Roman"/>
          <w:noProof w:val="0"/>
        </w:rPr>
        <w:t>checklists</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should</w:t>
      </w:r>
      <w:proofErr w:type="spellEnd"/>
      <w:r w:rsidRPr="00F03361">
        <w:rPr>
          <w:rFonts w:ascii="Times New Roman" w:hAnsi="Times New Roman" w:cs="Times New Roman"/>
          <w:noProof w:val="0"/>
        </w:rPr>
        <w:t xml:space="preserve"> be </w:t>
      </w:r>
      <w:proofErr w:type="spellStart"/>
      <w:r w:rsidRPr="00F03361">
        <w:rPr>
          <w:rFonts w:ascii="Times New Roman" w:hAnsi="Times New Roman" w:cs="Times New Roman"/>
          <w:noProof w:val="0"/>
        </w:rPr>
        <w:t>prepared</w:t>
      </w:r>
      <w:proofErr w:type="spellEnd"/>
      <w:r w:rsidRPr="00F03361">
        <w:rPr>
          <w:rFonts w:ascii="Times New Roman" w:hAnsi="Times New Roman" w:cs="Times New Roman"/>
          <w:noProof w:val="0"/>
        </w:rPr>
        <w:t xml:space="preserve"> for </w:t>
      </w:r>
      <w:proofErr w:type="spellStart"/>
      <w:r w:rsidRPr="00F03361">
        <w:rPr>
          <w:rFonts w:ascii="Times New Roman" w:hAnsi="Times New Roman" w:cs="Times New Roman"/>
          <w:noProof w:val="0"/>
        </w:rPr>
        <w:t>inspections</w:t>
      </w:r>
      <w:proofErr w:type="spellEnd"/>
      <w:r w:rsidRPr="00F03361">
        <w:rPr>
          <w:rFonts w:ascii="Times New Roman" w:hAnsi="Times New Roman" w:cs="Times New Roman"/>
          <w:noProof w:val="0"/>
        </w:rPr>
        <w:t xml:space="preserve"> and audits? Q18 = </w:t>
      </w:r>
      <w:proofErr w:type="spellStart"/>
      <w:r w:rsidRPr="00F03361">
        <w:rPr>
          <w:rFonts w:ascii="Times New Roman" w:hAnsi="Times New Roman" w:cs="Times New Roman"/>
          <w:noProof w:val="0"/>
        </w:rPr>
        <w:t>Among</w:t>
      </w:r>
      <w:proofErr w:type="spellEnd"/>
      <w:r w:rsidRPr="00F03361">
        <w:rPr>
          <w:rFonts w:ascii="Times New Roman" w:hAnsi="Times New Roman" w:cs="Times New Roman"/>
          <w:noProof w:val="0"/>
        </w:rPr>
        <w:t xml:space="preserve"> the </w:t>
      </w:r>
      <w:proofErr w:type="spellStart"/>
      <w:r w:rsidRPr="00F03361">
        <w:rPr>
          <w:rFonts w:ascii="Times New Roman" w:hAnsi="Times New Roman" w:cs="Times New Roman"/>
          <w:noProof w:val="0"/>
        </w:rPr>
        <w:t>areas</w:t>
      </w:r>
      <w:proofErr w:type="spellEnd"/>
      <w:r w:rsidRPr="00F03361">
        <w:rPr>
          <w:rFonts w:ascii="Times New Roman" w:hAnsi="Times New Roman" w:cs="Times New Roman"/>
          <w:noProof w:val="0"/>
        </w:rPr>
        <w:t xml:space="preserve"> of investigation in the </w:t>
      </w:r>
      <w:proofErr w:type="spellStart"/>
      <w:r w:rsidRPr="00F03361">
        <w:rPr>
          <w:rFonts w:ascii="Times New Roman" w:hAnsi="Times New Roman" w:cs="Times New Roman"/>
          <w:noProof w:val="0"/>
        </w:rPr>
        <w:t>official</w:t>
      </w:r>
      <w:proofErr w:type="spellEnd"/>
      <w:r w:rsidRPr="00F03361">
        <w:rPr>
          <w:rFonts w:ascii="Times New Roman" w:hAnsi="Times New Roman" w:cs="Times New Roman"/>
          <w:noProof w:val="0"/>
        </w:rPr>
        <w:t xml:space="preserve"> control checklist, do </w:t>
      </w:r>
      <w:proofErr w:type="spellStart"/>
      <w:r w:rsidRPr="00F03361">
        <w:rPr>
          <w:rFonts w:ascii="Times New Roman" w:hAnsi="Times New Roman" w:cs="Times New Roman"/>
          <w:noProof w:val="0"/>
        </w:rPr>
        <w:t>you</w:t>
      </w:r>
      <w:proofErr w:type="spellEnd"/>
      <w:r w:rsidRPr="00F03361">
        <w:rPr>
          <w:rFonts w:ascii="Times New Roman" w:hAnsi="Times New Roman" w:cs="Times New Roman"/>
          <w:noProof w:val="0"/>
        </w:rPr>
        <w:t xml:space="preserve"> believe some are better </w:t>
      </w:r>
      <w:proofErr w:type="spellStart"/>
      <w:r w:rsidRPr="00F03361">
        <w:rPr>
          <w:rFonts w:ascii="Times New Roman" w:hAnsi="Times New Roman" w:cs="Times New Roman"/>
          <w:noProof w:val="0"/>
        </w:rPr>
        <w:t>suited</w:t>
      </w:r>
      <w:proofErr w:type="spellEnd"/>
      <w:r w:rsidRPr="00F03361">
        <w:rPr>
          <w:rFonts w:ascii="Times New Roman" w:hAnsi="Times New Roman" w:cs="Times New Roman"/>
          <w:noProof w:val="0"/>
        </w:rPr>
        <w:t xml:space="preserve"> for </w:t>
      </w:r>
      <w:proofErr w:type="spellStart"/>
      <w:r w:rsidRPr="00F03361">
        <w:rPr>
          <w:rFonts w:ascii="Times New Roman" w:hAnsi="Times New Roman" w:cs="Times New Roman"/>
          <w:noProof w:val="0"/>
        </w:rPr>
        <w:t>simple</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inspections</w:t>
      </w:r>
      <w:proofErr w:type="spellEnd"/>
      <w:r w:rsidRPr="00F03361">
        <w:rPr>
          <w:rFonts w:ascii="Times New Roman" w:hAnsi="Times New Roman" w:cs="Times New Roman"/>
          <w:noProof w:val="0"/>
        </w:rPr>
        <w:t xml:space="preserve"> and others for audits? Q19 = Do </w:t>
      </w:r>
      <w:proofErr w:type="spellStart"/>
      <w:r w:rsidRPr="00F03361">
        <w:rPr>
          <w:rFonts w:ascii="Times New Roman" w:hAnsi="Times New Roman" w:cs="Times New Roman"/>
          <w:noProof w:val="0"/>
        </w:rPr>
        <w:t>you</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feel</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influenced</w:t>
      </w:r>
      <w:proofErr w:type="spellEnd"/>
      <w:r w:rsidRPr="00F03361">
        <w:rPr>
          <w:rFonts w:ascii="Times New Roman" w:hAnsi="Times New Roman" w:cs="Times New Roman"/>
          <w:noProof w:val="0"/>
        </w:rPr>
        <w:t xml:space="preserve"> in </w:t>
      </w:r>
      <w:proofErr w:type="spellStart"/>
      <w:r w:rsidRPr="00F03361">
        <w:rPr>
          <w:rFonts w:ascii="Times New Roman" w:hAnsi="Times New Roman" w:cs="Times New Roman"/>
          <w:noProof w:val="0"/>
        </w:rPr>
        <w:t>any</w:t>
      </w:r>
      <w:proofErr w:type="spellEnd"/>
      <w:r w:rsidRPr="00F03361">
        <w:rPr>
          <w:rFonts w:ascii="Times New Roman" w:hAnsi="Times New Roman" w:cs="Times New Roman"/>
          <w:noProof w:val="0"/>
        </w:rPr>
        <w:t xml:space="preserve"> way by the Food Business Operator (FBO) </w:t>
      </w:r>
      <w:proofErr w:type="spellStart"/>
      <w:r w:rsidRPr="00F03361">
        <w:rPr>
          <w:rFonts w:ascii="Times New Roman" w:hAnsi="Times New Roman" w:cs="Times New Roman"/>
          <w:noProof w:val="0"/>
        </w:rPr>
        <w:t>during</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inspections</w:t>
      </w:r>
      <w:proofErr w:type="spellEnd"/>
      <w:r w:rsidRPr="00F03361">
        <w:rPr>
          <w:rFonts w:ascii="Times New Roman" w:hAnsi="Times New Roman" w:cs="Times New Roman"/>
          <w:noProof w:val="0"/>
        </w:rPr>
        <w:t xml:space="preserve"> and audits, </w:t>
      </w:r>
      <w:proofErr w:type="spellStart"/>
      <w:r w:rsidRPr="00F03361">
        <w:rPr>
          <w:rFonts w:ascii="Times New Roman" w:hAnsi="Times New Roman" w:cs="Times New Roman"/>
          <w:noProof w:val="0"/>
        </w:rPr>
        <w:t>particularly</w:t>
      </w:r>
      <w:proofErr w:type="spellEnd"/>
      <w:r w:rsidRPr="00F03361">
        <w:rPr>
          <w:rFonts w:ascii="Times New Roman" w:hAnsi="Times New Roman" w:cs="Times New Roman"/>
          <w:noProof w:val="0"/>
        </w:rPr>
        <w:t xml:space="preserve"> in </w:t>
      </w:r>
      <w:proofErr w:type="spellStart"/>
      <w:r w:rsidRPr="00F03361">
        <w:rPr>
          <w:rFonts w:ascii="Times New Roman" w:hAnsi="Times New Roman" w:cs="Times New Roman"/>
          <w:noProof w:val="0"/>
        </w:rPr>
        <w:t>deciding</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whether</w:t>
      </w:r>
      <w:proofErr w:type="spellEnd"/>
      <w:r w:rsidRPr="00F03361">
        <w:rPr>
          <w:rFonts w:ascii="Times New Roman" w:hAnsi="Times New Roman" w:cs="Times New Roman"/>
          <w:noProof w:val="0"/>
        </w:rPr>
        <w:t xml:space="preserve"> to issue </w:t>
      </w:r>
      <w:proofErr w:type="spellStart"/>
      <w:r w:rsidRPr="00F03361">
        <w:rPr>
          <w:rFonts w:ascii="Times New Roman" w:hAnsi="Times New Roman" w:cs="Times New Roman"/>
          <w:noProof w:val="0"/>
        </w:rPr>
        <w:t>corrective</w:t>
      </w:r>
      <w:proofErr w:type="spellEnd"/>
      <w:r w:rsidRPr="00F03361">
        <w:rPr>
          <w:rFonts w:ascii="Times New Roman" w:hAnsi="Times New Roman" w:cs="Times New Roman"/>
          <w:noProof w:val="0"/>
        </w:rPr>
        <w:t xml:space="preserve"> actions? Q20 = How </w:t>
      </w:r>
      <w:proofErr w:type="spellStart"/>
      <w:r w:rsidRPr="00F03361">
        <w:rPr>
          <w:rFonts w:ascii="Times New Roman" w:hAnsi="Times New Roman" w:cs="Times New Roman"/>
          <w:noProof w:val="0"/>
        </w:rPr>
        <w:t>often</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have</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you</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participated</w:t>
      </w:r>
      <w:proofErr w:type="spellEnd"/>
      <w:r w:rsidRPr="00F03361">
        <w:rPr>
          <w:rFonts w:ascii="Times New Roman" w:hAnsi="Times New Roman" w:cs="Times New Roman"/>
          <w:noProof w:val="0"/>
        </w:rPr>
        <w:t xml:space="preserve"> in audits </w:t>
      </w:r>
      <w:proofErr w:type="spellStart"/>
      <w:r w:rsidRPr="00F03361">
        <w:rPr>
          <w:rFonts w:ascii="Times New Roman" w:hAnsi="Times New Roman" w:cs="Times New Roman"/>
          <w:noProof w:val="0"/>
        </w:rPr>
        <w:t>as</w:t>
      </w:r>
      <w:proofErr w:type="spellEnd"/>
      <w:r w:rsidRPr="00F03361">
        <w:rPr>
          <w:rFonts w:ascii="Times New Roman" w:hAnsi="Times New Roman" w:cs="Times New Roman"/>
          <w:noProof w:val="0"/>
        </w:rPr>
        <w:t xml:space="preserve"> a team member in </w:t>
      </w:r>
      <w:proofErr w:type="spellStart"/>
      <w:r w:rsidRPr="00F03361">
        <w:rPr>
          <w:rFonts w:ascii="Times New Roman" w:hAnsi="Times New Roman" w:cs="Times New Roman"/>
          <w:noProof w:val="0"/>
        </w:rPr>
        <w:t>recent</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years</w:t>
      </w:r>
      <w:proofErr w:type="spellEnd"/>
      <w:r w:rsidRPr="00F03361">
        <w:rPr>
          <w:rFonts w:ascii="Times New Roman" w:hAnsi="Times New Roman" w:cs="Times New Roman"/>
          <w:noProof w:val="0"/>
        </w:rPr>
        <w:t xml:space="preserve">? Q21 = Indicate the level of </w:t>
      </w:r>
      <w:proofErr w:type="spellStart"/>
      <w:r w:rsidRPr="00F03361">
        <w:rPr>
          <w:rFonts w:ascii="Times New Roman" w:hAnsi="Times New Roman" w:cs="Times New Roman"/>
          <w:noProof w:val="0"/>
        </w:rPr>
        <w:t>difficulty</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encountered</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during</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inspections</w:t>
      </w:r>
      <w:proofErr w:type="spellEnd"/>
      <w:r w:rsidRPr="00F03361">
        <w:rPr>
          <w:rFonts w:ascii="Times New Roman" w:hAnsi="Times New Roman" w:cs="Times New Roman"/>
          <w:noProof w:val="0"/>
        </w:rPr>
        <w:t xml:space="preserve"> for the following factors: a. Cooperation with </w:t>
      </w:r>
      <w:proofErr w:type="spellStart"/>
      <w:r w:rsidRPr="00F03361">
        <w:rPr>
          <w:rFonts w:ascii="Times New Roman" w:hAnsi="Times New Roman" w:cs="Times New Roman"/>
          <w:noProof w:val="0"/>
        </w:rPr>
        <w:t>inspected</w:t>
      </w:r>
      <w:proofErr w:type="spellEnd"/>
      <w:r w:rsidRPr="00F03361">
        <w:rPr>
          <w:rFonts w:ascii="Times New Roman" w:hAnsi="Times New Roman" w:cs="Times New Roman"/>
          <w:noProof w:val="0"/>
        </w:rPr>
        <w:t xml:space="preserve"> companies; b. Regulatory </w:t>
      </w:r>
      <w:proofErr w:type="spellStart"/>
      <w:r w:rsidRPr="00F03361">
        <w:rPr>
          <w:rFonts w:ascii="Times New Roman" w:hAnsi="Times New Roman" w:cs="Times New Roman"/>
          <w:noProof w:val="0"/>
        </w:rPr>
        <w:t>complexity</w:t>
      </w:r>
      <w:proofErr w:type="spellEnd"/>
      <w:r w:rsidRPr="00F03361">
        <w:rPr>
          <w:rFonts w:ascii="Times New Roman" w:hAnsi="Times New Roman" w:cs="Times New Roman"/>
          <w:noProof w:val="0"/>
        </w:rPr>
        <w:t xml:space="preserve">; c. External </w:t>
      </w:r>
      <w:proofErr w:type="spellStart"/>
      <w:r w:rsidRPr="00F03361">
        <w:rPr>
          <w:rFonts w:ascii="Times New Roman" w:hAnsi="Times New Roman" w:cs="Times New Roman"/>
          <w:noProof w:val="0"/>
        </w:rPr>
        <w:t>pressures</w:t>
      </w:r>
      <w:proofErr w:type="spellEnd"/>
      <w:r w:rsidRPr="00F03361">
        <w:rPr>
          <w:rFonts w:ascii="Times New Roman" w:hAnsi="Times New Roman" w:cs="Times New Roman"/>
          <w:noProof w:val="0"/>
        </w:rPr>
        <w:t xml:space="preserve"> (e.g., </w:t>
      </w:r>
      <w:proofErr w:type="spellStart"/>
      <w:r w:rsidRPr="00F03361">
        <w:rPr>
          <w:rFonts w:ascii="Times New Roman" w:hAnsi="Times New Roman" w:cs="Times New Roman"/>
          <w:noProof w:val="0"/>
        </w:rPr>
        <w:t>economic</w:t>
      </w:r>
      <w:proofErr w:type="spellEnd"/>
      <w:r w:rsidRPr="00F03361">
        <w:rPr>
          <w:rFonts w:ascii="Times New Roman" w:hAnsi="Times New Roman" w:cs="Times New Roman"/>
          <w:noProof w:val="0"/>
        </w:rPr>
        <w:t xml:space="preserve">, company, FBO); d. Available </w:t>
      </w:r>
      <w:proofErr w:type="spellStart"/>
      <w:r w:rsidRPr="00F03361">
        <w:rPr>
          <w:rFonts w:ascii="Times New Roman" w:hAnsi="Times New Roman" w:cs="Times New Roman"/>
          <w:noProof w:val="0"/>
        </w:rPr>
        <w:t>technological</w:t>
      </w:r>
      <w:proofErr w:type="spellEnd"/>
      <w:r w:rsidRPr="00F03361">
        <w:rPr>
          <w:rFonts w:ascii="Times New Roman" w:hAnsi="Times New Roman" w:cs="Times New Roman"/>
          <w:noProof w:val="0"/>
        </w:rPr>
        <w:t xml:space="preserve"> resources. Q22 = Indicate the level of </w:t>
      </w:r>
      <w:proofErr w:type="spellStart"/>
      <w:r w:rsidRPr="00F03361">
        <w:rPr>
          <w:rFonts w:ascii="Times New Roman" w:hAnsi="Times New Roman" w:cs="Times New Roman"/>
          <w:noProof w:val="0"/>
        </w:rPr>
        <w:t>difficulty</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encountered</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during</w:t>
      </w:r>
      <w:proofErr w:type="spellEnd"/>
      <w:r w:rsidRPr="00F03361">
        <w:rPr>
          <w:rFonts w:ascii="Times New Roman" w:hAnsi="Times New Roman" w:cs="Times New Roman"/>
          <w:noProof w:val="0"/>
        </w:rPr>
        <w:t xml:space="preserve"> audits for the following factors: a. Access to facilities; b.</w:t>
      </w:r>
      <w:r w:rsidRPr="00F03361">
        <w:rPr>
          <w:noProof w:val="0"/>
        </w:rPr>
        <w:t xml:space="preserve"> </w:t>
      </w:r>
      <w:r w:rsidRPr="00F03361">
        <w:rPr>
          <w:rFonts w:ascii="Times New Roman" w:hAnsi="Times New Roman" w:cs="Times New Roman"/>
          <w:noProof w:val="0"/>
        </w:rPr>
        <w:t xml:space="preserve">Cooperation with </w:t>
      </w:r>
      <w:proofErr w:type="spellStart"/>
      <w:r w:rsidRPr="00F03361">
        <w:rPr>
          <w:rFonts w:ascii="Times New Roman" w:hAnsi="Times New Roman" w:cs="Times New Roman"/>
          <w:noProof w:val="0"/>
        </w:rPr>
        <w:t>inspected</w:t>
      </w:r>
      <w:proofErr w:type="spellEnd"/>
      <w:r w:rsidRPr="00F03361">
        <w:rPr>
          <w:rFonts w:ascii="Times New Roman" w:hAnsi="Times New Roman" w:cs="Times New Roman"/>
          <w:noProof w:val="0"/>
        </w:rPr>
        <w:t xml:space="preserve"> companies; c. Regulatory </w:t>
      </w:r>
      <w:proofErr w:type="spellStart"/>
      <w:r w:rsidRPr="00F03361">
        <w:rPr>
          <w:rFonts w:ascii="Times New Roman" w:hAnsi="Times New Roman" w:cs="Times New Roman"/>
          <w:noProof w:val="0"/>
        </w:rPr>
        <w:t>complexity</w:t>
      </w:r>
      <w:proofErr w:type="spellEnd"/>
      <w:r w:rsidRPr="00F03361">
        <w:rPr>
          <w:rFonts w:ascii="Times New Roman" w:hAnsi="Times New Roman" w:cs="Times New Roman"/>
          <w:noProof w:val="0"/>
        </w:rPr>
        <w:t xml:space="preserve">; d. External </w:t>
      </w:r>
      <w:proofErr w:type="spellStart"/>
      <w:r w:rsidRPr="00F03361">
        <w:rPr>
          <w:rFonts w:ascii="Times New Roman" w:hAnsi="Times New Roman" w:cs="Times New Roman"/>
          <w:noProof w:val="0"/>
        </w:rPr>
        <w:t>pressures</w:t>
      </w:r>
      <w:proofErr w:type="spellEnd"/>
      <w:r w:rsidRPr="00F03361">
        <w:rPr>
          <w:rFonts w:ascii="Times New Roman" w:hAnsi="Times New Roman" w:cs="Times New Roman"/>
          <w:noProof w:val="0"/>
        </w:rPr>
        <w:t xml:space="preserve"> (e.g., </w:t>
      </w:r>
      <w:proofErr w:type="spellStart"/>
      <w:r w:rsidRPr="00F03361">
        <w:rPr>
          <w:rFonts w:ascii="Times New Roman" w:hAnsi="Times New Roman" w:cs="Times New Roman"/>
          <w:noProof w:val="0"/>
        </w:rPr>
        <w:t>economic</w:t>
      </w:r>
      <w:proofErr w:type="spellEnd"/>
      <w:r w:rsidRPr="00F03361">
        <w:rPr>
          <w:rFonts w:ascii="Times New Roman" w:hAnsi="Times New Roman" w:cs="Times New Roman"/>
          <w:noProof w:val="0"/>
        </w:rPr>
        <w:t xml:space="preserve">, company, FBO); e. Available </w:t>
      </w:r>
      <w:proofErr w:type="spellStart"/>
      <w:r w:rsidRPr="00F03361">
        <w:rPr>
          <w:rFonts w:ascii="Times New Roman" w:hAnsi="Times New Roman" w:cs="Times New Roman"/>
          <w:noProof w:val="0"/>
        </w:rPr>
        <w:t>technological</w:t>
      </w:r>
      <w:proofErr w:type="spellEnd"/>
      <w:r w:rsidRPr="00F03361">
        <w:rPr>
          <w:rFonts w:ascii="Times New Roman" w:hAnsi="Times New Roman" w:cs="Times New Roman"/>
          <w:noProof w:val="0"/>
        </w:rPr>
        <w:t xml:space="preserve"> resources. The </w:t>
      </w:r>
      <w:proofErr w:type="spellStart"/>
      <w:r w:rsidRPr="00F03361">
        <w:rPr>
          <w:rFonts w:ascii="Times New Roman" w:hAnsi="Times New Roman" w:cs="Times New Roman"/>
          <w:noProof w:val="0"/>
        </w:rPr>
        <w:t>remaining</w:t>
      </w:r>
      <w:proofErr w:type="spellEnd"/>
      <w:r w:rsidRPr="00F03361">
        <w:rPr>
          <w:rFonts w:ascii="Times New Roman" w:hAnsi="Times New Roman" w:cs="Times New Roman"/>
          <w:noProof w:val="0"/>
        </w:rPr>
        <w:t xml:space="preserve"> </w:t>
      </w:r>
      <w:proofErr w:type="spellStart"/>
      <w:r w:rsidRPr="00F03361">
        <w:rPr>
          <w:rFonts w:ascii="Times New Roman" w:hAnsi="Times New Roman" w:cs="Times New Roman"/>
          <w:noProof w:val="0"/>
        </w:rPr>
        <w:t>graphs</w:t>
      </w:r>
      <w:proofErr w:type="spellEnd"/>
      <w:r w:rsidRPr="00F03361">
        <w:rPr>
          <w:rFonts w:ascii="Times New Roman" w:hAnsi="Times New Roman" w:cs="Times New Roman"/>
          <w:noProof w:val="0"/>
        </w:rPr>
        <w:t xml:space="preserve"> (B1, B2, C1 and C2) show the </w:t>
      </w:r>
      <w:proofErr w:type="spellStart"/>
      <w:r w:rsidRPr="00F03361">
        <w:rPr>
          <w:rFonts w:ascii="Times New Roman" w:hAnsi="Times New Roman" w:cs="Times New Roman"/>
          <w:noProof w:val="0"/>
        </w:rPr>
        <w:t>percentages</w:t>
      </w:r>
      <w:proofErr w:type="spellEnd"/>
      <w:r w:rsidRPr="00F03361">
        <w:rPr>
          <w:rFonts w:ascii="Times New Roman" w:hAnsi="Times New Roman" w:cs="Times New Roman"/>
          <w:noProof w:val="0"/>
        </w:rPr>
        <w:t xml:space="preserve"> of </w:t>
      </w:r>
      <w:proofErr w:type="spellStart"/>
      <w:r w:rsidRPr="00F03361">
        <w:rPr>
          <w:rFonts w:ascii="Times New Roman" w:hAnsi="Times New Roman" w:cs="Times New Roman"/>
          <w:noProof w:val="0"/>
        </w:rPr>
        <w:t>responses</w:t>
      </w:r>
      <w:proofErr w:type="spellEnd"/>
      <w:r w:rsidRPr="00F03361">
        <w:rPr>
          <w:rFonts w:ascii="Times New Roman" w:hAnsi="Times New Roman" w:cs="Times New Roman"/>
          <w:noProof w:val="0"/>
        </w:rPr>
        <w:t xml:space="preserve"> to </w:t>
      </w:r>
      <w:proofErr w:type="spellStart"/>
      <w:r w:rsidRPr="00F03361">
        <w:rPr>
          <w:rFonts w:ascii="Times New Roman" w:hAnsi="Times New Roman" w:cs="Times New Roman"/>
          <w:noProof w:val="0"/>
        </w:rPr>
        <w:t>questions</w:t>
      </w:r>
      <w:proofErr w:type="spellEnd"/>
      <w:r w:rsidRPr="00F03361">
        <w:rPr>
          <w:rFonts w:ascii="Times New Roman" w:hAnsi="Times New Roman" w:cs="Times New Roman"/>
          <w:noProof w:val="0"/>
        </w:rPr>
        <w:t xml:space="preserve"> Q23 to Q27 </w:t>
      </w:r>
      <w:proofErr w:type="spellStart"/>
      <w:r w:rsidRPr="00F03361">
        <w:rPr>
          <w:rFonts w:ascii="Times New Roman" w:hAnsi="Times New Roman" w:cs="Times New Roman"/>
          <w:noProof w:val="0"/>
        </w:rPr>
        <w:t>respectively</w:t>
      </w:r>
      <w:proofErr w:type="spellEnd"/>
      <w:r w:rsidRPr="00F03361">
        <w:rPr>
          <w:rFonts w:ascii="Times New Roman" w:hAnsi="Times New Roman" w:cs="Times New Roman"/>
          <w:noProof w:val="0"/>
        </w:rPr>
        <w:t>.</w:t>
      </w:r>
    </w:p>
    <w:sectPr w:rsidR="00F03361" w:rsidRPr="00F03361" w:rsidSect="005A450F">
      <w:pgSz w:w="16838" w:h="11906" w:orient="landscape"/>
      <w:pgMar w:top="1134" w:right="1417" w:bottom="1134" w:left="1134"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290"/>
    <w:rsid w:val="00002191"/>
    <w:rsid w:val="00012E19"/>
    <w:rsid w:val="000131FC"/>
    <w:rsid w:val="00013B7D"/>
    <w:rsid w:val="000177B7"/>
    <w:rsid w:val="00017861"/>
    <w:rsid w:val="00021093"/>
    <w:rsid w:val="00024C11"/>
    <w:rsid w:val="00032F70"/>
    <w:rsid w:val="00034903"/>
    <w:rsid w:val="00070788"/>
    <w:rsid w:val="0007158C"/>
    <w:rsid w:val="0007504F"/>
    <w:rsid w:val="000751EB"/>
    <w:rsid w:val="000955AD"/>
    <w:rsid w:val="000A3B54"/>
    <w:rsid w:val="000A3EB0"/>
    <w:rsid w:val="000B5DEA"/>
    <w:rsid w:val="000D043C"/>
    <w:rsid w:val="000D0784"/>
    <w:rsid w:val="00103373"/>
    <w:rsid w:val="00107A78"/>
    <w:rsid w:val="00113539"/>
    <w:rsid w:val="001437D3"/>
    <w:rsid w:val="0015275C"/>
    <w:rsid w:val="0015625C"/>
    <w:rsid w:val="00164C7C"/>
    <w:rsid w:val="00180705"/>
    <w:rsid w:val="00180FF4"/>
    <w:rsid w:val="001C6D53"/>
    <w:rsid w:val="001E4814"/>
    <w:rsid w:val="00200B2E"/>
    <w:rsid w:val="002028D9"/>
    <w:rsid w:val="002039A6"/>
    <w:rsid w:val="00220305"/>
    <w:rsid w:val="00226062"/>
    <w:rsid w:val="0024500B"/>
    <w:rsid w:val="0024545B"/>
    <w:rsid w:val="00250D84"/>
    <w:rsid w:val="002677DA"/>
    <w:rsid w:val="002756C5"/>
    <w:rsid w:val="00284354"/>
    <w:rsid w:val="00287EF6"/>
    <w:rsid w:val="0029345A"/>
    <w:rsid w:val="00295ABF"/>
    <w:rsid w:val="00297C14"/>
    <w:rsid w:val="002A1EFC"/>
    <w:rsid w:val="002B3898"/>
    <w:rsid w:val="002B3CA2"/>
    <w:rsid w:val="002C26B6"/>
    <w:rsid w:val="002C3F81"/>
    <w:rsid w:val="002E0CFB"/>
    <w:rsid w:val="002E3B3F"/>
    <w:rsid w:val="00332193"/>
    <w:rsid w:val="003416A8"/>
    <w:rsid w:val="003449BE"/>
    <w:rsid w:val="00355DFA"/>
    <w:rsid w:val="00361C2C"/>
    <w:rsid w:val="00380D16"/>
    <w:rsid w:val="00381040"/>
    <w:rsid w:val="00386555"/>
    <w:rsid w:val="00390C19"/>
    <w:rsid w:val="00394A11"/>
    <w:rsid w:val="00395D88"/>
    <w:rsid w:val="00397F1A"/>
    <w:rsid w:val="003C029A"/>
    <w:rsid w:val="003C47D3"/>
    <w:rsid w:val="003C7A49"/>
    <w:rsid w:val="003D08A4"/>
    <w:rsid w:val="003D5272"/>
    <w:rsid w:val="003E260C"/>
    <w:rsid w:val="003E5178"/>
    <w:rsid w:val="003F31E7"/>
    <w:rsid w:val="00403AC4"/>
    <w:rsid w:val="0040533A"/>
    <w:rsid w:val="004055F2"/>
    <w:rsid w:val="00421A39"/>
    <w:rsid w:val="0043792A"/>
    <w:rsid w:val="00455FC5"/>
    <w:rsid w:val="00460154"/>
    <w:rsid w:val="00463661"/>
    <w:rsid w:val="004A2882"/>
    <w:rsid w:val="004B3FB1"/>
    <w:rsid w:val="004C5290"/>
    <w:rsid w:val="004D6D61"/>
    <w:rsid w:val="004E368E"/>
    <w:rsid w:val="004F0C57"/>
    <w:rsid w:val="0050747E"/>
    <w:rsid w:val="005106CE"/>
    <w:rsid w:val="00514AAF"/>
    <w:rsid w:val="005151F5"/>
    <w:rsid w:val="00515284"/>
    <w:rsid w:val="005224D5"/>
    <w:rsid w:val="00536B27"/>
    <w:rsid w:val="005414FB"/>
    <w:rsid w:val="005416E7"/>
    <w:rsid w:val="005466DC"/>
    <w:rsid w:val="00555CC4"/>
    <w:rsid w:val="00570826"/>
    <w:rsid w:val="00581EE5"/>
    <w:rsid w:val="00586460"/>
    <w:rsid w:val="005908CF"/>
    <w:rsid w:val="0059181D"/>
    <w:rsid w:val="005A369A"/>
    <w:rsid w:val="005A450F"/>
    <w:rsid w:val="005C1478"/>
    <w:rsid w:val="005D3836"/>
    <w:rsid w:val="005D645D"/>
    <w:rsid w:val="005E1C23"/>
    <w:rsid w:val="005F13F5"/>
    <w:rsid w:val="005F2164"/>
    <w:rsid w:val="00604428"/>
    <w:rsid w:val="0061546F"/>
    <w:rsid w:val="006167DD"/>
    <w:rsid w:val="0062533E"/>
    <w:rsid w:val="006320BE"/>
    <w:rsid w:val="006326B9"/>
    <w:rsid w:val="006562D0"/>
    <w:rsid w:val="006647A2"/>
    <w:rsid w:val="00672865"/>
    <w:rsid w:val="006A621B"/>
    <w:rsid w:val="006A72B3"/>
    <w:rsid w:val="006C0040"/>
    <w:rsid w:val="006C215B"/>
    <w:rsid w:val="006C35FD"/>
    <w:rsid w:val="006E1E51"/>
    <w:rsid w:val="006F710D"/>
    <w:rsid w:val="0070003F"/>
    <w:rsid w:val="00724371"/>
    <w:rsid w:val="00731537"/>
    <w:rsid w:val="00737D77"/>
    <w:rsid w:val="007402B9"/>
    <w:rsid w:val="00770781"/>
    <w:rsid w:val="0077419D"/>
    <w:rsid w:val="0077696C"/>
    <w:rsid w:val="0078470E"/>
    <w:rsid w:val="0079125A"/>
    <w:rsid w:val="0079356D"/>
    <w:rsid w:val="007947F4"/>
    <w:rsid w:val="007A756D"/>
    <w:rsid w:val="007D70DA"/>
    <w:rsid w:val="007E586E"/>
    <w:rsid w:val="007F5D66"/>
    <w:rsid w:val="00813391"/>
    <w:rsid w:val="008159E9"/>
    <w:rsid w:val="00825D82"/>
    <w:rsid w:val="00832372"/>
    <w:rsid w:val="00847EB5"/>
    <w:rsid w:val="008518E6"/>
    <w:rsid w:val="00856068"/>
    <w:rsid w:val="00870738"/>
    <w:rsid w:val="00872BAB"/>
    <w:rsid w:val="008802DC"/>
    <w:rsid w:val="0088739F"/>
    <w:rsid w:val="008A092E"/>
    <w:rsid w:val="008A1FBC"/>
    <w:rsid w:val="008B04C1"/>
    <w:rsid w:val="008B5FAF"/>
    <w:rsid w:val="008C0114"/>
    <w:rsid w:val="008D5341"/>
    <w:rsid w:val="008D5790"/>
    <w:rsid w:val="008E2B09"/>
    <w:rsid w:val="008F1390"/>
    <w:rsid w:val="009310B1"/>
    <w:rsid w:val="00945F67"/>
    <w:rsid w:val="009522B0"/>
    <w:rsid w:val="00985358"/>
    <w:rsid w:val="009B7743"/>
    <w:rsid w:val="009C65DD"/>
    <w:rsid w:val="009D2446"/>
    <w:rsid w:val="009E2086"/>
    <w:rsid w:val="00A02E7F"/>
    <w:rsid w:val="00A02F1E"/>
    <w:rsid w:val="00A35B25"/>
    <w:rsid w:val="00A37D13"/>
    <w:rsid w:val="00A5489E"/>
    <w:rsid w:val="00A661F0"/>
    <w:rsid w:val="00A71E7D"/>
    <w:rsid w:val="00A7262B"/>
    <w:rsid w:val="00A80501"/>
    <w:rsid w:val="00A83E6C"/>
    <w:rsid w:val="00A85325"/>
    <w:rsid w:val="00A953A6"/>
    <w:rsid w:val="00A96313"/>
    <w:rsid w:val="00AB3619"/>
    <w:rsid w:val="00AB7222"/>
    <w:rsid w:val="00AC75CD"/>
    <w:rsid w:val="00AE6720"/>
    <w:rsid w:val="00AF74FA"/>
    <w:rsid w:val="00B03F2D"/>
    <w:rsid w:val="00B17C6C"/>
    <w:rsid w:val="00B20954"/>
    <w:rsid w:val="00B24CBE"/>
    <w:rsid w:val="00B26A91"/>
    <w:rsid w:val="00B31E1A"/>
    <w:rsid w:val="00B36BBA"/>
    <w:rsid w:val="00B37538"/>
    <w:rsid w:val="00B54254"/>
    <w:rsid w:val="00B6182F"/>
    <w:rsid w:val="00B7120C"/>
    <w:rsid w:val="00B739E6"/>
    <w:rsid w:val="00B85292"/>
    <w:rsid w:val="00B93869"/>
    <w:rsid w:val="00B9386A"/>
    <w:rsid w:val="00B966F9"/>
    <w:rsid w:val="00BA2D05"/>
    <w:rsid w:val="00BA5468"/>
    <w:rsid w:val="00BB14FD"/>
    <w:rsid w:val="00BB3227"/>
    <w:rsid w:val="00BC55ED"/>
    <w:rsid w:val="00BC752F"/>
    <w:rsid w:val="00BF2737"/>
    <w:rsid w:val="00BF77F3"/>
    <w:rsid w:val="00C013DC"/>
    <w:rsid w:val="00C017B0"/>
    <w:rsid w:val="00C0483F"/>
    <w:rsid w:val="00C20341"/>
    <w:rsid w:val="00C35CCC"/>
    <w:rsid w:val="00C44272"/>
    <w:rsid w:val="00C50878"/>
    <w:rsid w:val="00C510C5"/>
    <w:rsid w:val="00C555C8"/>
    <w:rsid w:val="00C62C70"/>
    <w:rsid w:val="00C67BFB"/>
    <w:rsid w:val="00C7126B"/>
    <w:rsid w:val="00C73909"/>
    <w:rsid w:val="00C94040"/>
    <w:rsid w:val="00C964B5"/>
    <w:rsid w:val="00CA5789"/>
    <w:rsid w:val="00CB1CDE"/>
    <w:rsid w:val="00CB352F"/>
    <w:rsid w:val="00CB42A9"/>
    <w:rsid w:val="00CB6867"/>
    <w:rsid w:val="00CB6DDD"/>
    <w:rsid w:val="00CB75F2"/>
    <w:rsid w:val="00CC2585"/>
    <w:rsid w:val="00CD38C2"/>
    <w:rsid w:val="00CD38D4"/>
    <w:rsid w:val="00CF1B90"/>
    <w:rsid w:val="00D0496E"/>
    <w:rsid w:val="00D0756B"/>
    <w:rsid w:val="00D11350"/>
    <w:rsid w:val="00D11356"/>
    <w:rsid w:val="00D11426"/>
    <w:rsid w:val="00D16348"/>
    <w:rsid w:val="00D3604C"/>
    <w:rsid w:val="00D364B6"/>
    <w:rsid w:val="00D53177"/>
    <w:rsid w:val="00D53FD6"/>
    <w:rsid w:val="00D56B58"/>
    <w:rsid w:val="00D971FC"/>
    <w:rsid w:val="00DA0046"/>
    <w:rsid w:val="00DD4B59"/>
    <w:rsid w:val="00DD5A8A"/>
    <w:rsid w:val="00DE0485"/>
    <w:rsid w:val="00DE273C"/>
    <w:rsid w:val="00E10FE5"/>
    <w:rsid w:val="00E17936"/>
    <w:rsid w:val="00E23CB0"/>
    <w:rsid w:val="00E25D14"/>
    <w:rsid w:val="00E40985"/>
    <w:rsid w:val="00E43D92"/>
    <w:rsid w:val="00E52197"/>
    <w:rsid w:val="00E53AAB"/>
    <w:rsid w:val="00E73A00"/>
    <w:rsid w:val="00E9669E"/>
    <w:rsid w:val="00E97CE4"/>
    <w:rsid w:val="00EB796F"/>
    <w:rsid w:val="00EC0EA6"/>
    <w:rsid w:val="00EC27B6"/>
    <w:rsid w:val="00EC5943"/>
    <w:rsid w:val="00ED62BF"/>
    <w:rsid w:val="00EF580B"/>
    <w:rsid w:val="00EF7CFC"/>
    <w:rsid w:val="00F03361"/>
    <w:rsid w:val="00F15E94"/>
    <w:rsid w:val="00F22D52"/>
    <w:rsid w:val="00F273F6"/>
    <w:rsid w:val="00F30737"/>
    <w:rsid w:val="00F4246E"/>
    <w:rsid w:val="00F4746D"/>
    <w:rsid w:val="00F623D9"/>
    <w:rsid w:val="00F6325E"/>
    <w:rsid w:val="00F81B8A"/>
    <w:rsid w:val="00F83197"/>
    <w:rsid w:val="00F865BB"/>
    <w:rsid w:val="00F86E0E"/>
    <w:rsid w:val="00F95591"/>
    <w:rsid w:val="00FA0286"/>
    <w:rsid w:val="00FB4E20"/>
    <w:rsid w:val="00FC1804"/>
    <w:rsid w:val="00FD2894"/>
    <w:rsid w:val="00FE3A03"/>
    <w:rsid w:val="00FE76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7C5EC"/>
  <w15:chartTrackingRefBased/>
  <w15:docId w15:val="{96CFD09E-BFAE-4D05-9A92-453D0DA8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noProo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riga">
    <w:name w:val="line number"/>
    <w:basedOn w:val="Carpredefinitoparagrafo"/>
    <w:uiPriority w:val="99"/>
    <w:semiHidden/>
    <w:unhideWhenUsed/>
    <w:rsid w:val="00EF7CFC"/>
  </w:style>
  <w:style w:type="paragraph" w:customStyle="1" w:styleId="xmsonormal">
    <w:name w:val="x_msonormal"/>
    <w:basedOn w:val="Normale"/>
    <w:rsid w:val="00FD2894"/>
    <w:pPr>
      <w:spacing w:before="100" w:beforeAutospacing="1" w:after="100" w:afterAutospacing="1" w:line="240" w:lineRule="auto"/>
    </w:pPr>
    <w:rPr>
      <w:rFonts w:ascii="Times New Roman" w:eastAsia="Times New Roman" w:hAnsi="Times New Roman" w:cs="Times New Roman"/>
      <w:noProof w:val="0"/>
      <w:sz w:val="24"/>
      <w:szCs w:val="24"/>
      <w:lang w:eastAsia="it-IT"/>
    </w:rPr>
  </w:style>
  <w:style w:type="character" w:customStyle="1" w:styleId="markzmbk4kauj">
    <w:name w:val="markzmbk4kauj"/>
    <w:basedOn w:val="Carpredefinitoparagrafo"/>
    <w:rsid w:val="00FD2894"/>
  </w:style>
  <w:style w:type="character" w:customStyle="1" w:styleId="mark0b69yuyiq">
    <w:name w:val="mark0b69yuyiq"/>
    <w:basedOn w:val="Carpredefinitoparagrafo"/>
    <w:rsid w:val="006A72B3"/>
  </w:style>
  <w:style w:type="character" w:customStyle="1" w:styleId="mark64eyr9w1i">
    <w:name w:val="mark64eyr9w1i"/>
    <w:basedOn w:val="Carpredefinitoparagrafo"/>
    <w:rsid w:val="00F27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5277">
      <w:bodyDiv w:val="1"/>
      <w:marLeft w:val="0"/>
      <w:marRight w:val="0"/>
      <w:marTop w:val="0"/>
      <w:marBottom w:val="0"/>
      <w:divBdr>
        <w:top w:val="none" w:sz="0" w:space="0" w:color="auto"/>
        <w:left w:val="none" w:sz="0" w:space="0" w:color="auto"/>
        <w:bottom w:val="none" w:sz="0" w:space="0" w:color="auto"/>
        <w:right w:val="none" w:sz="0" w:space="0" w:color="auto"/>
      </w:divBdr>
    </w:div>
    <w:div w:id="42490568">
      <w:bodyDiv w:val="1"/>
      <w:marLeft w:val="0"/>
      <w:marRight w:val="0"/>
      <w:marTop w:val="0"/>
      <w:marBottom w:val="0"/>
      <w:divBdr>
        <w:top w:val="none" w:sz="0" w:space="0" w:color="auto"/>
        <w:left w:val="none" w:sz="0" w:space="0" w:color="auto"/>
        <w:bottom w:val="none" w:sz="0" w:space="0" w:color="auto"/>
        <w:right w:val="none" w:sz="0" w:space="0" w:color="auto"/>
      </w:divBdr>
    </w:div>
    <w:div w:id="65956718">
      <w:bodyDiv w:val="1"/>
      <w:marLeft w:val="0"/>
      <w:marRight w:val="0"/>
      <w:marTop w:val="0"/>
      <w:marBottom w:val="0"/>
      <w:divBdr>
        <w:top w:val="none" w:sz="0" w:space="0" w:color="auto"/>
        <w:left w:val="none" w:sz="0" w:space="0" w:color="auto"/>
        <w:bottom w:val="none" w:sz="0" w:space="0" w:color="auto"/>
        <w:right w:val="none" w:sz="0" w:space="0" w:color="auto"/>
      </w:divBdr>
    </w:div>
    <w:div w:id="111562260">
      <w:bodyDiv w:val="1"/>
      <w:marLeft w:val="0"/>
      <w:marRight w:val="0"/>
      <w:marTop w:val="0"/>
      <w:marBottom w:val="0"/>
      <w:divBdr>
        <w:top w:val="none" w:sz="0" w:space="0" w:color="auto"/>
        <w:left w:val="none" w:sz="0" w:space="0" w:color="auto"/>
        <w:bottom w:val="none" w:sz="0" w:space="0" w:color="auto"/>
        <w:right w:val="none" w:sz="0" w:space="0" w:color="auto"/>
      </w:divBdr>
    </w:div>
    <w:div w:id="218439878">
      <w:bodyDiv w:val="1"/>
      <w:marLeft w:val="0"/>
      <w:marRight w:val="0"/>
      <w:marTop w:val="0"/>
      <w:marBottom w:val="0"/>
      <w:divBdr>
        <w:top w:val="none" w:sz="0" w:space="0" w:color="auto"/>
        <w:left w:val="none" w:sz="0" w:space="0" w:color="auto"/>
        <w:bottom w:val="none" w:sz="0" w:space="0" w:color="auto"/>
        <w:right w:val="none" w:sz="0" w:space="0" w:color="auto"/>
      </w:divBdr>
    </w:div>
    <w:div w:id="298267809">
      <w:bodyDiv w:val="1"/>
      <w:marLeft w:val="0"/>
      <w:marRight w:val="0"/>
      <w:marTop w:val="0"/>
      <w:marBottom w:val="0"/>
      <w:divBdr>
        <w:top w:val="none" w:sz="0" w:space="0" w:color="auto"/>
        <w:left w:val="none" w:sz="0" w:space="0" w:color="auto"/>
        <w:bottom w:val="none" w:sz="0" w:space="0" w:color="auto"/>
        <w:right w:val="none" w:sz="0" w:space="0" w:color="auto"/>
      </w:divBdr>
    </w:div>
    <w:div w:id="584649703">
      <w:bodyDiv w:val="1"/>
      <w:marLeft w:val="0"/>
      <w:marRight w:val="0"/>
      <w:marTop w:val="0"/>
      <w:marBottom w:val="0"/>
      <w:divBdr>
        <w:top w:val="none" w:sz="0" w:space="0" w:color="auto"/>
        <w:left w:val="none" w:sz="0" w:space="0" w:color="auto"/>
        <w:bottom w:val="none" w:sz="0" w:space="0" w:color="auto"/>
        <w:right w:val="none" w:sz="0" w:space="0" w:color="auto"/>
      </w:divBdr>
    </w:div>
    <w:div w:id="884103815">
      <w:bodyDiv w:val="1"/>
      <w:marLeft w:val="0"/>
      <w:marRight w:val="0"/>
      <w:marTop w:val="0"/>
      <w:marBottom w:val="0"/>
      <w:divBdr>
        <w:top w:val="none" w:sz="0" w:space="0" w:color="auto"/>
        <w:left w:val="none" w:sz="0" w:space="0" w:color="auto"/>
        <w:bottom w:val="none" w:sz="0" w:space="0" w:color="auto"/>
        <w:right w:val="none" w:sz="0" w:space="0" w:color="auto"/>
      </w:divBdr>
    </w:div>
    <w:div w:id="1032152414">
      <w:bodyDiv w:val="1"/>
      <w:marLeft w:val="0"/>
      <w:marRight w:val="0"/>
      <w:marTop w:val="0"/>
      <w:marBottom w:val="0"/>
      <w:divBdr>
        <w:top w:val="none" w:sz="0" w:space="0" w:color="auto"/>
        <w:left w:val="none" w:sz="0" w:space="0" w:color="auto"/>
        <w:bottom w:val="none" w:sz="0" w:space="0" w:color="auto"/>
        <w:right w:val="none" w:sz="0" w:space="0" w:color="auto"/>
      </w:divBdr>
    </w:div>
    <w:div w:id="1218784369">
      <w:bodyDiv w:val="1"/>
      <w:marLeft w:val="0"/>
      <w:marRight w:val="0"/>
      <w:marTop w:val="0"/>
      <w:marBottom w:val="0"/>
      <w:divBdr>
        <w:top w:val="none" w:sz="0" w:space="0" w:color="auto"/>
        <w:left w:val="none" w:sz="0" w:space="0" w:color="auto"/>
        <w:bottom w:val="none" w:sz="0" w:space="0" w:color="auto"/>
        <w:right w:val="none" w:sz="0" w:space="0" w:color="auto"/>
      </w:divBdr>
    </w:div>
    <w:div w:id="1334649827">
      <w:bodyDiv w:val="1"/>
      <w:marLeft w:val="0"/>
      <w:marRight w:val="0"/>
      <w:marTop w:val="0"/>
      <w:marBottom w:val="0"/>
      <w:divBdr>
        <w:top w:val="none" w:sz="0" w:space="0" w:color="auto"/>
        <w:left w:val="none" w:sz="0" w:space="0" w:color="auto"/>
        <w:bottom w:val="none" w:sz="0" w:space="0" w:color="auto"/>
        <w:right w:val="none" w:sz="0" w:space="0" w:color="auto"/>
      </w:divBdr>
    </w:div>
    <w:div w:id="1365642436">
      <w:bodyDiv w:val="1"/>
      <w:marLeft w:val="0"/>
      <w:marRight w:val="0"/>
      <w:marTop w:val="0"/>
      <w:marBottom w:val="0"/>
      <w:divBdr>
        <w:top w:val="none" w:sz="0" w:space="0" w:color="auto"/>
        <w:left w:val="none" w:sz="0" w:space="0" w:color="auto"/>
        <w:bottom w:val="none" w:sz="0" w:space="0" w:color="auto"/>
        <w:right w:val="none" w:sz="0" w:space="0" w:color="auto"/>
      </w:divBdr>
    </w:div>
    <w:div w:id="1521235738">
      <w:bodyDiv w:val="1"/>
      <w:marLeft w:val="0"/>
      <w:marRight w:val="0"/>
      <w:marTop w:val="0"/>
      <w:marBottom w:val="0"/>
      <w:divBdr>
        <w:top w:val="none" w:sz="0" w:space="0" w:color="auto"/>
        <w:left w:val="none" w:sz="0" w:space="0" w:color="auto"/>
        <w:bottom w:val="none" w:sz="0" w:space="0" w:color="auto"/>
        <w:right w:val="none" w:sz="0" w:space="0" w:color="auto"/>
      </w:divBdr>
    </w:div>
    <w:div w:id="1600023260">
      <w:bodyDiv w:val="1"/>
      <w:marLeft w:val="0"/>
      <w:marRight w:val="0"/>
      <w:marTop w:val="0"/>
      <w:marBottom w:val="0"/>
      <w:divBdr>
        <w:top w:val="none" w:sz="0" w:space="0" w:color="auto"/>
        <w:left w:val="none" w:sz="0" w:space="0" w:color="auto"/>
        <w:bottom w:val="none" w:sz="0" w:space="0" w:color="auto"/>
        <w:right w:val="none" w:sz="0" w:space="0" w:color="auto"/>
      </w:divBdr>
    </w:div>
    <w:div w:id="1604606000">
      <w:bodyDiv w:val="1"/>
      <w:marLeft w:val="0"/>
      <w:marRight w:val="0"/>
      <w:marTop w:val="0"/>
      <w:marBottom w:val="0"/>
      <w:divBdr>
        <w:top w:val="none" w:sz="0" w:space="0" w:color="auto"/>
        <w:left w:val="none" w:sz="0" w:space="0" w:color="auto"/>
        <w:bottom w:val="none" w:sz="0" w:space="0" w:color="auto"/>
        <w:right w:val="none" w:sz="0" w:space="0" w:color="auto"/>
      </w:divBdr>
    </w:div>
    <w:div w:id="1660109459">
      <w:bodyDiv w:val="1"/>
      <w:marLeft w:val="0"/>
      <w:marRight w:val="0"/>
      <w:marTop w:val="0"/>
      <w:marBottom w:val="0"/>
      <w:divBdr>
        <w:top w:val="none" w:sz="0" w:space="0" w:color="auto"/>
        <w:left w:val="none" w:sz="0" w:space="0" w:color="auto"/>
        <w:bottom w:val="none" w:sz="0" w:space="0" w:color="auto"/>
        <w:right w:val="none" w:sz="0" w:space="0" w:color="auto"/>
      </w:divBdr>
    </w:div>
    <w:div w:id="2098205997">
      <w:bodyDiv w:val="1"/>
      <w:marLeft w:val="0"/>
      <w:marRight w:val="0"/>
      <w:marTop w:val="0"/>
      <w:marBottom w:val="0"/>
      <w:divBdr>
        <w:top w:val="none" w:sz="0" w:space="0" w:color="auto"/>
        <w:left w:val="none" w:sz="0" w:space="0" w:color="auto"/>
        <w:bottom w:val="none" w:sz="0" w:space="0" w:color="auto"/>
        <w:right w:val="none" w:sz="0" w:space="0" w:color="auto"/>
      </w:divBdr>
    </w:div>
    <w:div w:id="2127651259">
      <w:bodyDiv w:val="1"/>
      <w:marLeft w:val="0"/>
      <w:marRight w:val="0"/>
      <w:marTop w:val="0"/>
      <w:marBottom w:val="0"/>
      <w:divBdr>
        <w:top w:val="none" w:sz="0" w:space="0" w:color="auto"/>
        <w:left w:val="none" w:sz="0" w:space="0" w:color="auto"/>
        <w:bottom w:val="none" w:sz="0" w:space="0" w:color="auto"/>
        <w:right w:val="none" w:sz="0" w:space="0" w:color="auto"/>
      </w:divBdr>
    </w:div>
    <w:div w:id="213170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5" Type="http://schemas.openxmlformats.org/officeDocument/2006/relationships/chart" Target="charts/chart1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alfonso.rosamilia\Desktop\Art_CU\Analisi_CU\Risultati_TO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alfonso.rosamilia\Desktop\Art_CU\Analisi_CU\Risultati_TO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Foglio1!$C$2</c:f>
              <c:strCache>
                <c:ptCount val="1"/>
                <c:pt idx="0">
                  <c:v>2020 </c:v>
                </c:pt>
              </c:strCache>
            </c:strRef>
          </c:tx>
          <c:spPr>
            <a:solidFill>
              <a:schemeClr val="accent1"/>
            </a:solidFill>
            <a:ln>
              <a:noFill/>
            </a:ln>
            <a:effectLst/>
          </c:spPr>
          <c:invertIfNegative val="0"/>
          <c:cat>
            <c:strRef>
              <c:f>Foglio1!$B$3:$B$16</c:f>
              <c:strCache>
                <c:ptCount val="14"/>
                <c:pt idx="0">
                  <c:v>domestic ungulate slaughterhouses</c:v>
                </c:pt>
                <c:pt idx="1">
                  <c:v>red meat cutting plants</c:v>
                </c:pt>
                <c:pt idx="2">
                  <c:v>poultry and rabbit slaughterhouses</c:v>
                </c:pt>
                <c:pt idx="3">
                  <c:v>poultrymeat cutting plants</c:v>
                </c:pt>
                <c:pt idx="4">
                  <c:v>farmed game slaughterhouses</c:v>
                </c:pt>
                <c:pt idx="5">
                  <c:v>farmed game meat cutting </c:v>
                </c:pt>
                <c:pt idx="6">
                  <c:v>wild ungulates handling</c:v>
                </c:pt>
                <c:pt idx="7">
                  <c:v>wild meat cutting</c:v>
                </c:pt>
                <c:pt idx="8">
                  <c:v>minced meat</c:v>
                </c:pt>
                <c:pt idx="9">
                  <c:v>meat preparations</c:v>
                </c:pt>
                <c:pt idx="10">
                  <c:v>mechanically separated meat</c:v>
                </c:pt>
                <c:pt idx="11">
                  <c:v>frog slaughterhouses</c:v>
                </c:pt>
                <c:pt idx="12">
                  <c:v>meat products</c:v>
                </c:pt>
                <c:pt idx="13">
                  <c:v>RW establishments </c:v>
                </c:pt>
              </c:strCache>
            </c:strRef>
          </c:cat>
          <c:val>
            <c:numRef>
              <c:f>Foglio1!$C$3:$C$16</c:f>
              <c:numCache>
                <c:formatCode>General</c:formatCode>
                <c:ptCount val="14"/>
                <c:pt idx="0">
                  <c:v>81</c:v>
                </c:pt>
                <c:pt idx="1">
                  <c:v>232</c:v>
                </c:pt>
                <c:pt idx="2">
                  <c:v>14</c:v>
                </c:pt>
                <c:pt idx="3">
                  <c:v>48</c:v>
                </c:pt>
                <c:pt idx="4">
                  <c:v>12</c:v>
                </c:pt>
                <c:pt idx="5">
                  <c:v>20</c:v>
                </c:pt>
                <c:pt idx="6">
                  <c:v>26</c:v>
                </c:pt>
                <c:pt idx="7">
                  <c:v>22</c:v>
                </c:pt>
                <c:pt idx="8">
                  <c:v>58</c:v>
                </c:pt>
                <c:pt idx="9">
                  <c:v>99</c:v>
                </c:pt>
                <c:pt idx="10">
                  <c:v>9</c:v>
                </c:pt>
                <c:pt idx="11">
                  <c:v>1</c:v>
                </c:pt>
                <c:pt idx="12">
                  <c:v>591</c:v>
                </c:pt>
                <c:pt idx="13">
                  <c:v>324</c:v>
                </c:pt>
              </c:numCache>
            </c:numRef>
          </c:val>
          <c:extLst>
            <c:ext xmlns:c16="http://schemas.microsoft.com/office/drawing/2014/chart" uri="{C3380CC4-5D6E-409C-BE32-E72D297353CC}">
              <c16:uniqueId val="{00000000-5076-4E19-A645-A3F42B7BDC1D}"/>
            </c:ext>
          </c:extLst>
        </c:ser>
        <c:ser>
          <c:idx val="1"/>
          <c:order val="1"/>
          <c:tx>
            <c:strRef>
              <c:f>Foglio1!$D$2</c:f>
              <c:strCache>
                <c:ptCount val="1"/>
                <c:pt idx="0">
                  <c:v>2021 </c:v>
                </c:pt>
              </c:strCache>
            </c:strRef>
          </c:tx>
          <c:spPr>
            <a:solidFill>
              <a:schemeClr val="accent2"/>
            </a:solidFill>
            <a:ln>
              <a:noFill/>
            </a:ln>
            <a:effectLst/>
          </c:spPr>
          <c:invertIfNegative val="0"/>
          <c:cat>
            <c:strRef>
              <c:f>Foglio1!$B$3:$B$16</c:f>
              <c:strCache>
                <c:ptCount val="14"/>
                <c:pt idx="0">
                  <c:v>domestic ungulate slaughterhouses</c:v>
                </c:pt>
                <c:pt idx="1">
                  <c:v>red meat cutting plants</c:v>
                </c:pt>
                <c:pt idx="2">
                  <c:v>poultry and rabbit slaughterhouses</c:v>
                </c:pt>
                <c:pt idx="3">
                  <c:v>poultrymeat cutting plants</c:v>
                </c:pt>
                <c:pt idx="4">
                  <c:v>farmed game slaughterhouses</c:v>
                </c:pt>
                <c:pt idx="5">
                  <c:v>farmed game meat cutting </c:v>
                </c:pt>
                <c:pt idx="6">
                  <c:v>wild ungulates handling</c:v>
                </c:pt>
                <c:pt idx="7">
                  <c:v>wild meat cutting</c:v>
                </c:pt>
                <c:pt idx="8">
                  <c:v>minced meat</c:v>
                </c:pt>
                <c:pt idx="9">
                  <c:v>meat preparations</c:v>
                </c:pt>
                <c:pt idx="10">
                  <c:v>mechanically separated meat</c:v>
                </c:pt>
                <c:pt idx="11">
                  <c:v>frog slaughterhouses</c:v>
                </c:pt>
                <c:pt idx="12">
                  <c:v>meat products</c:v>
                </c:pt>
                <c:pt idx="13">
                  <c:v>RW establishments </c:v>
                </c:pt>
              </c:strCache>
            </c:strRef>
          </c:cat>
          <c:val>
            <c:numRef>
              <c:f>Foglio1!$D$3:$D$16</c:f>
              <c:numCache>
                <c:formatCode>General</c:formatCode>
                <c:ptCount val="14"/>
                <c:pt idx="0">
                  <c:v>81</c:v>
                </c:pt>
                <c:pt idx="1">
                  <c:v>230</c:v>
                </c:pt>
                <c:pt idx="2">
                  <c:v>14</c:v>
                </c:pt>
                <c:pt idx="3">
                  <c:v>47</c:v>
                </c:pt>
                <c:pt idx="4">
                  <c:v>11</c:v>
                </c:pt>
                <c:pt idx="5">
                  <c:v>23</c:v>
                </c:pt>
                <c:pt idx="6">
                  <c:v>27</c:v>
                </c:pt>
                <c:pt idx="7">
                  <c:v>20</c:v>
                </c:pt>
                <c:pt idx="8">
                  <c:v>56</c:v>
                </c:pt>
                <c:pt idx="9">
                  <c:v>103</c:v>
                </c:pt>
                <c:pt idx="10">
                  <c:v>9</c:v>
                </c:pt>
                <c:pt idx="11">
                  <c:v>1</c:v>
                </c:pt>
                <c:pt idx="12">
                  <c:v>602</c:v>
                </c:pt>
                <c:pt idx="13">
                  <c:v>339</c:v>
                </c:pt>
              </c:numCache>
            </c:numRef>
          </c:val>
          <c:extLst>
            <c:ext xmlns:c16="http://schemas.microsoft.com/office/drawing/2014/chart" uri="{C3380CC4-5D6E-409C-BE32-E72D297353CC}">
              <c16:uniqueId val="{00000001-5076-4E19-A645-A3F42B7BDC1D}"/>
            </c:ext>
          </c:extLst>
        </c:ser>
        <c:ser>
          <c:idx val="2"/>
          <c:order val="2"/>
          <c:tx>
            <c:strRef>
              <c:f>Foglio1!$E$2</c:f>
              <c:strCache>
                <c:ptCount val="1"/>
                <c:pt idx="0">
                  <c:v>2022 </c:v>
                </c:pt>
              </c:strCache>
            </c:strRef>
          </c:tx>
          <c:spPr>
            <a:solidFill>
              <a:schemeClr val="accent3"/>
            </a:solidFill>
            <a:ln>
              <a:noFill/>
            </a:ln>
            <a:effectLst/>
          </c:spPr>
          <c:invertIfNegative val="0"/>
          <c:cat>
            <c:strRef>
              <c:f>Foglio1!$B$3:$B$16</c:f>
              <c:strCache>
                <c:ptCount val="14"/>
                <c:pt idx="0">
                  <c:v>domestic ungulate slaughterhouses</c:v>
                </c:pt>
                <c:pt idx="1">
                  <c:v>red meat cutting plants</c:v>
                </c:pt>
                <c:pt idx="2">
                  <c:v>poultry and rabbit slaughterhouses</c:v>
                </c:pt>
                <c:pt idx="3">
                  <c:v>poultrymeat cutting plants</c:v>
                </c:pt>
                <c:pt idx="4">
                  <c:v>farmed game slaughterhouses</c:v>
                </c:pt>
                <c:pt idx="5">
                  <c:v>farmed game meat cutting </c:v>
                </c:pt>
                <c:pt idx="6">
                  <c:v>wild ungulates handling</c:v>
                </c:pt>
                <c:pt idx="7">
                  <c:v>wild meat cutting</c:v>
                </c:pt>
                <c:pt idx="8">
                  <c:v>minced meat</c:v>
                </c:pt>
                <c:pt idx="9">
                  <c:v>meat preparations</c:v>
                </c:pt>
                <c:pt idx="10">
                  <c:v>mechanically separated meat</c:v>
                </c:pt>
                <c:pt idx="11">
                  <c:v>frog slaughterhouses</c:v>
                </c:pt>
                <c:pt idx="12">
                  <c:v>meat products</c:v>
                </c:pt>
                <c:pt idx="13">
                  <c:v>RW establishments </c:v>
                </c:pt>
              </c:strCache>
            </c:strRef>
          </c:cat>
          <c:val>
            <c:numRef>
              <c:f>Foglio1!$E$3:$E$16</c:f>
              <c:numCache>
                <c:formatCode>General</c:formatCode>
                <c:ptCount val="14"/>
                <c:pt idx="0">
                  <c:v>80</c:v>
                </c:pt>
                <c:pt idx="1">
                  <c:v>225</c:v>
                </c:pt>
                <c:pt idx="2">
                  <c:v>14</c:v>
                </c:pt>
                <c:pt idx="3">
                  <c:v>45</c:v>
                </c:pt>
                <c:pt idx="4">
                  <c:v>11</c:v>
                </c:pt>
                <c:pt idx="5">
                  <c:v>20</c:v>
                </c:pt>
                <c:pt idx="6">
                  <c:v>25</c:v>
                </c:pt>
                <c:pt idx="7">
                  <c:v>18</c:v>
                </c:pt>
                <c:pt idx="8">
                  <c:v>72</c:v>
                </c:pt>
                <c:pt idx="9">
                  <c:v>120</c:v>
                </c:pt>
                <c:pt idx="10">
                  <c:v>9</c:v>
                </c:pt>
                <c:pt idx="11">
                  <c:v>1</c:v>
                </c:pt>
                <c:pt idx="12">
                  <c:v>578</c:v>
                </c:pt>
                <c:pt idx="13">
                  <c:v>358</c:v>
                </c:pt>
              </c:numCache>
            </c:numRef>
          </c:val>
          <c:extLst>
            <c:ext xmlns:c16="http://schemas.microsoft.com/office/drawing/2014/chart" uri="{C3380CC4-5D6E-409C-BE32-E72D297353CC}">
              <c16:uniqueId val="{00000002-5076-4E19-A645-A3F42B7BDC1D}"/>
            </c:ext>
          </c:extLst>
        </c:ser>
        <c:ser>
          <c:idx val="3"/>
          <c:order val="3"/>
          <c:tx>
            <c:strRef>
              <c:f>Foglio1!$F$2</c:f>
              <c:strCache>
                <c:ptCount val="1"/>
                <c:pt idx="0">
                  <c:v>2023 </c:v>
                </c:pt>
              </c:strCache>
            </c:strRef>
          </c:tx>
          <c:spPr>
            <a:solidFill>
              <a:schemeClr val="accent4"/>
            </a:solidFill>
            <a:ln>
              <a:noFill/>
            </a:ln>
            <a:effectLst/>
          </c:spPr>
          <c:invertIfNegative val="0"/>
          <c:cat>
            <c:strRef>
              <c:f>Foglio1!$B$3:$B$16</c:f>
              <c:strCache>
                <c:ptCount val="14"/>
                <c:pt idx="0">
                  <c:v>domestic ungulate slaughterhouses</c:v>
                </c:pt>
                <c:pt idx="1">
                  <c:v>red meat cutting plants</c:v>
                </c:pt>
                <c:pt idx="2">
                  <c:v>poultry and rabbit slaughterhouses</c:v>
                </c:pt>
                <c:pt idx="3">
                  <c:v>poultrymeat cutting plants</c:v>
                </c:pt>
                <c:pt idx="4">
                  <c:v>farmed game slaughterhouses</c:v>
                </c:pt>
                <c:pt idx="5">
                  <c:v>farmed game meat cutting </c:v>
                </c:pt>
                <c:pt idx="6">
                  <c:v>wild ungulates handling</c:v>
                </c:pt>
                <c:pt idx="7">
                  <c:v>wild meat cutting</c:v>
                </c:pt>
                <c:pt idx="8">
                  <c:v>minced meat</c:v>
                </c:pt>
                <c:pt idx="9">
                  <c:v>meat preparations</c:v>
                </c:pt>
                <c:pt idx="10">
                  <c:v>mechanically separated meat</c:v>
                </c:pt>
                <c:pt idx="11">
                  <c:v>frog slaughterhouses</c:v>
                </c:pt>
                <c:pt idx="12">
                  <c:v>meat products</c:v>
                </c:pt>
                <c:pt idx="13">
                  <c:v>RW establishments </c:v>
                </c:pt>
              </c:strCache>
            </c:strRef>
          </c:cat>
          <c:val>
            <c:numRef>
              <c:f>Foglio1!$F$3:$F$16</c:f>
              <c:numCache>
                <c:formatCode>General</c:formatCode>
                <c:ptCount val="14"/>
                <c:pt idx="0">
                  <c:v>82</c:v>
                </c:pt>
                <c:pt idx="1">
                  <c:v>224</c:v>
                </c:pt>
                <c:pt idx="2">
                  <c:v>13</c:v>
                </c:pt>
                <c:pt idx="3">
                  <c:v>46</c:v>
                </c:pt>
                <c:pt idx="4">
                  <c:v>11</c:v>
                </c:pt>
                <c:pt idx="5">
                  <c:v>22</c:v>
                </c:pt>
                <c:pt idx="6">
                  <c:v>23</c:v>
                </c:pt>
                <c:pt idx="7">
                  <c:v>19</c:v>
                </c:pt>
                <c:pt idx="8">
                  <c:v>72</c:v>
                </c:pt>
                <c:pt idx="9">
                  <c:v>120</c:v>
                </c:pt>
                <c:pt idx="10">
                  <c:v>9</c:v>
                </c:pt>
                <c:pt idx="11">
                  <c:v>1</c:v>
                </c:pt>
                <c:pt idx="12">
                  <c:v>569</c:v>
                </c:pt>
                <c:pt idx="13">
                  <c:v>407</c:v>
                </c:pt>
              </c:numCache>
            </c:numRef>
          </c:val>
          <c:extLst>
            <c:ext xmlns:c16="http://schemas.microsoft.com/office/drawing/2014/chart" uri="{C3380CC4-5D6E-409C-BE32-E72D297353CC}">
              <c16:uniqueId val="{00000003-5076-4E19-A645-A3F42B7BDC1D}"/>
            </c:ext>
          </c:extLst>
        </c:ser>
        <c:ser>
          <c:idx val="4"/>
          <c:order val="4"/>
          <c:tx>
            <c:strRef>
              <c:f>Foglio1!$G$2</c:f>
              <c:strCache>
                <c:ptCount val="1"/>
                <c:pt idx="0">
                  <c:v>2024 </c:v>
                </c:pt>
              </c:strCache>
            </c:strRef>
          </c:tx>
          <c:spPr>
            <a:solidFill>
              <a:schemeClr val="accent5"/>
            </a:solidFill>
            <a:ln>
              <a:noFill/>
            </a:ln>
            <a:effectLst/>
          </c:spPr>
          <c:invertIfNegative val="0"/>
          <c:cat>
            <c:strRef>
              <c:f>Foglio1!$B$3:$B$16</c:f>
              <c:strCache>
                <c:ptCount val="14"/>
                <c:pt idx="0">
                  <c:v>domestic ungulate slaughterhouses</c:v>
                </c:pt>
                <c:pt idx="1">
                  <c:v>red meat cutting plants</c:v>
                </c:pt>
                <c:pt idx="2">
                  <c:v>poultry and rabbit slaughterhouses</c:v>
                </c:pt>
                <c:pt idx="3">
                  <c:v>poultrymeat cutting plants</c:v>
                </c:pt>
                <c:pt idx="4">
                  <c:v>farmed game slaughterhouses</c:v>
                </c:pt>
                <c:pt idx="5">
                  <c:v>farmed game meat cutting </c:v>
                </c:pt>
                <c:pt idx="6">
                  <c:v>wild ungulates handling</c:v>
                </c:pt>
                <c:pt idx="7">
                  <c:v>wild meat cutting</c:v>
                </c:pt>
                <c:pt idx="8">
                  <c:v>minced meat</c:v>
                </c:pt>
                <c:pt idx="9">
                  <c:v>meat preparations</c:v>
                </c:pt>
                <c:pt idx="10">
                  <c:v>mechanically separated meat</c:v>
                </c:pt>
                <c:pt idx="11">
                  <c:v>frog slaughterhouses</c:v>
                </c:pt>
                <c:pt idx="12">
                  <c:v>meat products</c:v>
                </c:pt>
                <c:pt idx="13">
                  <c:v>RW establishments </c:v>
                </c:pt>
              </c:strCache>
            </c:strRef>
          </c:cat>
          <c:val>
            <c:numRef>
              <c:f>Foglio1!$G$3:$G$16</c:f>
              <c:numCache>
                <c:formatCode>General</c:formatCode>
                <c:ptCount val="14"/>
                <c:pt idx="0">
                  <c:v>73</c:v>
                </c:pt>
                <c:pt idx="1">
                  <c:v>220</c:v>
                </c:pt>
                <c:pt idx="2">
                  <c:v>13</c:v>
                </c:pt>
                <c:pt idx="3">
                  <c:v>44</c:v>
                </c:pt>
                <c:pt idx="4">
                  <c:v>11</c:v>
                </c:pt>
                <c:pt idx="5">
                  <c:v>26</c:v>
                </c:pt>
                <c:pt idx="6">
                  <c:v>17</c:v>
                </c:pt>
                <c:pt idx="7">
                  <c:v>21</c:v>
                </c:pt>
                <c:pt idx="8">
                  <c:v>72</c:v>
                </c:pt>
                <c:pt idx="9">
                  <c:v>103</c:v>
                </c:pt>
                <c:pt idx="10">
                  <c:v>11</c:v>
                </c:pt>
                <c:pt idx="11">
                  <c:v>1</c:v>
                </c:pt>
                <c:pt idx="12">
                  <c:v>580</c:v>
                </c:pt>
                <c:pt idx="13">
                  <c:v>380</c:v>
                </c:pt>
              </c:numCache>
            </c:numRef>
          </c:val>
          <c:extLst>
            <c:ext xmlns:c16="http://schemas.microsoft.com/office/drawing/2014/chart" uri="{C3380CC4-5D6E-409C-BE32-E72D297353CC}">
              <c16:uniqueId val="{00000004-5076-4E19-A645-A3F42B7BDC1D}"/>
            </c:ext>
          </c:extLst>
        </c:ser>
        <c:dLbls>
          <c:showLegendKey val="0"/>
          <c:showVal val="0"/>
          <c:showCatName val="0"/>
          <c:showSerName val="0"/>
          <c:showPercent val="0"/>
          <c:showBubbleSize val="0"/>
        </c:dLbls>
        <c:gapWidth val="182"/>
        <c:axId val="312296544"/>
        <c:axId val="312293216"/>
      </c:barChart>
      <c:catAx>
        <c:axId val="31229654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12293216"/>
        <c:crosses val="autoZero"/>
        <c:auto val="1"/>
        <c:lblAlgn val="ctr"/>
        <c:lblOffset val="100"/>
        <c:noMultiLvlLbl val="0"/>
      </c:catAx>
      <c:valAx>
        <c:axId val="312293216"/>
        <c:scaling>
          <c:orientation val="minMax"/>
          <c:max val="650"/>
          <c:min val="0"/>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12296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it-IT" sz="900">
                <a:solidFill>
                  <a:sysClr val="windowText" lastClr="000000"/>
                </a:solidFill>
                <a:latin typeface="Arial" panose="020B0604020202020204" pitchFamily="34" charset="0"/>
                <a:cs typeface="Arial" panose="020B0604020202020204" pitchFamily="34" charset="0"/>
              </a:rPr>
              <a:t>Q25. Areas of weakness or critically of the current systems for conducting inspections and</a:t>
            </a:r>
            <a:r>
              <a:rPr lang="it-IT" sz="900" baseline="0">
                <a:solidFill>
                  <a:sysClr val="windowText" lastClr="000000"/>
                </a:solidFill>
                <a:latin typeface="Arial" panose="020B0604020202020204" pitchFamily="34" charset="0"/>
                <a:cs typeface="Arial" panose="020B0604020202020204" pitchFamily="34" charset="0"/>
              </a:rPr>
              <a:t> audits</a:t>
            </a:r>
            <a:endParaRPr lang="it-IT" sz="900">
              <a:solidFill>
                <a:sysClr val="windowText" lastClr="000000"/>
              </a:solidFill>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it-IT"/>
        </a:p>
      </c:txPr>
    </c:title>
    <c:autoTitleDeleted val="0"/>
    <c:plotArea>
      <c:layout/>
      <c:barChart>
        <c:barDir val="bar"/>
        <c:grouping val="stacked"/>
        <c:varyColors val="0"/>
        <c:ser>
          <c:idx val="0"/>
          <c:order val="0"/>
          <c:tx>
            <c:strRef>
              <c:f>'Sheet 2'!$P$69</c:f>
              <c:strCache>
                <c:ptCount val="1"/>
                <c:pt idx="0">
                  <c:v>lack of resources and training</c:v>
                </c:pt>
              </c:strCache>
            </c:strRef>
          </c:tx>
          <c:spPr>
            <a:solidFill>
              <a:schemeClr val="tx1"/>
            </a:solidFill>
            <a:ln>
              <a:solidFill>
                <a:schemeClr val="tx1"/>
              </a:solidFill>
            </a:ln>
            <a:effectLst/>
          </c:spPr>
          <c:invertIfNegative val="0"/>
          <c:val>
            <c:numRef>
              <c:f>'Sheet 2'!$Q$69</c:f>
              <c:numCache>
                <c:formatCode>0.0%</c:formatCode>
                <c:ptCount val="1"/>
                <c:pt idx="0">
                  <c:v>0.5</c:v>
                </c:pt>
              </c:numCache>
            </c:numRef>
          </c:val>
          <c:extLst>
            <c:ext xmlns:c16="http://schemas.microsoft.com/office/drawing/2014/chart" uri="{C3380CC4-5D6E-409C-BE32-E72D297353CC}">
              <c16:uniqueId val="{00000000-1D43-42EE-84B5-4FBD68D3CA31}"/>
            </c:ext>
          </c:extLst>
        </c:ser>
        <c:ser>
          <c:idx val="1"/>
          <c:order val="1"/>
          <c:tx>
            <c:strRef>
              <c:f>'Sheet 2'!$P$70</c:f>
              <c:strCache>
                <c:ptCount val="1"/>
                <c:pt idx="0">
                  <c:v>procedures to be improve</c:v>
                </c:pt>
              </c:strCache>
            </c:strRef>
          </c:tx>
          <c:spPr>
            <a:solidFill>
              <a:schemeClr val="bg1">
                <a:lumMod val="50000"/>
              </a:schemeClr>
            </a:solidFill>
            <a:ln>
              <a:solidFill>
                <a:schemeClr val="tx1"/>
              </a:solidFill>
            </a:ln>
            <a:effectLst/>
          </c:spPr>
          <c:invertIfNegative val="0"/>
          <c:val>
            <c:numRef>
              <c:f>'Sheet 2'!$Q$70</c:f>
              <c:numCache>
                <c:formatCode>0.0%</c:formatCode>
                <c:ptCount val="1"/>
                <c:pt idx="0">
                  <c:v>0.5</c:v>
                </c:pt>
              </c:numCache>
            </c:numRef>
          </c:val>
          <c:extLst>
            <c:ext xmlns:c16="http://schemas.microsoft.com/office/drawing/2014/chart" uri="{C3380CC4-5D6E-409C-BE32-E72D297353CC}">
              <c16:uniqueId val="{00000001-1D43-42EE-84B5-4FBD68D3CA31}"/>
            </c:ext>
          </c:extLst>
        </c:ser>
        <c:dLbls>
          <c:showLegendKey val="0"/>
          <c:showVal val="0"/>
          <c:showCatName val="0"/>
          <c:showSerName val="0"/>
          <c:showPercent val="0"/>
          <c:showBubbleSize val="0"/>
        </c:dLbls>
        <c:gapWidth val="150"/>
        <c:overlap val="100"/>
        <c:axId val="1586999312"/>
        <c:axId val="1590845728"/>
      </c:barChart>
      <c:catAx>
        <c:axId val="1586999312"/>
        <c:scaling>
          <c:orientation val="minMax"/>
        </c:scaling>
        <c:delete val="1"/>
        <c:axPos val="l"/>
        <c:numFmt formatCode="General" sourceLinked="1"/>
        <c:majorTickMark val="none"/>
        <c:minorTickMark val="none"/>
        <c:tickLblPos val="nextTo"/>
        <c:crossAx val="1590845728"/>
        <c:crosses val="autoZero"/>
        <c:auto val="1"/>
        <c:lblAlgn val="ctr"/>
        <c:lblOffset val="100"/>
        <c:noMultiLvlLbl val="0"/>
      </c:catAx>
      <c:valAx>
        <c:axId val="1590845728"/>
        <c:scaling>
          <c:orientation val="minMax"/>
          <c:max val="1"/>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1586999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it-IT" sz="900">
                <a:solidFill>
                  <a:sysClr val="windowText" lastClr="000000"/>
                </a:solidFill>
                <a:latin typeface="Arial" panose="020B0604020202020204" pitchFamily="34" charset="0"/>
                <a:cs typeface="Arial" panose="020B0604020202020204" pitchFamily="34" charset="0"/>
              </a:rPr>
              <a:t>Q26-27. The time dedicated to this activity is well balanced with that required for other tasks </a:t>
            </a:r>
          </a:p>
        </c:rich>
      </c:tx>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it-IT"/>
        </a:p>
      </c:txPr>
    </c:title>
    <c:autoTitleDeleted val="0"/>
    <c:plotArea>
      <c:layout/>
      <c:barChart>
        <c:barDir val="bar"/>
        <c:grouping val="stacked"/>
        <c:varyColors val="0"/>
        <c:ser>
          <c:idx val="0"/>
          <c:order val="0"/>
          <c:tx>
            <c:strRef>
              <c:f>'Sheet 2'!$P$40</c:f>
              <c:strCache>
                <c:ptCount val="1"/>
                <c:pt idx="0">
                  <c:v>yes</c:v>
                </c:pt>
              </c:strCache>
            </c:strRef>
          </c:tx>
          <c:spPr>
            <a:solidFill>
              <a:schemeClr val="tx1">
                <a:lumMod val="75000"/>
                <a:lumOff val="25000"/>
              </a:schemeClr>
            </a:solidFill>
            <a:ln>
              <a:solidFill>
                <a:schemeClr val="tx1"/>
              </a:solidFill>
            </a:ln>
            <a:effectLst/>
          </c:spPr>
          <c:invertIfNegative val="0"/>
          <c:cat>
            <c:strRef>
              <c:f>'Sheet 2'!$O$41:$O$42</c:f>
              <c:strCache>
                <c:ptCount val="2"/>
                <c:pt idx="0">
                  <c:v>inspections</c:v>
                </c:pt>
                <c:pt idx="1">
                  <c:v>audits</c:v>
                </c:pt>
              </c:strCache>
            </c:strRef>
          </c:cat>
          <c:val>
            <c:numRef>
              <c:f>'Sheet 2'!$P$41:$P$42</c:f>
              <c:numCache>
                <c:formatCode>0%</c:formatCode>
                <c:ptCount val="2"/>
                <c:pt idx="0">
                  <c:v>0.32926829268292684</c:v>
                </c:pt>
                <c:pt idx="1">
                  <c:v>0.5</c:v>
                </c:pt>
              </c:numCache>
            </c:numRef>
          </c:val>
          <c:extLst>
            <c:ext xmlns:c16="http://schemas.microsoft.com/office/drawing/2014/chart" uri="{C3380CC4-5D6E-409C-BE32-E72D297353CC}">
              <c16:uniqueId val="{00000000-2301-4AAC-BDE6-146F5593D0A7}"/>
            </c:ext>
          </c:extLst>
        </c:ser>
        <c:ser>
          <c:idx val="1"/>
          <c:order val="1"/>
          <c:tx>
            <c:strRef>
              <c:f>'Sheet 2'!$Q$40</c:f>
              <c:strCache>
                <c:ptCount val="1"/>
                <c:pt idx="0">
                  <c:v>no</c:v>
                </c:pt>
              </c:strCache>
            </c:strRef>
          </c:tx>
          <c:spPr>
            <a:solidFill>
              <a:schemeClr val="bg1">
                <a:lumMod val="75000"/>
              </a:schemeClr>
            </a:solidFill>
            <a:ln>
              <a:solidFill>
                <a:schemeClr val="tx1"/>
              </a:solidFill>
            </a:ln>
            <a:effectLst/>
          </c:spPr>
          <c:invertIfNegative val="0"/>
          <c:cat>
            <c:strRef>
              <c:f>'Sheet 2'!$O$41:$O$42</c:f>
              <c:strCache>
                <c:ptCount val="2"/>
                <c:pt idx="0">
                  <c:v>inspections</c:v>
                </c:pt>
                <c:pt idx="1">
                  <c:v>audits</c:v>
                </c:pt>
              </c:strCache>
            </c:strRef>
          </c:cat>
          <c:val>
            <c:numRef>
              <c:f>'Sheet 2'!$Q$41:$Q$42</c:f>
              <c:numCache>
                <c:formatCode>0%</c:formatCode>
                <c:ptCount val="2"/>
                <c:pt idx="0">
                  <c:v>0.67073170731707321</c:v>
                </c:pt>
                <c:pt idx="1">
                  <c:v>0.5</c:v>
                </c:pt>
              </c:numCache>
            </c:numRef>
          </c:val>
          <c:extLst>
            <c:ext xmlns:c16="http://schemas.microsoft.com/office/drawing/2014/chart" uri="{C3380CC4-5D6E-409C-BE32-E72D297353CC}">
              <c16:uniqueId val="{00000001-2301-4AAC-BDE6-146F5593D0A7}"/>
            </c:ext>
          </c:extLst>
        </c:ser>
        <c:dLbls>
          <c:showLegendKey val="0"/>
          <c:showVal val="0"/>
          <c:showCatName val="0"/>
          <c:showSerName val="0"/>
          <c:showPercent val="0"/>
          <c:showBubbleSize val="0"/>
        </c:dLbls>
        <c:gapWidth val="150"/>
        <c:overlap val="100"/>
        <c:axId val="448187199"/>
        <c:axId val="417450575"/>
      </c:barChart>
      <c:catAx>
        <c:axId val="448187199"/>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417450575"/>
        <c:crosses val="autoZero"/>
        <c:auto val="1"/>
        <c:lblAlgn val="ctr"/>
        <c:lblOffset val="100"/>
        <c:noMultiLvlLbl val="0"/>
      </c:catAx>
      <c:valAx>
        <c:axId val="417450575"/>
        <c:scaling>
          <c:orientation val="minMax"/>
          <c:max val="1"/>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4481871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Foglio1!$C$23</c:f>
              <c:strCache>
                <c:ptCount val="1"/>
                <c:pt idx="0">
                  <c:v>2020 </c:v>
                </c:pt>
              </c:strCache>
            </c:strRef>
          </c:tx>
          <c:spPr>
            <a:solidFill>
              <a:schemeClr val="accent1"/>
            </a:solidFill>
            <a:ln>
              <a:noFill/>
            </a:ln>
            <a:effectLst/>
          </c:spPr>
          <c:invertIfNegative val="0"/>
          <c:cat>
            <c:strRef>
              <c:f>Foglio1!$B$24:$B$30</c:f>
              <c:strCache>
                <c:ptCount val="7"/>
                <c:pt idx="0">
                  <c:v>live bivalve molluscs purification</c:v>
                </c:pt>
                <c:pt idx="1">
                  <c:v>live bivalve molluscs dispatch</c:v>
                </c:pt>
                <c:pt idx="2">
                  <c:v>fresh fishery products plants</c:v>
                </c:pt>
                <c:pt idx="3">
                  <c:v>fish processing products plants</c:v>
                </c:pt>
                <c:pt idx="4">
                  <c:v>wholesale markets</c:v>
                </c:pt>
                <c:pt idx="5">
                  <c:v>auction halls</c:v>
                </c:pt>
                <c:pt idx="6">
                  <c:v>mechanically separated fish meat plants</c:v>
                </c:pt>
              </c:strCache>
            </c:strRef>
          </c:cat>
          <c:val>
            <c:numRef>
              <c:f>Foglio1!$C$24:$C$30</c:f>
              <c:numCache>
                <c:formatCode>General</c:formatCode>
                <c:ptCount val="7"/>
                <c:pt idx="0">
                  <c:v>18</c:v>
                </c:pt>
                <c:pt idx="1">
                  <c:v>46</c:v>
                </c:pt>
                <c:pt idx="2">
                  <c:v>55</c:v>
                </c:pt>
                <c:pt idx="3">
                  <c:v>66</c:v>
                </c:pt>
                <c:pt idx="4">
                  <c:v>1</c:v>
                </c:pt>
                <c:pt idx="5">
                  <c:v>5</c:v>
                </c:pt>
                <c:pt idx="6">
                  <c:v>1</c:v>
                </c:pt>
              </c:numCache>
            </c:numRef>
          </c:val>
          <c:extLst>
            <c:ext xmlns:c16="http://schemas.microsoft.com/office/drawing/2014/chart" uri="{C3380CC4-5D6E-409C-BE32-E72D297353CC}">
              <c16:uniqueId val="{00000000-279E-448C-A383-DDA57F58A30F}"/>
            </c:ext>
          </c:extLst>
        </c:ser>
        <c:ser>
          <c:idx val="1"/>
          <c:order val="1"/>
          <c:tx>
            <c:strRef>
              <c:f>Foglio1!$D$23</c:f>
              <c:strCache>
                <c:ptCount val="1"/>
                <c:pt idx="0">
                  <c:v>2021 </c:v>
                </c:pt>
              </c:strCache>
            </c:strRef>
          </c:tx>
          <c:spPr>
            <a:solidFill>
              <a:schemeClr val="accent2"/>
            </a:solidFill>
            <a:ln>
              <a:noFill/>
            </a:ln>
            <a:effectLst/>
          </c:spPr>
          <c:invertIfNegative val="0"/>
          <c:cat>
            <c:strRef>
              <c:f>Foglio1!$B$24:$B$30</c:f>
              <c:strCache>
                <c:ptCount val="7"/>
                <c:pt idx="0">
                  <c:v>live bivalve molluscs purification</c:v>
                </c:pt>
                <c:pt idx="1">
                  <c:v>live bivalve molluscs dispatch</c:v>
                </c:pt>
                <c:pt idx="2">
                  <c:v>fresh fishery products plants</c:v>
                </c:pt>
                <c:pt idx="3">
                  <c:v>fish processing products plants</c:v>
                </c:pt>
                <c:pt idx="4">
                  <c:v>wholesale markets</c:v>
                </c:pt>
                <c:pt idx="5">
                  <c:v>auction halls</c:v>
                </c:pt>
                <c:pt idx="6">
                  <c:v>mechanically separated fish meat plants</c:v>
                </c:pt>
              </c:strCache>
            </c:strRef>
          </c:cat>
          <c:val>
            <c:numRef>
              <c:f>Foglio1!$D$24:$D$30</c:f>
              <c:numCache>
                <c:formatCode>General</c:formatCode>
                <c:ptCount val="7"/>
                <c:pt idx="0">
                  <c:v>20</c:v>
                </c:pt>
                <c:pt idx="1">
                  <c:v>52</c:v>
                </c:pt>
                <c:pt idx="2">
                  <c:v>56</c:v>
                </c:pt>
                <c:pt idx="3">
                  <c:v>63</c:v>
                </c:pt>
                <c:pt idx="4">
                  <c:v>1</c:v>
                </c:pt>
                <c:pt idx="5">
                  <c:v>5</c:v>
                </c:pt>
                <c:pt idx="6">
                  <c:v>2</c:v>
                </c:pt>
              </c:numCache>
            </c:numRef>
          </c:val>
          <c:extLst>
            <c:ext xmlns:c16="http://schemas.microsoft.com/office/drawing/2014/chart" uri="{C3380CC4-5D6E-409C-BE32-E72D297353CC}">
              <c16:uniqueId val="{00000001-279E-448C-A383-DDA57F58A30F}"/>
            </c:ext>
          </c:extLst>
        </c:ser>
        <c:ser>
          <c:idx val="2"/>
          <c:order val="2"/>
          <c:tx>
            <c:strRef>
              <c:f>Foglio1!$E$23</c:f>
              <c:strCache>
                <c:ptCount val="1"/>
                <c:pt idx="0">
                  <c:v>2022 </c:v>
                </c:pt>
              </c:strCache>
            </c:strRef>
          </c:tx>
          <c:spPr>
            <a:solidFill>
              <a:schemeClr val="accent3"/>
            </a:solidFill>
            <a:ln>
              <a:noFill/>
            </a:ln>
            <a:effectLst/>
          </c:spPr>
          <c:invertIfNegative val="0"/>
          <c:cat>
            <c:strRef>
              <c:f>Foglio1!$B$24:$B$30</c:f>
              <c:strCache>
                <c:ptCount val="7"/>
                <c:pt idx="0">
                  <c:v>live bivalve molluscs purification</c:v>
                </c:pt>
                <c:pt idx="1">
                  <c:v>live bivalve molluscs dispatch</c:v>
                </c:pt>
                <c:pt idx="2">
                  <c:v>fresh fishery products plants</c:v>
                </c:pt>
                <c:pt idx="3">
                  <c:v>fish processing products plants</c:v>
                </c:pt>
                <c:pt idx="4">
                  <c:v>wholesale markets</c:v>
                </c:pt>
                <c:pt idx="5">
                  <c:v>auction halls</c:v>
                </c:pt>
                <c:pt idx="6">
                  <c:v>mechanically separated fish meat plants</c:v>
                </c:pt>
              </c:strCache>
            </c:strRef>
          </c:cat>
          <c:val>
            <c:numRef>
              <c:f>Foglio1!$E$24:$E$30</c:f>
              <c:numCache>
                <c:formatCode>General</c:formatCode>
                <c:ptCount val="7"/>
                <c:pt idx="0">
                  <c:v>21</c:v>
                </c:pt>
                <c:pt idx="1">
                  <c:v>55</c:v>
                </c:pt>
                <c:pt idx="2">
                  <c:v>60</c:v>
                </c:pt>
                <c:pt idx="3">
                  <c:v>68</c:v>
                </c:pt>
                <c:pt idx="4">
                  <c:v>1</c:v>
                </c:pt>
                <c:pt idx="5">
                  <c:v>5</c:v>
                </c:pt>
                <c:pt idx="6">
                  <c:v>1</c:v>
                </c:pt>
              </c:numCache>
            </c:numRef>
          </c:val>
          <c:extLst>
            <c:ext xmlns:c16="http://schemas.microsoft.com/office/drawing/2014/chart" uri="{C3380CC4-5D6E-409C-BE32-E72D297353CC}">
              <c16:uniqueId val="{00000002-279E-448C-A383-DDA57F58A30F}"/>
            </c:ext>
          </c:extLst>
        </c:ser>
        <c:ser>
          <c:idx val="3"/>
          <c:order val="3"/>
          <c:tx>
            <c:strRef>
              <c:f>Foglio1!$F$23</c:f>
              <c:strCache>
                <c:ptCount val="1"/>
                <c:pt idx="0">
                  <c:v>2023 </c:v>
                </c:pt>
              </c:strCache>
            </c:strRef>
          </c:tx>
          <c:spPr>
            <a:solidFill>
              <a:schemeClr val="accent4"/>
            </a:solidFill>
            <a:ln>
              <a:noFill/>
            </a:ln>
            <a:effectLst/>
          </c:spPr>
          <c:invertIfNegative val="0"/>
          <c:cat>
            <c:strRef>
              <c:f>Foglio1!$B$24:$B$30</c:f>
              <c:strCache>
                <c:ptCount val="7"/>
                <c:pt idx="0">
                  <c:v>live bivalve molluscs purification</c:v>
                </c:pt>
                <c:pt idx="1">
                  <c:v>live bivalve molluscs dispatch</c:v>
                </c:pt>
                <c:pt idx="2">
                  <c:v>fresh fishery products plants</c:v>
                </c:pt>
                <c:pt idx="3">
                  <c:v>fish processing products plants</c:v>
                </c:pt>
                <c:pt idx="4">
                  <c:v>wholesale markets</c:v>
                </c:pt>
                <c:pt idx="5">
                  <c:v>auction halls</c:v>
                </c:pt>
                <c:pt idx="6">
                  <c:v>mechanically separated fish meat plants</c:v>
                </c:pt>
              </c:strCache>
            </c:strRef>
          </c:cat>
          <c:val>
            <c:numRef>
              <c:f>Foglio1!$F$24:$F$30</c:f>
              <c:numCache>
                <c:formatCode>General</c:formatCode>
                <c:ptCount val="7"/>
                <c:pt idx="0">
                  <c:v>21</c:v>
                </c:pt>
                <c:pt idx="1">
                  <c:v>54</c:v>
                </c:pt>
                <c:pt idx="2">
                  <c:v>58</c:v>
                </c:pt>
                <c:pt idx="3">
                  <c:v>71</c:v>
                </c:pt>
                <c:pt idx="4">
                  <c:v>2</c:v>
                </c:pt>
                <c:pt idx="5">
                  <c:v>4</c:v>
                </c:pt>
                <c:pt idx="6">
                  <c:v>1</c:v>
                </c:pt>
              </c:numCache>
            </c:numRef>
          </c:val>
          <c:extLst>
            <c:ext xmlns:c16="http://schemas.microsoft.com/office/drawing/2014/chart" uri="{C3380CC4-5D6E-409C-BE32-E72D297353CC}">
              <c16:uniqueId val="{00000003-279E-448C-A383-DDA57F58A30F}"/>
            </c:ext>
          </c:extLst>
        </c:ser>
        <c:ser>
          <c:idx val="4"/>
          <c:order val="4"/>
          <c:tx>
            <c:strRef>
              <c:f>Foglio1!$G$23</c:f>
              <c:strCache>
                <c:ptCount val="1"/>
                <c:pt idx="0">
                  <c:v>2024 </c:v>
                </c:pt>
              </c:strCache>
            </c:strRef>
          </c:tx>
          <c:spPr>
            <a:solidFill>
              <a:schemeClr val="accent5"/>
            </a:solidFill>
            <a:ln>
              <a:noFill/>
            </a:ln>
            <a:effectLst/>
          </c:spPr>
          <c:invertIfNegative val="0"/>
          <c:cat>
            <c:strRef>
              <c:f>Foglio1!$B$24:$B$30</c:f>
              <c:strCache>
                <c:ptCount val="7"/>
                <c:pt idx="0">
                  <c:v>live bivalve molluscs purification</c:v>
                </c:pt>
                <c:pt idx="1">
                  <c:v>live bivalve molluscs dispatch</c:v>
                </c:pt>
                <c:pt idx="2">
                  <c:v>fresh fishery products plants</c:v>
                </c:pt>
                <c:pt idx="3">
                  <c:v>fish processing products plants</c:v>
                </c:pt>
                <c:pt idx="4">
                  <c:v>wholesale markets</c:v>
                </c:pt>
                <c:pt idx="5">
                  <c:v>auction halls</c:v>
                </c:pt>
                <c:pt idx="6">
                  <c:v>mechanically separated fish meat plants</c:v>
                </c:pt>
              </c:strCache>
            </c:strRef>
          </c:cat>
          <c:val>
            <c:numRef>
              <c:f>Foglio1!$G$24:$G$30</c:f>
              <c:numCache>
                <c:formatCode>General</c:formatCode>
                <c:ptCount val="7"/>
                <c:pt idx="0">
                  <c:v>20</c:v>
                </c:pt>
                <c:pt idx="1">
                  <c:v>54</c:v>
                </c:pt>
                <c:pt idx="2">
                  <c:v>60</c:v>
                </c:pt>
                <c:pt idx="3">
                  <c:v>72</c:v>
                </c:pt>
                <c:pt idx="4">
                  <c:v>1</c:v>
                </c:pt>
                <c:pt idx="5">
                  <c:v>5</c:v>
                </c:pt>
                <c:pt idx="6">
                  <c:v>1</c:v>
                </c:pt>
              </c:numCache>
            </c:numRef>
          </c:val>
          <c:extLst>
            <c:ext xmlns:c16="http://schemas.microsoft.com/office/drawing/2014/chart" uri="{C3380CC4-5D6E-409C-BE32-E72D297353CC}">
              <c16:uniqueId val="{00000004-279E-448C-A383-DDA57F58A30F}"/>
            </c:ext>
          </c:extLst>
        </c:ser>
        <c:dLbls>
          <c:showLegendKey val="0"/>
          <c:showVal val="0"/>
          <c:showCatName val="0"/>
          <c:showSerName val="0"/>
          <c:showPercent val="0"/>
          <c:showBubbleSize val="0"/>
        </c:dLbls>
        <c:gapWidth val="182"/>
        <c:axId val="259872688"/>
        <c:axId val="259873104"/>
      </c:barChart>
      <c:catAx>
        <c:axId val="25987268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259873104"/>
        <c:crosses val="autoZero"/>
        <c:auto val="1"/>
        <c:lblAlgn val="ctr"/>
        <c:lblOffset val="100"/>
        <c:noMultiLvlLbl val="0"/>
      </c:catAx>
      <c:valAx>
        <c:axId val="259873104"/>
        <c:scaling>
          <c:orientation val="minMax"/>
          <c:max val="75"/>
          <c:min val="0"/>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2598726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Foglio1!$C$42</c:f>
              <c:strCache>
                <c:ptCount val="1"/>
                <c:pt idx="0">
                  <c:v>2020 </c:v>
                </c:pt>
              </c:strCache>
            </c:strRef>
          </c:tx>
          <c:spPr>
            <a:solidFill>
              <a:schemeClr val="accent1"/>
            </a:solidFill>
            <a:ln>
              <a:noFill/>
            </a:ln>
            <a:effectLst/>
          </c:spPr>
          <c:invertIfNegative val="0"/>
          <c:cat>
            <c:strRef>
              <c:f>Foglio1!$B$43:$B$46</c:f>
              <c:strCache>
                <c:ptCount val="4"/>
                <c:pt idx="0">
                  <c:v>milk *</c:v>
                </c:pt>
                <c:pt idx="1">
                  <c:v>milk heat treatment plants</c:v>
                </c:pt>
                <c:pt idx="2">
                  <c:v>dairy products</c:v>
                </c:pt>
                <c:pt idx="3">
                  <c:v>cheese aging plants</c:v>
                </c:pt>
              </c:strCache>
            </c:strRef>
          </c:cat>
          <c:val>
            <c:numRef>
              <c:f>Foglio1!$C$43:$C$46</c:f>
              <c:numCache>
                <c:formatCode>General</c:formatCode>
                <c:ptCount val="4"/>
                <c:pt idx="0">
                  <c:v>7</c:v>
                </c:pt>
                <c:pt idx="1">
                  <c:v>22</c:v>
                </c:pt>
                <c:pt idx="2">
                  <c:v>567</c:v>
                </c:pt>
                <c:pt idx="3">
                  <c:v>128</c:v>
                </c:pt>
              </c:numCache>
            </c:numRef>
          </c:val>
          <c:extLst>
            <c:ext xmlns:c16="http://schemas.microsoft.com/office/drawing/2014/chart" uri="{C3380CC4-5D6E-409C-BE32-E72D297353CC}">
              <c16:uniqueId val="{00000000-B88E-44FE-8EC1-B4702FC524FA}"/>
            </c:ext>
          </c:extLst>
        </c:ser>
        <c:ser>
          <c:idx val="1"/>
          <c:order val="1"/>
          <c:tx>
            <c:strRef>
              <c:f>Foglio1!$D$42</c:f>
              <c:strCache>
                <c:ptCount val="1"/>
                <c:pt idx="0">
                  <c:v>2021 </c:v>
                </c:pt>
              </c:strCache>
            </c:strRef>
          </c:tx>
          <c:spPr>
            <a:solidFill>
              <a:schemeClr val="accent2"/>
            </a:solidFill>
            <a:ln>
              <a:noFill/>
            </a:ln>
            <a:effectLst/>
          </c:spPr>
          <c:invertIfNegative val="0"/>
          <c:cat>
            <c:strRef>
              <c:f>Foglio1!$B$43:$B$46</c:f>
              <c:strCache>
                <c:ptCount val="4"/>
                <c:pt idx="0">
                  <c:v>milk *</c:v>
                </c:pt>
                <c:pt idx="1">
                  <c:v>milk heat treatment plants</c:v>
                </c:pt>
                <c:pt idx="2">
                  <c:v>dairy products</c:v>
                </c:pt>
                <c:pt idx="3">
                  <c:v>cheese aging plants</c:v>
                </c:pt>
              </c:strCache>
            </c:strRef>
          </c:cat>
          <c:val>
            <c:numRef>
              <c:f>Foglio1!$D$43:$D$46</c:f>
              <c:numCache>
                <c:formatCode>General</c:formatCode>
                <c:ptCount val="4"/>
                <c:pt idx="0">
                  <c:v>8</c:v>
                </c:pt>
                <c:pt idx="1">
                  <c:v>24</c:v>
                </c:pt>
                <c:pt idx="2">
                  <c:v>562</c:v>
                </c:pt>
                <c:pt idx="3">
                  <c:v>141</c:v>
                </c:pt>
              </c:numCache>
            </c:numRef>
          </c:val>
          <c:extLst>
            <c:ext xmlns:c16="http://schemas.microsoft.com/office/drawing/2014/chart" uri="{C3380CC4-5D6E-409C-BE32-E72D297353CC}">
              <c16:uniqueId val="{00000001-B88E-44FE-8EC1-B4702FC524FA}"/>
            </c:ext>
          </c:extLst>
        </c:ser>
        <c:ser>
          <c:idx val="2"/>
          <c:order val="2"/>
          <c:tx>
            <c:strRef>
              <c:f>Foglio1!$E$42</c:f>
              <c:strCache>
                <c:ptCount val="1"/>
                <c:pt idx="0">
                  <c:v>2022 </c:v>
                </c:pt>
              </c:strCache>
            </c:strRef>
          </c:tx>
          <c:spPr>
            <a:solidFill>
              <a:schemeClr val="accent3"/>
            </a:solidFill>
            <a:ln>
              <a:noFill/>
            </a:ln>
            <a:effectLst/>
          </c:spPr>
          <c:invertIfNegative val="0"/>
          <c:cat>
            <c:strRef>
              <c:f>Foglio1!$B$43:$B$46</c:f>
              <c:strCache>
                <c:ptCount val="4"/>
                <c:pt idx="0">
                  <c:v>milk *</c:v>
                </c:pt>
                <c:pt idx="1">
                  <c:v>milk heat treatment plants</c:v>
                </c:pt>
                <c:pt idx="2">
                  <c:v>dairy products</c:v>
                </c:pt>
                <c:pt idx="3">
                  <c:v>cheese aging plants</c:v>
                </c:pt>
              </c:strCache>
            </c:strRef>
          </c:cat>
          <c:val>
            <c:numRef>
              <c:f>Foglio1!$E$43:$E$46</c:f>
              <c:numCache>
                <c:formatCode>General</c:formatCode>
                <c:ptCount val="4"/>
                <c:pt idx="0">
                  <c:v>21</c:v>
                </c:pt>
                <c:pt idx="1">
                  <c:v>26</c:v>
                </c:pt>
                <c:pt idx="2">
                  <c:v>582</c:v>
                </c:pt>
                <c:pt idx="3">
                  <c:v>153</c:v>
                </c:pt>
              </c:numCache>
            </c:numRef>
          </c:val>
          <c:extLst>
            <c:ext xmlns:c16="http://schemas.microsoft.com/office/drawing/2014/chart" uri="{C3380CC4-5D6E-409C-BE32-E72D297353CC}">
              <c16:uniqueId val="{00000002-B88E-44FE-8EC1-B4702FC524FA}"/>
            </c:ext>
          </c:extLst>
        </c:ser>
        <c:ser>
          <c:idx val="3"/>
          <c:order val="3"/>
          <c:tx>
            <c:strRef>
              <c:f>Foglio1!$F$42</c:f>
              <c:strCache>
                <c:ptCount val="1"/>
                <c:pt idx="0">
                  <c:v>2023 </c:v>
                </c:pt>
              </c:strCache>
            </c:strRef>
          </c:tx>
          <c:spPr>
            <a:solidFill>
              <a:schemeClr val="accent4"/>
            </a:solidFill>
            <a:ln>
              <a:noFill/>
            </a:ln>
            <a:effectLst/>
          </c:spPr>
          <c:invertIfNegative val="0"/>
          <c:cat>
            <c:strRef>
              <c:f>Foglio1!$B$43:$B$46</c:f>
              <c:strCache>
                <c:ptCount val="4"/>
                <c:pt idx="0">
                  <c:v>milk *</c:v>
                </c:pt>
                <c:pt idx="1">
                  <c:v>milk heat treatment plants</c:v>
                </c:pt>
                <c:pt idx="2">
                  <c:v>dairy products</c:v>
                </c:pt>
                <c:pt idx="3">
                  <c:v>cheese aging plants</c:v>
                </c:pt>
              </c:strCache>
            </c:strRef>
          </c:cat>
          <c:val>
            <c:numRef>
              <c:f>Foglio1!$F$43:$F$46</c:f>
              <c:numCache>
                <c:formatCode>General</c:formatCode>
                <c:ptCount val="4"/>
                <c:pt idx="0">
                  <c:v>24</c:v>
                </c:pt>
                <c:pt idx="1">
                  <c:v>24</c:v>
                </c:pt>
                <c:pt idx="2">
                  <c:v>569</c:v>
                </c:pt>
                <c:pt idx="3">
                  <c:v>151</c:v>
                </c:pt>
              </c:numCache>
            </c:numRef>
          </c:val>
          <c:extLst>
            <c:ext xmlns:c16="http://schemas.microsoft.com/office/drawing/2014/chart" uri="{C3380CC4-5D6E-409C-BE32-E72D297353CC}">
              <c16:uniqueId val="{00000003-B88E-44FE-8EC1-B4702FC524FA}"/>
            </c:ext>
          </c:extLst>
        </c:ser>
        <c:ser>
          <c:idx val="4"/>
          <c:order val="4"/>
          <c:tx>
            <c:strRef>
              <c:f>Foglio1!$G$42</c:f>
              <c:strCache>
                <c:ptCount val="1"/>
                <c:pt idx="0">
                  <c:v>2024 </c:v>
                </c:pt>
              </c:strCache>
            </c:strRef>
          </c:tx>
          <c:spPr>
            <a:solidFill>
              <a:schemeClr val="accent5"/>
            </a:solidFill>
            <a:ln>
              <a:noFill/>
            </a:ln>
            <a:effectLst/>
          </c:spPr>
          <c:invertIfNegative val="0"/>
          <c:cat>
            <c:strRef>
              <c:f>Foglio1!$B$43:$B$46</c:f>
              <c:strCache>
                <c:ptCount val="4"/>
                <c:pt idx="0">
                  <c:v>milk *</c:v>
                </c:pt>
                <c:pt idx="1">
                  <c:v>milk heat treatment plants</c:v>
                </c:pt>
                <c:pt idx="2">
                  <c:v>dairy products</c:v>
                </c:pt>
                <c:pt idx="3">
                  <c:v>cheese aging plants</c:v>
                </c:pt>
              </c:strCache>
            </c:strRef>
          </c:cat>
          <c:val>
            <c:numRef>
              <c:f>Foglio1!$G$43:$G$46</c:f>
              <c:numCache>
                <c:formatCode>General</c:formatCode>
                <c:ptCount val="4"/>
                <c:pt idx="0">
                  <c:v>26</c:v>
                </c:pt>
                <c:pt idx="1">
                  <c:v>27</c:v>
                </c:pt>
                <c:pt idx="2">
                  <c:v>562</c:v>
                </c:pt>
                <c:pt idx="3">
                  <c:v>149</c:v>
                </c:pt>
              </c:numCache>
            </c:numRef>
          </c:val>
          <c:extLst>
            <c:ext xmlns:c16="http://schemas.microsoft.com/office/drawing/2014/chart" uri="{C3380CC4-5D6E-409C-BE32-E72D297353CC}">
              <c16:uniqueId val="{00000004-B88E-44FE-8EC1-B4702FC524FA}"/>
            </c:ext>
          </c:extLst>
        </c:ser>
        <c:dLbls>
          <c:showLegendKey val="0"/>
          <c:showVal val="0"/>
          <c:showCatName val="0"/>
          <c:showSerName val="0"/>
          <c:showPercent val="0"/>
          <c:showBubbleSize val="0"/>
        </c:dLbls>
        <c:gapWidth val="182"/>
        <c:axId val="312314848"/>
        <c:axId val="312314432"/>
      </c:barChart>
      <c:catAx>
        <c:axId val="31231484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12314432"/>
        <c:crosses val="autoZero"/>
        <c:auto val="1"/>
        <c:lblAlgn val="ctr"/>
        <c:lblOffset val="100"/>
        <c:noMultiLvlLbl val="0"/>
      </c:catAx>
      <c:valAx>
        <c:axId val="312314432"/>
        <c:scaling>
          <c:orientation val="minMax"/>
          <c:max val="600"/>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12314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Foglio1!$C$61</c:f>
              <c:strCache>
                <c:ptCount val="1"/>
                <c:pt idx="0">
                  <c:v>2020 </c:v>
                </c:pt>
              </c:strCache>
            </c:strRef>
          </c:tx>
          <c:spPr>
            <a:solidFill>
              <a:schemeClr val="accent1"/>
            </a:solidFill>
            <a:ln>
              <a:noFill/>
            </a:ln>
            <a:effectLst/>
          </c:spPr>
          <c:invertIfNegative val="0"/>
          <c:cat>
            <c:strRef>
              <c:f>Foglio1!$B$62:$B$71</c:f>
              <c:strCache>
                <c:ptCount val="10"/>
                <c:pt idx="0">
                  <c:v>egg packing centres</c:v>
                </c:pt>
                <c:pt idx="1">
                  <c:v>liquid egg plants</c:v>
                </c:pt>
                <c:pt idx="2">
                  <c:v>eggs processing plants</c:v>
                </c:pt>
                <c:pt idx="3">
                  <c:v>RAFG processing plants</c:v>
                </c:pt>
                <c:pt idx="4">
                  <c:v>TSBI processing plants</c:v>
                </c:pt>
                <c:pt idx="5">
                  <c:v>gelatine collection centres</c:v>
                </c:pt>
                <c:pt idx="6">
                  <c:v>gelatine processing plants</c:v>
                </c:pt>
                <c:pt idx="7">
                  <c:v>collagene collection centres</c:v>
                </c:pt>
                <c:pt idx="8">
                  <c:v>collagene processing plants</c:v>
                </c:pt>
                <c:pt idx="9">
                  <c:v>cold storage facilities</c:v>
                </c:pt>
              </c:strCache>
            </c:strRef>
          </c:cat>
          <c:val>
            <c:numRef>
              <c:f>Foglio1!$C$62:$C$71</c:f>
              <c:numCache>
                <c:formatCode>General</c:formatCode>
                <c:ptCount val="10"/>
                <c:pt idx="0">
                  <c:v>42</c:v>
                </c:pt>
                <c:pt idx="1">
                  <c:v>3</c:v>
                </c:pt>
                <c:pt idx="2">
                  <c:v>9</c:v>
                </c:pt>
                <c:pt idx="3">
                  <c:v>44</c:v>
                </c:pt>
                <c:pt idx="4">
                  <c:v>25</c:v>
                </c:pt>
                <c:pt idx="5">
                  <c:v>4</c:v>
                </c:pt>
                <c:pt idx="6">
                  <c:v>0</c:v>
                </c:pt>
                <c:pt idx="7">
                  <c:v>2</c:v>
                </c:pt>
                <c:pt idx="8">
                  <c:v>0</c:v>
                </c:pt>
                <c:pt idx="9">
                  <c:v>371</c:v>
                </c:pt>
              </c:numCache>
            </c:numRef>
          </c:val>
          <c:extLst>
            <c:ext xmlns:c16="http://schemas.microsoft.com/office/drawing/2014/chart" uri="{C3380CC4-5D6E-409C-BE32-E72D297353CC}">
              <c16:uniqueId val="{00000000-5C76-40BA-88A6-F86B95F9FB28}"/>
            </c:ext>
          </c:extLst>
        </c:ser>
        <c:ser>
          <c:idx val="1"/>
          <c:order val="1"/>
          <c:tx>
            <c:strRef>
              <c:f>Foglio1!$D$61</c:f>
              <c:strCache>
                <c:ptCount val="1"/>
                <c:pt idx="0">
                  <c:v>2021 </c:v>
                </c:pt>
              </c:strCache>
            </c:strRef>
          </c:tx>
          <c:spPr>
            <a:solidFill>
              <a:schemeClr val="accent2"/>
            </a:solidFill>
            <a:ln>
              <a:noFill/>
            </a:ln>
            <a:effectLst/>
          </c:spPr>
          <c:invertIfNegative val="0"/>
          <c:cat>
            <c:strRef>
              <c:f>Foglio1!$B$62:$B$71</c:f>
              <c:strCache>
                <c:ptCount val="10"/>
                <c:pt idx="0">
                  <c:v>egg packing centres</c:v>
                </c:pt>
                <c:pt idx="1">
                  <c:v>liquid egg plants</c:v>
                </c:pt>
                <c:pt idx="2">
                  <c:v>eggs processing plants</c:v>
                </c:pt>
                <c:pt idx="3">
                  <c:v>RAFG processing plants</c:v>
                </c:pt>
                <c:pt idx="4">
                  <c:v>TSBI processing plants</c:v>
                </c:pt>
                <c:pt idx="5">
                  <c:v>gelatine collection centres</c:v>
                </c:pt>
                <c:pt idx="6">
                  <c:v>gelatine processing plants</c:v>
                </c:pt>
                <c:pt idx="7">
                  <c:v>collagene collection centres</c:v>
                </c:pt>
                <c:pt idx="8">
                  <c:v>collagene processing plants</c:v>
                </c:pt>
                <c:pt idx="9">
                  <c:v>cold storage facilities</c:v>
                </c:pt>
              </c:strCache>
            </c:strRef>
          </c:cat>
          <c:val>
            <c:numRef>
              <c:f>Foglio1!$D$62:$D$71</c:f>
              <c:numCache>
                <c:formatCode>General</c:formatCode>
                <c:ptCount val="10"/>
                <c:pt idx="0">
                  <c:v>43</c:v>
                </c:pt>
                <c:pt idx="1">
                  <c:v>3</c:v>
                </c:pt>
                <c:pt idx="2">
                  <c:v>9</c:v>
                </c:pt>
                <c:pt idx="3">
                  <c:v>43</c:v>
                </c:pt>
                <c:pt idx="4">
                  <c:v>27</c:v>
                </c:pt>
                <c:pt idx="5">
                  <c:v>4</c:v>
                </c:pt>
                <c:pt idx="6">
                  <c:v>1</c:v>
                </c:pt>
                <c:pt idx="7">
                  <c:v>1</c:v>
                </c:pt>
                <c:pt idx="8">
                  <c:v>1</c:v>
                </c:pt>
                <c:pt idx="9">
                  <c:v>398</c:v>
                </c:pt>
              </c:numCache>
            </c:numRef>
          </c:val>
          <c:extLst>
            <c:ext xmlns:c16="http://schemas.microsoft.com/office/drawing/2014/chart" uri="{C3380CC4-5D6E-409C-BE32-E72D297353CC}">
              <c16:uniqueId val="{00000001-5C76-40BA-88A6-F86B95F9FB28}"/>
            </c:ext>
          </c:extLst>
        </c:ser>
        <c:ser>
          <c:idx val="2"/>
          <c:order val="2"/>
          <c:tx>
            <c:strRef>
              <c:f>Foglio1!$E$61</c:f>
              <c:strCache>
                <c:ptCount val="1"/>
                <c:pt idx="0">
                  <c:v>2022 </c:v>
                </c:pt>
              </c:strCache>
            </c:strRef>
          </c:tx>
          <c:spPr>
            <a:solidFill>
              <a:schemeClr val="accent3"/>
            </a:solidFill>
            <a:ln>
              <a:noFill/>
            </a:ln>
            <a:effectLst/>
          </c:spPr>
          <c:invertIfNegative val="0"/>
          <c:cat>
            <c:strRef>
              <c:f>Foglio1!$B$62:$B$71</c:f>
              <c:strCache>
                <c:ptCount val="10"/>
                <c:pt idx="0">
                  <c:v>egg packing centres</c:v>
                </c:pt>
                <c:pt idx="1">
                  <c:v>liquid egg plants</c:v>
                </c:pt>
                <c:pt idx="2">
                  <c:v>eggs processing plants</c:v>
                </c:pt>
                <c:pt idx="3">
                  <c:v>RAFG processing plants</c:v>
                </c:pt>
                <c:pt idx="4">
                  <c:v>TSBI processing plants</c:v>
                </c:pt>
                <c:pt idx="5">
                  <c:v>gelatine collection centres</c:v>
                </c:pt>
                <c:pt idx="6">
                  <c:v>gelatine processing plants</c:v>
                </c:pt>
                <c:pt idx="7">
                  <c:v>collagene collection centres</c:v>
                </c:pt>
                <c:pt idx="8">
                  <c:v>collagene processing plants</c:v>
                </c:pt>
                <c:pt idx="9">
                  <c:v>cold storage facilities</c:v>
                </c:pt>
              </c:strCache>
            </c:strRef>
          </c:cat>
          <c:val>
            <c:numRef>
              <c:f>Foglio1!$E$62:$E$71</c:f>
              <c:numCache>
                <c:formatCode>General</c:formatCode>
                <c:ptCount val="10"/>
                <c:pt idx="0">
                  <c:v>46</c:v>
                </c:pt>
                <c:pt idx="1">
                  <c:v>2</c:v>
                </c:pt>
                <c:pt idx="2">
                  <c:v>10</c:v>
                </c:pt>
                <c:pt idx="3">
                  <c:v>48</c:v>
                </c:pt>
                <c:pt idx="4">
                  <c:v>24</c:v>
                </c:pt>
                <c:pt idx="5">
                  <c:v>3</c:v>
                </c:pt>
                <c:pt idx="6">
                  <c:v>0</c:v>
                </c:pt>
                <c:pt idx="7">
                  <c:v>1</c:v>
                </c:pt>
                <c:pt idx="8">
                  <c:v>1</c:v>
                </c:pt>
                <c:pt idx="9">
                  <c:v>400</c:v>
                </c:pt>
              </c:numCache>
            </c:numRef>
          </c:val>
          <c:extLst>
            <c:ext xmlns:c16="http://schemas.microsoft.com/office/drawing/2014/chart" uri="{C3380CC4-5D6E-409C-BE32-E72D297353CC}">
              <c16:uniqueId val="{00000002-5C76-40BA-88A6-F86B95F9FB28}"/>
            </c:ext>
          </c:extLst>
        </c:ser>
        <c:ser>
          <c:idx val="3"/>
          <c:order val="3"/>
          <c:tx>
            <c:strRef>
              <c:f>Foglio1!$F$61</c:f>
              <c:strCache>
                <c:ptCount val="1"/>
                <c:pt idx="0">
                  <c:v>2023 </c:v>
                </c:pt>
              </c:strCache>
            </c:strRef>
          </c:tx>
          <c:spPr>
            <a:solidFill>
              <a:schemeClr val="accent4"/>
            </a:solidFill>
            <a:ln>
              <a:noFill/>
            </a:ln>
            <a:effectLst/>
          </c:spPr>
          <c:invertIfNegative val="0"/>
          <c:cat>
            <c:strRef>
              <c:f>Foglio1!$B$62:$B$71</c:f>
              <c:strCache>
                <c:ptCount val="10"/>
                <c:pt idx="0">
                  <c:v>egg packing centres</c:v>
                </c:pt>
                <c:pt idx="1">
                  <c:v>liquid egg plants</c:v>
                </c:pt>
                <c:pt idx="2">
                  <c:v>eggs processing plants</c:v>
                </c:pt>
                <c:pt idx="3">
                  <c:v>RAFG processing plants</c:v>
                </c:pt>
                <c:pt idx="4">
                  <c:v>TSBI processing plants</c:v>
                </c:pt>
                <c:pt idx="5">
                  <c:v>gelatine collection centres</c:v>
                </c:pt>
                <c:pt idx="6">
                  <c:v>gelatine processing plants</c:v>
                </c:pt>
                <c:pt idx="7">
                  <c:v>collagene collection centres</c:v>
                </c:pt>
                <c:pt idx="8">
                  <c:v>collagene processing plants</c:v>
                </c:pt>
                <c:pt idx="9">
                  <c:v>cold storage facilities</c:v>
                </c:pt>
              </c:strCache>
            </c:strRef>
          </c:cat>
          <c:val>
            <c:numRef>
              <c:f>Foglio1!$F$62:$F$71</c:f>
              <c:numCache>
                <c:formatCode>General</c:formatCode>
                <c:ptCount val="10"/>
                <c:pt idx="0">
                  <c:v>44</c:v>
                </c:pt>
                <c:pt idx="1">
                  <c:v>3</c:v>
                </c:pt>
                <c:pt idx="2">
                  <c:v>9</c:v>
                </c:pt>
                <c:pt idx="3">
                  <c:v>47</c:v>
                </c:pt>
                <c:pt idx="4">
                  <c:v>24</c:v>
                </c:pt>
                <c:pt idx="5">
                  <c:v>3</c:v>
                </c:pt>
                <c:pt idx="6">
                  <c:v>0</c:v>
                </c:pt>
                <c:pt idx="7">
                  <c:v>2</c:v>
                </c:pt>
                <c:pt idx="8">
                  <c:v>0</c:v>
                </c:pt>
                <c:pt idx="9">
                  <c:v>402</c:v>
                </c:pt>
              </c:numCache>
            </c:numRef>
          </c:val>
          <c:extLst>
            <c:ext xmlns:c16="http://schemas.microsoft.com/office/drawing/2014/chart" uri="{C3380CC4-5D6E-409C-BE32-E72D297353CC}">
              <c16:uniqueId val="{00000003-5C76-40BA-88A6-F86B95F9FB28}"/>
            </c:ext>
          </c:extLst>
        </c:ser>
        <c:ser>
          <c:idx val="4"/>
          <c:order val="4"/>
          <c:tx>
            <c:strRef>
              <c:f>Foglio1!$G$61</c:f>
              <c:strCache>
                <c:ptCount val="1"/>
                <c:pt idx="0">
                  <c:v>2024 </c:v>
                </c:pt>
              </c:strCache>
            </c:strRef>
          </c:tx>
          <c:spPr>
            <a:solidFill>
              <a:schemeClr val="accent5"/>
            </a:solidFill>
            <a:ln>
              <a:noFill/>
            </a:ln>
            <a:effectLst/>
          </c:spPr>
          <c:invertIfNegative val="0"/>
          <c:cat>
            <c:strRef>
              <c:f>Foglio1!$B$62:$B$71</c:f>
              <c:strCache>
                <c:ptCount val="10"/>
                <c:pt idx="0">
                  <c:v>egg packing centres</c:v>
                </c:pt>
                <c:pt idx="1">
                  <c:v>liquid egg plants</c:v>
                </c:pt>
                <c:pt idx="2">
                  <c:v>eggs processing plants</c:v>
                </c:pt>
                <c:pt idx="3">
                  <c:v>RAFG processing plants</c:v>
                </c:pt>
                <c:pt idx="4">
                  <c:v>TSBI processing plants</c:v>
                </c:pt>
                <c:pt idx="5">
                  <c:v>gelatine collection centres</c:v>
                </c:pt>
                <c:pt idx="6">
                  <c:v>gelatine processing plants</c:v>
                </c:pt>
                <c:pt idx="7">
                  <c:v>collagene collection centres</c:v>
                </c:pt>
                <c:pt idx="8">
                  <c:v>collagene processing plants</c:v>
                </c:pt>
                <c:pt idx="9">
                  <c:v>cold storage facilities</c:v>
                </c:pt>
              </c:strCache>
            </c:strRef>
          </c:cat>
          <c:val>
            <c:numRef>
              <c:f>Foglio1!$G$62:$G$71</c:f>
              <c:numCache>
                <c:formatCode>General</c:formatCode>
                <c:ptCount val="10"/>
                <c:pt idx="0">
                  <c:v>44</c:v>
                </c:pt>
                <c:pt idx="1">
                  <c:v>1</c:v>
                </c:pt>
                <c:pt idx="2">
                  <c:v>10</c:v>
                </c:pt>
                <c:pt idx="3">
                  <c:v>45</c:v>
                </c:pt>
                <c:pt idx="4">
                  <c:v>24</c:v>
                </c:pt>
                <c:pt idx="5">
                  <c:v>4</c:v>
                </c:pt>
                <c:pt idx="6">
                  <c:v>0</c:v>
                </c:pt>
                <c:pt idx="7">
                  <c:v>2</c:v>
                </c:pt>
                <c:pt idx="8">
                  <c:v>0</c:v>
                </c:pt>
                <c:pt idx="9">
                  <c:v>444</c:v>
                </c:pt>
              </c:numCache>
            </c:numRef>
          </c:val>
          <c:extLst>
            <c:ext xmlns:c16="http://schemas.microsoft.com/office/drawing/2014/chart" uri="{C3380CC4-5D6E-409C-BE32-E72D297353CC}">
              <c16:uniqueId val="{00000004-5C76-40BA-88A6-F86B95F9FB28}"/>
            </c:ext>
          </c:extLst>
        </c:ser>
        <c:dLbls>
          <c:showLegendKey val="0"/>
          <c:showVal val="0"/>
          <c:showCatName val="0"/>
          <c:showSerName val="0"/>
          <c:showPercent val="0"/>
          <c:showBubbleSize val="0"/>
        </c:dLbls>
        <c:gapWidth val="182"/>
        <c:axId val="312314848"/>
        <c:axId val="312314432"/>
      </c:barChart>
      <c:catAx>
        <c:axId val="312314848"/>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12314432"/>
        <c:crosses val="autoZero"/>
        <c:auto val="1"/>
        <c:lblAlgn val="ctr"/>
        <c:lblOffset val="100"/>
        <c:noMultiLvlLbl val="0"/>
      </c:catAx>
      <c:valAx>
        <c:axId val="312314432"/>
        <c:scaling>
          <c:orientation val="minMax"/>
          <c:max val="450"/>
          <c:min val="0"/>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123148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Andamento!$C$6</c:f>
              <c:strCache>
                <c:ptCount val="1"/>
                <c:pt idx="0">
                  <c:v>I/SH</c:v>
                </c:pt>
              </c:strCache>
            </c:strRef>
          </c:tx>
          <c:spPr>
            <a:ln w="19050" cap="rnd">
              <a:solidFill>
                <a:schemeClr val="tx1"/>
              </a:solidFill>
              <a:prstDash val="solid"/>
              <a:round/>
            </a:ln>
            <a:effectLst/>
          </c:spPr>
          <c:marker>
            <c:symbol val="none"/>
          </c:marker>
          <c:cat>
            <c:numRef>
              <c:f>Andamento!$D$5:$H$5</c:f>
              <c:numCache>
                <c:formatCode>General</c:formatCode>
                <c:ptCount val="5"/>
                <c:pt idx="0">
                  <c:v>2020</c:v>
                </c:pt>
                <c:pt idx="1">
                  <c:v>2021</c:v>
                </c:pt>
                <c:pt idx="2">
                  <c:v>2022</c:v>
                </c:pt>
                <c:pt idx="3">
                  <c:v>2023</c:v>
                </c:pt>
                <c:pt idx="4">
                  <c:v>2024</c:v>
                </c:pt>
              </c:numCache>
            </c:numRef>
          </c:cat>
          <c:val>
            <c:numRef>
              <c:f>Andamento!$D$6:$H$6</c:f>
              <c:numCache>
                <c:formatCode>General</c:formatCode>
                <c:ptCount val="5"/>
                <c:pt idx="0">
                  <c:v>7</c:v>
                </c:pt>
                <c:pt idx="1">
                  <c:v>5</c:v>
                </c:pt>
                <c:pt idx="2">
                  <c:v>1</c:v>
                </c:pt>
                <c:pt idx="3">
                  <c:v>1</c:v>
                </c:pt>
                <c:pt idx="4">
                  <c:v>0</c:v>
                </c:pt>
              </c:numCache>
            </c:numRef>
          </c:val>
          <c:smooth val="0"/>
          <c:extLst>
            <c:ext xmlns:c16="http://schemas.microsoft.com/office/drawing/2014/chart" uri="{C3380CC4-5D6E-409C-BE32-E72D297353CC}">
              <c16:uniqueId val="{00000000-55F4-4FFF-9CD2-88535FCEB06B}"/>
            </c:ext>
          </c:extLst>
        </c:ser>
        <c:ser>
          <c:idx val="1"/>
          <c:order val="1"/>
          <c:tx>
            <c:strRef>
              <c:f>Andamento!$C$7</c:f>
              <c:strCache>
                <c:ptCount val="1"/>
                <c:pt idx="0">
                  <c:v>I/CP</c:v>
                </c:pt>
              </c:strCache>
            </c:strRef>
          </c:tx>
          <c:spPr>
            <a:ln w="19050" cap="rnd">
              <a:solidFill>
                <a:schemeClr val="tx1"/>
              </a:solidFill>
              <a:prstDash val="sysDot"/>
              <a:round/>
            </a:ln>
            <a:effectLst/>
          </c:spPr>
          <c:marker>
            <c:symbol val="none"/>
          </c:marker>
          <c:cat>
            <c:numRef>
              <c:f>Andamento!$D$5:$H$5</c:f>
              <c:numCache>
                <c:formatCode>General</c:formatCode>
                <c:ptCount val="5"/>
                <c:pt idx="0">
                  <c:v>2020</c:v>
                </c:pt>
                <c:pt idx="1">
                  <c:v>2021</c:v>
                </c:pt>
                <c:pt idx="2">
                  <c:v>2022</c:v>
                </c:pt>
                <c:pt idx="3">
                  <c:v>2023</c:v>
                </c:pt>
                <c:pt idx="4">
                  <c:v>2024</c:v>
                </c:pt>
              </c:numCache>
            </c:numRef>
          </c:cat>
          <c:val>
            <c:numRef>
              <c:f>Andamento!$D$7:$H$7</c:f>
              <c:numCache>
                <c:formatCode>General</c:formatCode>
                <c:ptCount val="5"/>
                <c:pt idx="0">
                  <c:v>3</c:v>
                </c:pt>
                <c:pt idx="1">
                  <c:v>7</c:v>
                </c:pt>
                <c:pt idx="2">
                  <c:v>8</c:v>
                </c:pt>
                <c:pt idx="3">
                  <c:v>3</c:v>
                </c:pt>
                <c:pt idx="4">
                  <c:v>0</c:v>
                </c:pt>
              </c:numCache>
            </c:numRef>
          </c:val>
          <c:smooth val="0"/>
          <c:extLst>
            <c:ext xmlns:c16="http://schemas.microsoft.com/office/drawing/2014/chart" uri="{C3380CC4-5D6E-409C-BE32-E72D297353CC}">
              <c16:uniqueId val="{00000001-55F4-4FFF-9CD2-88535FCEB06B}"/>
            </c:ext>
          </c:extLst>
        </c:ser>
        <c:ser>
          <c:idx val="2"/>
          <c:order val="2"/>
          <c:tx>
            <c:strRef>
              <c:f>Andamento!$C$8</c:f>
              <c:strCache>
                <c:ptCount val="1"/>
                <c:pt idx="0">
                  <c:v>V/MM</c:v>
                </c:pt>
              </c:strCache>
            </c:strRef>
          </c:tx>
          <c:spPr>
            <a:ln w="19050" cap="rnd">
              <a:solidFill>
                <a:schemeClr val="tx1"/>
              </a:solidFill>
              <a:prstDash val="sysDash"/>
              <a:round/>
            </a:ln>
            <a:effectLst/>
          </c:spPr>
          <c:marker>
            <c:symbol val="none"/>
          </c:marker>
          <c:cat>
            <c:numRef>
              <c:f>Andamento!$D$5:$H$5</c:f>
              <c:numCache>
                <c:formatCode>General</c:formatCode>
                <c:ptCount val="5"/>
                <c:pt idx="0">
                  <c:v>2020</c:v>
                </c:pt>
                <c:pt idx="1">
                  <c:v>2021</c:v>
                </c:pt>
                <c:pt idx="2">
                  <c:v>2022</c:v>
                </c:pt>
                <c:pt idx="3">
                  <c:v>2023</c:v>
                </c:pt>
                <c:pt idx="4">
                  <c:v>2024</c:v>
                </c:pt>
              </c:numCache>
            </c:numRef>
          </c:cat>
          <c:val>
            <c:numRef>
              <c:f>Andamento!$D$8:$H$8</c:f>
              <c:numCache>
                <c:formatCode>General</c:formatCode>
                <c:ptCount val="5"/>
                <c:pt idx="0">
                  <c:v>0</c:v>
                </c:pt>
                <c:pt idx="1">
                  <c:v>6</c:v>
                </c:pt>
                <c:pt idx="2">
                  <c:v>6</c:v>
                </c:pt>
                <c:pt idx="3">
                  <c:v>0</c:v>
                </c:pt>
                <c:pt idx="4">
                  <c:v>0</c:v>
                </c:pt>
              </c:numCache>
            </c:numRef>
          </c:val>
          <c:smooth val="0"/>
          <c:extLst>
            <c:ext xmlns:c16="http://schemas.microsoft.com/office/drawing/2014/chart" uri="{C3380CC4-5D6E-409C-BE32-E72D297353CC}">
              <c16:uniqueId val="{00000002-55F4-4FFF-9CD2-88535FCEB06B}"/>
            </c:ext>
          </c:extLst>
        </c:ser>
        <c:ser>
          <c:idx val="3"/>
          <c:order val="3"/>
          <c:tx>
            <c:strRef>
              <c:f>Andamento!$C$9</c:f>
              <c:strCache>
                <c:ptCount val="1"/>
                <c:pt idx="0">
                  <c:v>VI/PP</c:v>
                </c:pt>
              </c:strCache>
            </c:strRef>
          </c:tx>
          <c:spPr>
            <a:ln w="19050" cap="rnd">
              <a:solidFill>
                <a:schemeClr val="tx1"/>
              </a:solidFill>
              <a:prstDash val="lgDash"/>
              <a:round/>
            </a:ln>
            <a:effectLst/>
          </c:spPr>
          <c:marker>
            <c:symbol val="none"/>
          </c:marker>
          <c:cat>
            <c:numRef>
              <c:f>Andamento!$D$5:$H$5</c:f>
              <c:numCache>
                <c:formatCode>General</c:formatCode>
                <c:ptCount val="5"/>
                <c:pt idx="0">
                  <c:v>2020</c:v>
                </c:pt>
                <c:pt idx="1">
                  <c:v>2021</c:v>
                </c:pt>
                <c:pt idx="2">
                  <c:v>2022</c:v>
                </c:pt>
                <c:pt idx="3">
                  <c:v>2023</c:v>
                </c:pt>
                <c:pt idx="4">
                  <c:v>2024</c:v>
                </c:pt>
              </c:numCache>
            </c:numRef>
          </c:cat>
          <c:val>
            <c:numRef>
              <c:f>Andamento!$D$9:$H$9</c:f>
              <c:numCache>
                <c:formatCode>General</c:formatCode>
                <c:ptCount val="5"/>
                <c:pt idx="0">
                  <c:v>0</c:v>
                </c:pt>
                <c:pt idx="1">
                  <c:v>6</c:v>
                </c:pt>
                <c:pt idx="2">
                  <c:v>4</c:v>
                </c:pt>
                <c:pt idx="3">
                  <c:v>5</c:v>
                </c:pt>
                <c:pt idx="4">
                  <c:v>1</c:v>
                </c:pt>
              </c:numCache>
            </c:numRef>
          </c:val>
          <c:smooth val="0"/>
          <c:extLst>
            <c:ext xmlns:c16="http://schemas.microsoft.com/office/drawing/2014/chart" uri="{C3380CC4-5D6E-409C-BE32-E72D297353CC}">
              <c16:uniqueId val="{00000003-55F4-4FFF-9CD2-88535FCEB06B}"/>
            </c:ext>
          </c:extLst>
        </c:ser>
        <c:ser>
          <c:idx val="4"/>
          <c:order val="4"/>
          <c:tx>
            <c:strRef>
              <c:f>Andamento!$C$10</c:f>
              <c:strCache>
                <c:ptCount val="1"/>
                <c:pt idx="0">
                  <c:v>IX/PP</c:v>
                </c:pt>
              </c:strCache>
            </c:strRef>
          </c:tx>
          <c:spPr>
            <a:ln w="19050" cap="rnd">
              <a:solidFill>
                <a:schemeClr val="tx1"/>
              </a:solidFill>
              <a:prstDash val="dashDot"/>
              <a:round/>
            </a:ln>
            <a:effectLst/>
          </c:spPr>
          <c:marker>
            <c:symbol val="none"/>
          </c:marker>
          <c:cat>
            <c:numRef>
              <c:f>Andamento!$D$5:$H$5</c:f>
              <c:numCache>
                <c:formatCode>General</c:formatCode>
                <c:ptCount val="5"/>
                <c:pt idx="0">
                  <c:v>2020</c:v>
                </c:pt>
                <c:pt idx="1">
                  <c:v>2021</c:v>
                </c:pt>
                <c:pt idx="2">
                  <c:v>2022</c:v>
                </c:pt>
                <c:pt idx="3">
                  <c:v>2023</c:v>
                </c:pt>
                <c:pt idx="4">
                  <c:v>2024</c:v>
                </c:pt>
              </c:numCache>
            </c:numRef>
          </c:cat>
          <c:val>
            <c:numRef>
              <c:f>Andamento!$D$10:$H$10</c:f>
              <c:numCache>
                <c:formatCode>General</c:formatCode>
                <c:ptCount val="5"/>
                <c:pt idx="0">
                  <c:v>1</c:v>
                </c:pt>
                <c:pt idx="1">
                  <c:v>6</c:v>
                </c:pt>
                <c:pt idx="2">
                  <c:v>4</c:v>
                </c:pt>
                <c:pt idx="3">
                  <c:v>16</c:v>
                </c:pt>
                <c:pt idx="4">
                  <c:v>1</c:v>
                </c:pt>
              </c:numCache>
            </c:numRef>
          </c:val>
          <c:smooth val="0"/>
          <c:extLst>
            <c:ext xmlns:c16="http://schemas.microsoft.com/office/drawing/2014/chart" uri="{C3380CC4-5D6E-409C-BE32-E72D297353CC}">
              <c16:uniqueId val="{00000004-55F4-4FFF-9CD2-88535FCEB06B}"/>
            </c:ext>
          </c:extLst>
        </c:ser>
        <c:dLbls>
          <c:showLegendKey val="0"/>
          <c:showVal val="0"/>
          <c:showCatName val="0"/>
          <c:showSerName val="0"/>
          <c:showPercent val="0"/>
          <c:showBubbleSize val="0"/>
        </c:dLbls>
        <c:smooth val="0"/>
        <c:axId val="1893229551"/>
        <c:axId val="1942980831"/>
      </c:lineChart>
      <c:catAx>
        <c:axId val="18932295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1942980831"/>
        <c:crosses val="autoZero"/>
        <c:auto val="1"/>
        <c:lblAlgn val="ctr"/>
        <c:lblOffset val="100"/>
        <c:tickMarkSkip val="1"/>
        <c:noMultiLvlLbl val="0"/>
      </c:catAx>
      <c:valAx>
        <c:axId val="1942980831"/>
        <c:scaling>
          <c:orientation val="minMax"/>
          <c:max val="1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900" b="0" i="0" u="none" strike="noStrike" baseline="0">
                    <a:effectLst/>
                    <a:latin typeface="Arial" panose="020B0604020202020204" pitchFamily="34" charset="0"/>
                    <a:cs typeface="Arial" panose="020B0604020202020204" pitchFamily="34" charset="0"/>
                  </a:rPr>
                  <a:t>Number of  non-compliances critical to consumers</a:t>
                </a:r>
                <a:endParaRPr lang="it-IT" sz="900">
                  <a:solidFill>
                    <a:sysClr val="windowText" lastClr="000000"/>
                  </a:solidFill>
                  <a:latin typeface="Arial" panose="020B0604020202020204" pitchFamily="34" charset="0"/>
                  <a:cs typeface="Arial" panose="020B0604020202020204" pitchFamily="34" charset="0"/>
                </a:endParaRP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18932295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Andamento!$C$22</c:f>
              <c:strCache>
                <c:ptCount val="1"/>
                <c:pt idx="0">
                  <c:v>I/SH</c:v>
                </c:pt>
              </c:strCache>
            </c:strRef>
          </c:tx>
          <c:spPr>
            <a:ln w="19050" cap="rnd">
              <a:solidFill>
                <a:schemeClr val="tx1"/>
              </a:solidFill>
              <a:round/>
            </a:ln>
            <a:effectLst/>
          </c:spPr>
          <c:marker>
            <c:symbol val="none"/>
          </c:marker>
          <c:cat>
            <c:numRef>
              <c:f>Andamento!$D$21:$H$21</c:f>
              <c:numCache>
                <c:formatCode>General</c:formatCode>
                <c:ptCount val="5"/>
                <c:pt idx="0">
                  <c:v>2020</c:v>
                </c:pt>
                <c:pt idx="1">
                  <c:v>2021</c:v>
                </c:pt>
                <c:pt idx="2">
                  <c:v>2022</c:v>
                </c:pt>
                <c:pt idx="3">
                  <c:v>2023</c:v>
                </c:pt>
                <c:pt idx="4">
                  <c:v>2024</c:v>
                </c:pt>
              </c:numCache>
            </c:numRef>
          </c:cat>
          <c:val>
            <c:numRef>
              <c:f>Andamento!$D$22:$H$22</c:f>
              <c:numCache>
                <c:formatCode>General</c:formatCode>
                <c:ptCount val="5"/>
                <c:pt idx="0">
                  <c:v>1</c:v>
                </c:pt>
                <c:pt idx="1">
                  <c:v>7</c:v>
                </c:pt>
                <c:pt idx="2">
                  <c:v>6</c:v>
                </c:pt>
                <c:pt idx="3">
                  <c:v>0</c:v>
                </c:pt>
                <c:pt idx="4">
                  <c:v>1</c:v>
                </c:pt>
              </c:numCache>
            </c:numRef>
          </c:val>
          <c:smooth val="0"/>
          <c:extLst>
            <c:ext xmlns:c16="http://schemas.microsoft.com/office/drawing/2014/chart" uri="{C3380CC4-5D6E-409C-BE32-E72D297353CC}">
              <c16:uniqueId val="{00000000-7264-4278-96BA-E1039CB19FB5}"/>
            </c:ext>
          </c:extLst>
        </c:ser>
        <c:ser>
          <c:idx val="1"/>
          <c:order val="1"/>
          <c:tx>
            <c:strRef>
              <c:f>Andamento!$C$23</c:f>
              <c:strCache>
                <c:ptCount val="1"/>
                <c:pt idx="0">
                  <c:v>I/CP</c:v>
                </c:pt>
              </c:strCache>
            </c:strRef>
          </c:tx>
          <c:spPr>
            <a:ln w="19050" cap="rnd">
              <a:solidFill>
                <a:schemeClr val="tx1"/>
              </a:solidFill>
              <a:prstDash val="sysDot"/>
              <a:round/>
            </a:ln>
            <a:effectLst/>
          </c:spPr>
          <c:marker>
            <c:symbol val="none"/>
          </c:marker>
          <c:cat>
            <c:numRef>
              <c:f>Andamento!$D$21:$H$21</c:f>
              <c:numCache>
                <c:formatCode>General</c:formatCode>
                <c:ptCount val="5"/>
                <c:pt idx="0">
                  <c:v>2020</c:v>
                </c:pt>
                <c:pt idx="1">
                  <c:v>2021</c:v>
                </c:pt>
                <c:pt idx="2">
                  <c:v>2022</c:v>
                </c:pt>
                <c:pt idx="3">
                  <c:v>2023</c:v>
                </c:pt>
                <c:pt idx="4">
                  <c:v>2024</c:v>
                </c:pt>
              </c:numCache>
            </c:numRef>
          </c:cat>
          <c:val>
            <c:numRef>
              <c:f>Andamento!$D$23:$H$23</c:f>
              <c:numCache>
                <c:formatCode>General</c:formatCode>
                <c:ptCount val="5"/>
                <c:pt idx="0">
                  <c:v>0</c:v>
                </c:pt>
                <c:pt idx="1">
                  <c:v>0</c:v>
                </c:pt>
                <c:pt idx="2">
                  <c:v>1</c:v>
                </c:pt>
                <c:pt idx="3">
                  <c:v>0</c:v>
                </c:pt>
                <c:pt idx="4">
                  <c:v>0</c:v>
                </c:pt>
              </c:numCache>
            </c:numRef>
          </c:val>
          <c:smooth val="0"/>
          <c:extLst>
            <c:ext xmlns:c16="http://schemas.microsoft.com/office/drawing/2014/chart" uri="{C3380CC4-5D6E-409C-BE32-E72D297353CC}">
              <c16:uniqueId val="{00000001-7264-4278-96BA-E1039CB19FB5}"/>
            </c:ext>
          </c:extLst>
        </c:ser>
        <c:ser>
          <c:idx val="2"/>
          <c:order val="2"/>
          <c:tx>
            <c:strRef>
              <c:f>Andamento!$C$24</c:f>
              <c:strCache>
                <c:ptCount val="1"/>
                <c:pt idx="0">
                  <c:v>V/MM</c:v>
                </c:pt>
              </c:strCache>
            </c:strRef>
          </c:tx>
          <c:spPr>
            <a:ln w="19050" cap="rnd">
              <a:solidFill>
                <a:schemeClr val="tx1"/>
              </a:solidFill>
              <a:prstDash val="sysDash"/>
              <a:round/>
            </a:ln>
            <a:effectLst/>
          </c:spPr>
          <c:marker>
            <c:symbol val="none"/>
          </c:marker>
          <c:cat>
            <c:numRef>
              <c:f>Andamento!$D$21:$H$21</c:f>
              <c:numCache>
                <c:formatCode>General</c:formatCode>
                <c:ptCount val="5"/>
                <c:pt idx="0">
                  <c:v>2020</c:v>
                </c:pt>
                <c:pt idx="1">
                  <c:v>2021</c:v>
                </c:pt>
                <c:pt idx="2">
                  <c:v>2022</c:v>
                </c:pt>
                <c:pt idx="3">
                  <c:v>2023</c:v>
                </c:pt>
                <c:pt idx="4">
                  <c:v>2024</c:v>
                </c:pt>
              </c:numCache>
            </c:numRef>
          </c:cat>
          <c:val>
            <c:numRef>
              <c:f>Andamento!$D$24:$H$24</c:f>
              <c:numCache>
                <c:formatCode>General</c:formatCode>
                <c:ptCount val="5"/>
                <c:pt idx="0">
                  <c:v>0</c:v>
                </c:pt>
                <c:pt idx="1">
                  <c:v>0</c:v>
                </c:pt>
                <c:pt idx="2">
                  <c:v>1</c:v>
                </c:pt>
                <c:pt idx="3">
                  <c:v>0</c:v>
                </c:pt>
                <c:pt idx="4">
                  <c:v>0</c:v>
                </c:pt>
              </c:numCache>
            </c:numRef>
          </c:val>
          <c:smooth val="0"/>
          <c:extLst>
            <c:ext xmlns:c16="http://schemas.microsoft.com/office/drawing/2014/chart" uri="{C3380CC4-5D6E-409C-BE32-E72D297353CC}">
              <c16:uniqueId val="{00000002-7264-4278-96BA-E1039CB19FB5}"/>
            </c:ext>
          </c:extLst>
        </c:ser>
        <c:ser>
          <c:idx val="3"/>
          <c:order val="3"/>
          <c:tx>
            <c:strRef>
              <c:f>Andamento!$C$25</c:f>
              <c:strCache>
                <c:ptCount val="1"/>
                <c:pt idx="0">
                  <c:v>VI/PP</c:v>
                </c:pt>
              </c:strCache>
            </c:strRef>
          </c:tx>
          <c:spPr>
            <a:ln w="19050" cap="rnd">
              <a:solidFill>
                <a:schemeClr val="tx1"/>
              </a:solidFill>
              <a:prstDash val="lgDash"/>
              <a:round/>
            </a:ln>
            <a:effectLst/>
          </c:spPr>
          <c:marker>
            <c:symbol val="none"/>
          </c:marker>
          <c:cat>
            <c:numRef>
              <c:f>Andamento!$D$21:$H$21</c:f>
              <c:numCache>
                <c:formatCode>General</c:formatCode>
                <c:ptCount val="5"/>
                <c:pt idx="0">
                  <c:v>2020</c:v>
                </c:pt>
                <c:pt idx="1">
                  <c:v>2021</c:v>
                </c:pt>
                <c:pt idx="2">
                  <c:v>2022</c:v>
                </c:pt>
                <c:pt idx="3">
                  <c:v>2023</c:v>
                </c:pt>
                <c:pt idx="4">
                  <c:v>2024</c:v>
                </c:pt>
              </c:numCache>
            </c:numRef>
          </c:cat>
          <c:val>
            <c:numRef>
              <c:f>Andamento!$D$25:$H$25</c:f>
              <c:numCache>
                <c:formatCode>General</c:formatCode>
                <c:ptCount val="5"/>
                <c:pt idx="0">
                  <c:v>0</c:v>
                </c:pt>
                <c:pt idx="1">
                  <c:v>0</c:v>
                </c:pt>
                <c:pt idx="2">
                  <c:v>1</c:v>
                </c:pt>
                <c:pt idx="3">
                  <c:v>1</c:v>
                </c:pt>
                <c:pt idx="4">
                  <c:v>1</c:v>
                </c:pt>
              </c:numCache>
            </c:numRef>
          </c:val>
          <c:smooth val="0"/>
          <c:extLst>
            <c:ext xmlns:c16="http://schemas.microsoft.com/office/drawing/2014/chart" uri="{C3380CC4-5D6E-409C-BE32-E72D297353CC}">
              <c16:uniqueId val="{00000003-7264-4278-96BA-E1039CB19FB5}"/>
            </c:ext>
          </c:extLst>
        </c:ser>
        <c:ser>
          <c:idx val="4"/>
          <c:order val="4"/>
          <c:tx>
            <c:strRef>
              <c:f>Andamento!$C$26</c:f>
              <c:strCache>
                <c:ptCount val="1"/>
                <c:pt idx="0">
                  <c:v>IX/PP</c:v>
                </c:pt>
              </c:strCache>
            </c:strRef>
          </c:tx>
          <c:spPr>
            <a:ln w="19050" cap="rnd">
              <a:solidFill>
                <a:schemeClr val="tx1"/>
              </a:solidFill>
              <a:prstDash val="dashDot"/>
              <a:round/>
            </a:ln>
            <a:effectLst/>
          </c:spPr>
          <c:marker>
            <c:symbol val="none"/>
          </c:marker>
          <c:cat>
            <c:numRef>
              <c:f>Andamento!$D$21:$H$21</c:f>
              <c:numCache>
                <c:formatCode>General</c:formatCode>
                <c:ptCount val="5"/>
                <c:pt idx="0">
                  <c:v>2020</c:v>
                </c:pt>
                <c:pt idx="1">
                  <c:v>2021</c:v>
                </c:pt>
                <c:pt idx="2">
                  <c:v>2022</c:v>
                </c:pt>
                <c:pt idx="3">
                  <c:v>2023</c:v>
                </c:pt>
                <c:pt idx="4">
                  <c:v>2024</c:v>
                </c:pt>
              </c:numCache>
            </c:numRef>
          </c:cat>
          <c:val>
            <c:numRef>
              <c:f>Andamento!$D$26:$H$26</c:f>
              <c:numCache>
                <c:formatCode>General</c:formatCode>
                <c:ptCount val="5"/>
                <c:pt idx="0">
                  <c:v>3</c:v>
                </c:pt>
                <c:pt idx="1">
                  <c:v>7</c:v>
                </c:pt>
                <c:pt idx="2">
                  <c:v>1</c:v>
                </c:pt>
                <c:pt idx="3">
                  <c:v>5</c:v>
                </c:pt>
                <c:pt idx="4">
                  <c:v>7</c:v>
                </c:pt>
              </c:numCache>
            </c:numRef>
          </c:val>
          <c:smooth val="0"/>
          <c:extLst>
            <c:ext xmlns:c16="http://schemas.microsoft.com/office/drawing/2014/chart" uri="{C3380CC4-5D6E-409C-BE32-E72D297353CC}">
              <c16:uniqueId val="{00000004-7264-4278-96BA-E1039CB19FB5}"/>
            </c:ext>
          </c:extLst>
        </c:ser>
        <c:dLbls>
          <c:showLegendKey val="0"/>
          <c:showVal val="0"/>
          <c:showCatName val="0"/>
          <c:showSerName val="0"/>
          <c:showPercent val="0"/>
          <c:showBubbleSize val="0"/>
        </c:dLbls>
        <c:smooth val="0"/>
        <c:axId val="1893229551"/>
        <c:axId val="1942980831"/>
      </c:lineChart>
      <c:catAx>
        <c:axId val="18932295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1942980831"/>
        <c:crosses val="autoZero"/>
        <c:auto val="1"/>
        <c:lblAlgn val="ctr"/>
        <c:lblOffset val="100"/>
        <c:noMultiLvlLbl val="0"/>
      </c:catAx>
      <c:valAx>
        <c:axId val="1942980831"/>
        <c:scaling>
          <c:orientation val="minMax"/>
          <c:max val="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900" b="0" i="0" baseline="0">
                    <a:effectLst/>
                    <a:latin typeface="Arial" panose="020B0604020202020204" pitchFamily="34" charset="0"/>
                    <a:cs typeface="Arial" panose="020B0604020202020204" pitchFamily="34" charset="0"/>
                  </a:rPr>
                  <a:t>Number of  non-compliances critical to consumers</a:t>
                </a:r>
                <a:endParaRPr lang="it-IT" sz="900">
                  <a:effectLst/>
                  <a:latin typeface="Arial" panose="020B0604020202020204" pitchFamily="34" charset="0"/>
                  <a:cs typeface="Arial" panose="020B0604020202020204" pitchFamily="34" charset="0"/>
                </a:endParaRP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18932295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stacked"/>
        <c:varyColors val="0"/>
        <c:ser>
          <c:idx val="0"/>
          <c:order val="0"/>
          <c:tx>
            <c:strRef>
              <c:f>'Sheet 2'!$J$4</c:f>
              <c:strCache>
                <c:ptCount val="1"/>
                <c:pt idx="0">
                  <c:v>yes</c:v>
                </c:pt>
              </c:strCache>
            </c:strRef>
          </c:tx>
          <c:spPr>
            <a:solidFill>
              <a:schemeClr val="bg1">
                <a:lumMod val="50000"/>
              </a:schemeClr>
            </a:solidFill>
            <a:ln>
              <a:solidFill>
                <a:schemeClr val="tx1"/>
              </a:solidFill>
            </a:ln>
            <a:effectLst/>
          </c:spPr>
          <c:invertIfNegative val="0"/>
          <c:cat>
            <c:strRef>
              <c:f>'Sheet 2'!$I$5:$I$27</c:f>
              <c:strCache>
                <c:ptCount val="23"/>
                <c:pt idx="0">
                  <c:v>Q7</c:v>
                </c:pt>
                <c:pt idx="1">
                  <c:v>Q8</c:v>
                </c:pt>
                <c:pt idx="2">
                  <c:v>Q9</c:v>
                </c:pt>
                <c:pt idx="3">
                  <c:v>Q10</c:v>
                </c:pt>
                <c:pt idx="4">
                  <c:v>Q11</c:v>
                </c:pt>
                <c:pt idx="5">
                  <c:v>Q12</c:v>
                </c:pt>
                <c:pt idx="6">
                  <c:v>Q13</c:v>
                </c:pt>
                <c:pt idx="7">
                  <c:v>Q14</c:v>
                </c:pt>
                <c:pt idx="8">
                  <c:v>Q15</c:v>
                </c:pt>
                <c:pt idx="9">
                  <c:v>Q16</c:v>
                </c:pt>
                <c:pt idx="10">
                  <c:v>Q17</c:v>
                </c:pt>
                <c:pt idx="11">
                  <c:v>Q18</c:v>
                </c:pt>
                <c:pt idx="12">
                  <c:v>Q19</c:v>
                </c:pt>
                <c:pt idx="13">
                  <c:v>Q20</c:v>
                </c:pt>
                <c:pt idx="14">
                  <c:v>Q21a</c:v>
                </c:pt>
                <c:pt idx="15">
                  <c:v>Q21b</c:v>
                </c:pt>
                <c:pt idx="16">
                  <c:v>Q21c</c:v>
                </c:pt>
                <c:pt idx="17">
                  <c:v>Q21d</c:v>
                </c:pt>
                <c:pt idx="18">
                  <c:v>Q22a</c:v>
                </c:pt>
                <c:pt idx="19">
                  <c:v>Q22b</c:v>
                </c:pt>
                <c:pt idx="20">
                  <c:v>Q22c</c:v>
                </c:pt>
                <c:pt idx="21">
                  <c:v>Q22d</c:v>
                </c:pt>
                <c:pt idx="22">
                  <c:v>Q22e</c:v>
                </c:pt>
              </c:strCache>
            </c:strRef>
          </c:cat>
          <c:val>
            <c:numRef>
              <c:f>'Sheet 2'!$J$5:$J$27</c:f>
              <c:numCache>
                <c:formatCode>0%</c:formatCode>
                <c:ptCount val="23"/>
                <c:pt idx="0">
                  <c:v>0.78048780487804881</c:v>
                </c:pt>
                <c:pt idx="1">
                  <c:v>0.34146341463414637</c:v>
                </c:pt>
                <c:pt idx="2">
                  <c:v>0.2073170731707317</c:v>
                </c:pt>
                <c:pt idx="3">
                  <c:v>0.32926829268292684</c:v>
                </c:pt>
                <c:pt idx="4">
                  <c:v>0.64634146341463417</c:v>
                </c:pt>
                <c:pt idx="5">
                  <c:v>8.5365853658536592E-2</c:v>
                </c:pt>
                <c:pt idx="6">
                  <c:v>0.17073170731707318</c:v>
                </c:pt>
                <c:pt idx="7">
                  <c:v>0.32926829268292684</c:v>
                </c:pt>
                <c:pt idx="8">
                  <c:v>1.2195121951219513E-2</c:v>
                </c:pt>
                <c:pt idx="9">
                  <c:v>0.12195121951219512</c:v>
                </c:pt>
                <c:pt idx="10">
                  <c:v>0.28048780487804881</c:v>
                </c:pt>
                <c:pt idx="11">
                  <c:v>0.32926829268292684</c:v>
                </c:pt>
                <c:pt idx="12">
                  <c:v>0</c:v>
                </c:pt>
                <c:pt idx="13">
                  <c:v>0.67073170731707321</c:v>
                </c:pt>
                <c:pt idx="14">
                  <c:v>0.45121951219512196</c:v>
                </c:pt>
                <c:pt idx="15">
                  <c:v>0.24390243902439024</c:v>
                </c:pt>
                <c:pt idx="16">
                  <c:v>0.56097560975609762</c:v>
                </c:pt>
                <c:pt idx="17">
                  <c:v>0.29268292682926828</c:v>
                </c:pt>
                <c:pt idx="18">
                  <c:v>0.74390243902439024</c:v>
                </c:pt>
                <c:pt idx="19">
                  <c:v>0.54878048780487809</c:v>
                </c:pt>
                <c:pt idx="20">
                  <c:v>0.25609756097560976</c:v>
                </c:pt>
                <c:pt idx="21">
                  <c:v>0.6097560975609756</c:v>
                </c:pt>
                <c:pt idx="22">
                  <c:v>0.31707317073170732</c:v>
                </c:pt>
              </c:numCache>
            </c:numRef>
          </c:val>
          <c:extLst>
            <c:ext xmlns:c16="http://schemas.microsoft.com/office/drawing/2014/chart" uri="{C3380CC4-5D6E-409C-BE32-E72D297353CC}">
              <c16:uniqueId val="{00000000-1D2A-4C49-A068-A703030F3801}"/>
            </c:ext>
          </c:extLst>
        </c:ser>
        <c:ser>
          <c:idx val="1"/>
          <c:order val="1"/>
          <c:tx>
            <c:strRef>
              <c:f>'Sheet 2'!$K$4</c:f>
              <c:strCache>
                <c:ptCount val="1"/>
                <c:pt idx="0">
                  <c:v>more yes than no</c:v>
                </c:pt>
              </c:strCache>
            </c:strRef>
          </c:tx>
          <c:spPr>
            <a:solidFill>
              <a:schemeClr val="bg1">
                <a:lumMod val="75000"/>
              </a:schemeClr>
            </a:solidFill>
            <a:ln>
              <a:solidFill>
                <a:schemeClr val="tx1"/>
              </a:solidFill>
            </a:ln>
            <a:effectLst/>
          </c:spPr>
          <c:invertIfNegative val="0"/>
          <c:cat>
            <c:strRef>
              <c:f>'Sheet 2'!$I$5:$I$27</c:f>
              <c:strCache>
                <c:ptCount val="23"/>
                <c:pt idx="0">
                  <c:v>Q7</c:v>
                </c:pt>
                <c:pt idx="1">
                  <c:v>Q8</c:v>
                </c:pt>
                <c:pt idx="2">
                  <c:v>Q9</c:v>
                </c:pt>
                <c:pt idx="3">
                  <c:v>Q10</c:v>
                </c:pt>
                <c:pt idx="4">
                  <c:v>Q11</c:v>
                </c:pt>
                <c:pt idx="5">
                  <c:v>Q12</c:v>
                </c:pt>
                <c:pt idx="6">
                  <c:v>Q13</c:v>
                </c:pt>
                <c:pt idx="7">
                  <c:v>Q14</c:v>
                </c:pt>
                <c:pt idx="8">
                  <c:v>Q15</c:v>
                </c:pt>
                <c:pt idx="9">
                  <c:v>Q16</c:v>
                </c:pt>
                <c:pt idx="10">
                  <c:v>Q17</c:v>
                </c:pt>
                <c:pt idx="11">
                  <c:v>Q18</c:v>
                </c:pt>
                <c:pt idx="12">
                  <c:v>Q19</c:v>
                </c:pt>
                <c:pt idx="13">
                  <c:v>Q20</c:v>
                </c:pt>
                <c:pt idx="14">
                  <c:v>Q21a</c:v>
                </c:pt>
                <c:pt idx="15">
                  <c:v>Q21b</c:v>
                </c:pt>
                <c:pt idx="16">
                  <c:v>Q21c</c:v>
                </c:pt>
                <c:pt idx="17">
                  <c:v>Q21d</c:v>
                </c:pt>
                <c:pt idx="18">
                  <c:v>Q22a</c:v>
                </c:pt>
                <c:pt idx="19">
                  <c:v>Q22b</c:v>
                </c:pt>
                <c:pt idx="20">
                  <c:v>Q22c</c:v>
                </c:pt>
                <c:pt idx="21">
                  <c:v>Q22d</c:v>
                </c:pt>
                <c:pt idx="22">
                  <c:v>Q22e</c:v>
                </c:pt>
              </c:strCache>
            </c:strRef>
          </c:cat>
          <c:val>
            <c:numRef>
              <c:f>'Sheet 2'!$K$5:$K$27</c:f>
              <c:numCache>
                <c:formatCode>0%</c:formatCode>
                <c:ptCount val="23"/>
                <c:pt idx="0">
                  <c:v>0.13414634146341464</c:v>
                </c:pt>
                <c:pt idx="1">
                  <c:v>0.25609756097560976</c:v>
                </c:pt>
                <c:pt idx="2">
                  <c:v>0.59756097560975607</c:v>
                </c:pt>
                <c:pt idx="3">
                  <c:v>0.42682926829268292</c:v>
                </c:pt>
                <c:pt idx="4">
                  <c:v>0.2073170731707317</c:v>
                </c:pt>
                <c:pt idx="5">
                  <c:v>0.68292682926829273</c:v>
                </c:pt>
                <c:pt idx="6">
                  <c:v>0.63414634146341464</c:v>
                </c:pt>
                <c:pt idx="7">
                  <c:v>0.54878048780487809</c:v>
                </c:pt>
                <c:pt idx="8">
                  <c:v>0.47560975609756095</c:v>
                </c:pt>
                <c:pt idx="9">
                  <c:v>0.70731707317073167</c:v>
                </c:pt>
                <c:pt idx="10">
                  <c:v>0.29268292682926828</c:v>
                </c:pt>
                <c:pt idx="11">
                  <c:v>0.31707317073170732</c:v>
                </c:pt>
                <c:pt idx="12">
                  <c:v>8.5365853658536592E-2</c:v>
                </c:pt>
                <c:pt idx="13">
                  <c:v>0.14634146341463414</c:v>
                </c:pt>
                <c:pt idx="14">
                  <c:v>0.41463414634146339</c:v>
                </c:pt>
                <c:pt idx="15">
                  <c:v>0.40243902439024393</c:v>
                </c:pt>
                <c:pt idx="16">
                  <c:v>0.3048780487804878</c:v>
                </c:pt>
                <c:pt idx="17">
                  <c:v>0.31707317073170732</c:v>
                </c:pt>
                <c:pt idx="18">
                  <c:v>0.17073170731707318</c:v>
                </c:pt>
                <c:pt idx="19">
                  <c:v>0.34146341463414637</c:v>
                </c:pt>
                <c:pt idx="20">
                  <c:v>0.3902439024390244</c:v>
                </c:pt>
                <c:pt idx="21">
                  <c:v>0.26829268292682928</c:v>
                </c:pt>
                <c:pt idx="22">
                  <c:v>0.35365853658536583</c:v>
                </c:pt>
              </c:numCache>
            </c:numRef>
          </c:val>
          <c:extLst>
            <c:ext xmlns:c16="http://schemas.microsoft.com/office/drawing/2014/chart" uri="{C3380CC4-5D6E-409C-BE32-E72D297353CC}">
              <c16:uniqueId val="{00000001-1D2A-4C49-A068-A703030F3801}"/>
            </c:ext>
          </c:extLst>
        </c:ser>
        <c:ser>
          <c:idx val="2"/>
          <c:order val="2"/>
          <c:tx>
            <c:strRef>
              <c:f>'Sheet 2'!$L$4</c:f>
              <c:strCache>
                <c:ptCount val="1"/>
                <c:pt idx="0">
                  <c:v>more no than yes</c:v>
                </c:pt>
              </c:strCache>
            </c:strRef>
          </c:tx>
          <c:spPr>
            <a:solidFill>
              <a:schemeClr val="bg1">
                <a:lumMod val="95000"/>
              </a:schemeClr>
            </a:solidFill>
            <a:ln>
              <a:solidFill>
                <a:schemeClr val="tx1"/>
              </a:solidFill>
            </a:ln>
            <a:effectLst/>
          </c:spPr>
          <c:invertIfNegative val="0"/>
          <c:cat>
            <c:strRef>
              <c:f>'Sheet 2'!$I$5:$I$27</c:f>
              <c:strCache>
                <c:ptCount val="23"/>
                <c:pt idx="0">
                  <c:v>Q7</c:v>
                </c:pt>
                <c:pt idx="1">
                  <c:v>Q8</c:v>
                </c:pt>
                <c:pt idx="2">
                  <c:v>Q9</c:v>
                </c:pt>
                <c:pt idx="3">
                  <c:v>Q10</c:v>
                </c:pt>
                <c:pt idx="4">
                  <c:v>Q11</c:v>
                </c:pt>
                <c:pt idx="5">
                  <c:v>Q12</c:v>
                </c:pt>
                <c:pt idx="6">
                  <c:v>Q13</c:v>
                </c:pt>
                <c:pt idx="7">
                  <c:v>Q14</c:v>
                </c:pt>
                <c:pt idx="8">
                  <c:v>Q15</c:v>
                </c:pt>
                <c:pt idx="9">
                  <c:v>Q16</c:v>
                </c:pt>
                <c:pt idx="10">
                  <c:v>Q17</c:v>
                </c:pt>
                <c:pt idx="11">
                  <c:v>Q18</c:v>
                </c:pt>
                <c:pt idx="12">
                  <c:v>Q19</c:v>
                </c:pt>
                <c:pt idx="13">
                  <c:v>Q20</c:v>
                </c:pt>
                <c:pt idx="14">
                  <c:v>Q21a</c:v>
                </c:pt>
                <c:pt idx="15">
                  <c:v>Q21b</c:v>
                </c:pt>
                <c:pt idx="16">
                  <c:v>Q21c</c:v>
                </c:pt>
                <c:pt idx="17">
                  <c:v>Q21d</c:v>
                </c:pt>
                <c:pt idx="18">
                  <c:v>Q22a</c:v>
                </c:pt>
                <c:pt idx="19">
                  <c:v>Q22b</c:v>
                </c:pt>
                <c:pt idx="20">
                  <c:v>Q22c</c:v>
                </c:pt>
                <c:pt idx="21">
                  <c:v>Q22d</c:v>
                </c:pt>
                <c:pt idx="22">
                  <c:v>Q22e</c:v>
                </c:pt>
              </c:strCache>
            </c:strRef>
          </c:cat>
          <c:val>
            <c:numRef>
              <c:f>'Sheet 2'!$L$5:$L$27</c:f>
              <c:numCache>
                <c:formatCode>0%</c:formatCode>
                <c:ptCount val="23"/>
                <c:pt idx="0">
                  <c:v>7.3170731707317069E-2</c:v>
                </c:pt>
                <c:pt idx="1">
                  <c:v>0.1951219512195122</c:v>
                </c:pt>
                <c:pt idx="2">
                  <c:v>0.17073170731707318</c:v>
                </c:pt>
                <c:pt idx="3">
                  <c:v>0.14634146341463414</c:v>
                </c:pt>
                <c:pt idx="4">
                  <c:v>7.3170731707317069E-2</c:v>
                </c:pt>
                <c:pt idx="5">
                  <c:v>0.2073170731707317</c:v>
                </c:pt>
                <c:pt idx="6">
                  <c:v>0.14634146341463414</c:v>
                </c:pt>
                <c:pt idx="7">
                  <c:v>0.12195121951219512</c:v>
                </c:pt>
                <c:pt idx="8">
                  <c:v>0.32926829268292684</c:v>
                </c:pt>
                <c:pt idx="9">
                  <c:v>0.13414634146341464</c:v>
                </c:pt>
                <c:pt idx="10">
                  <c:v>0.23170731707317074</c:v>
                </c:pt>
                <c:pt idx="11">
                  <c:v>0.13414634146341464</c:v>
                </c:pt>
                <c:pt idx="12">
                  <c:v>0.31707317073170732</c:v>
                </c:pt>
                <c:pt idx="13">
                  <c:v>0.14634146341463414</c:v>
                </c:pt>
                <c:pt idx="14">
                  <c:v>8.5365853658536592E-2</c:v>
                </c:pt>
                <c:pt idx="15">
                  <c:v>0.28048780487804881</c:v>
                </c:pt>
                <c:pt idx="16">
                  <c:v>0.12195121951219512</c:v>
                </c:pt>
                <c:pt idx="17">
                  <c:v>0.28048780487804881</c:v>
                </c:pt>
                <c:pt idx="18">
                  <c:v>4.878048780487805E-2</c:v>
                </c:pt>
                <c:pt idx="19">
                  <c:v>6.097560975609756E-2</c:v>
                </c:pt>
                <c:pt idx="20">
                  <c:v>0.28048780487804881</c:v>
                </c:pt>
                <c:pt idx="21">
                  <c:v>8.5365853658536592E-2</c:v>
                </c:pt>
                <c:pt idx="22">
                  <c:v>0.2073170731707317</c:v>
                </c:pt>
              </c:numCache>
            </c:numRef>
          </c:val>
          <c:extLst>
            <c:ext xmlns:c16="http://schemas.microsoft.com/office/drawing/2014/chart" uri="{C3380CC4-5D6E-409C-BE32-E72D297353CC}">
              <c16:uniqueId val="{00000002-1D2A-4C49-A068-A703030F3801}"/>
            </c:ext>
          </c:extLst>
        </c:ser>
        <c:ser>
          <c:idx val="3"/>
          <c:order val="3"/>
          <c:tx>
            <c:strRef>
              <c:f>'Sheet 2'!$M$4</c:f>
              <c:strCache>
                <c:ptCount val="1"/>
                <c:pt idx="0">
                  <c:v>no</c:v>
                </c:pt>
              </c:strCache>
            </c:strRef>
          </c:tx>
          <c:spPr>
            <a:solidFill>
              <a:schemeClr val="tx1">
                <a:lumMod val="75000"/>
                <a:lumOff val="25000"/>
              </a:schemeClr>
            </a:solidFill>
            <a:ln>
              <a:solidFill>
                <a:schemeClr val="tx1"/>
              </a:solidFill>
            </a:ln>
            <a:effectLst/>
          </c:spPr>
          <c:invertIfNegative val="0"/>
          <c:cat>
            <c:strRef>
              <c:f>'Sheet 2'!$I$5:$I$27</c:f>
              <c:strCache>
                <c:ptCount val="23"/>
                <c:pt idx="0">
                  <c:v>Q7</c:v>
                </c:pt>
                <c:pt idx="1">
                  <c:v>Q8</c:v>
                </c:pt>
                <c:pt idx="2">
                  <c:v>Q9</c:v>
                </c:pt>
                <c:pt idx="3">
                  <c:v>Q10</c:v>
                </c:pt>
                <c:pt idx="4">
                  <c:v>Q11</c:v>
                </c:pt>
                <c:pt idx="5">
                  <c:v>Q12</c:v>
                </c:pt>
                <c:pt idx="6">
                  <c:v>Q13</c:v>
                </c:pt>
                <c:pt idx="7">
                  <c:v>Q14</c:v>
                </c:pt>
                <c:pt idx="8">
                  <c:v>Q15</c:v>
                </c:pt>
                <c:pt idx="9">
                  <c:v>Q16</c:v>
                </c:pt>
                <c:pt idx="10">
                  <c:v>Q17</c:v>
                </c:pt>
                <c:pt idx="11">
                  <c:v>Q18</c:v>
                </c:pt>
                <c:pt idx="12">
                  <c:v>Q19</c:v>
                </c:pt>
                <c:pt idx="13">
                  <c:v>Q20</c:v>
                </c:pt>
                <c:pt idx="14">
                  <c:v>Q21a</c:v>
                </c:pt>
                <c:pt idx="15">
                  <c:v>Q21b</c:v>
                </c:pt>
                <c:pt idx="16">
                  <c:v>Q21c</c:v>
                </c:pt>
                <c:pt idx="17">
                  <c:v>Q21d</c:v>
                </c:pt>
                <c:pt idx="18">
                  <c:v>Q22a</c:v>
                </c:pt>
                <c:pt idx="19">
                  <c:v>Q22b</c:v>
                </c:pt>
                <c:pt idx="20">
                  <c:v>Q22c</c:v>
                </c:pt>
                <c:pt idx="21">
                  <c:v>Q22d</c:v>
                </c:pt>
                <c:pt idx="22">
                  <c:v>Q22e</c:v>
                </c:pt>
              </c:strCache>
            </c:strRef>
          </c:cat>
          <c:val>
            <c:numRef>
              <c:f>'Sheet 2'!$M$5:$M$27</c:f>
              <c:numCache>
                <c:formatCode>0%</c:formatCode>
                <c:ptCount val="23"/>
                <c:pt idx="0">
                  <c:v>1.2195121951219513E-2</c:v>
                </c:pt>
                <c:pt idx="1">
                  <c:v>0.2073170731707317</c:v>
                </c:pt>
                <c:pt idx="2">
                  <c:v>2.4390243902439025E-2</c:v>
                </c:pt>
                <c:pt idx="3">
                  <c:v>9.7560975609756101E-2</c:v>
                </c:pt>
                <c:pt idx="4">
                  <c:v>7.3170731707317069E-2</c:v>
                </c:pt>
                <c:pt idx="5">
                  <c:v>2.4390243902439025E-2</c:v>
                </c:pt>
                <c:pt idx="6">
                  <c:v>4.878048780487805E-2</c:v>
                </c:pt>
                <c:pt idx="7">
                  <c:v>0</c:v>
                </c:pt>
                <c:pt idx="8">
                  <c:v>0.18292682926829268</c:v>
                </c:pt>
                <c:pt idx="9">
                  <c:v>3.6585365853658534E-2</c:v>
                </c:pt>
                <c:pt idx="10">
                  <c:v>0.1951219512195122</c:v>
                </c:pt>
                <c:pt idx="11">
                  <c:v>0.21951219512195122</c:v>
                </c:pt>
                <c:pt idx="12">
                  <c:v>0.59756097560975607</c:v>
                </c:pt>
                <c:pt idx="13">
                  <c:v>3.6585365853658534E-2</c:v>
                </c:pt>
                <c:pt idx="14">
                  <c:v>4.878048780487805E-2</c:v>
                </c:pt>
                <c:pt idx="15">
                  <c:v>7.3170731707317069E-2</c:v>
                </c:pt>
                <c:pt idx="16">
                  <c:v>1.2195121951219513E-2</c:v>
                </c:pt>
                <c:pt idx="17">
                  <c:v>0.10975609756097561</c:v>
                </c:pt>
                <c:pt idx="18">
                  <c:v>3.6585365853658534E-2</c:v>
                </c:pt>
                <c:pt idx="19">
                  <c:v>4.878048780487805E-2</c:v>
                </c:pt>
                <c:pt idx="20">
                  <c:v>7.3170731707317069E-2</c:v>
                </c:pt>
                <c:pt idx="21">
                  <c:v>3.6585365853658534E-2</c:v>
                </c:pt>
                <c:pt idx="22">
                  <c:v>0.12195121951219512</c:v>
                </c:pt>
              </c:numCache>
            </c:numRef>
          </c:val>
          <c:extLst>
            <c:ext xmlns:c16="http://schemas.microsoft.com/office/drawing/2014/chart" uri="{C3380CC4-5D6E-409C-BE32-E72D297353CC}">
              <c16:uniqueId val="{00000003-1D2A-4C49-A068-A703030F3801}"/>
            </c:ext>
          </c:extLst>
        </c:ser>
        <c:dLbls>
          <c:showLegendKey val="0"/>
          <c:showVal val="0"/>
          <c:showCatName val="0"/>
          <c:showSerName val="0"/>
          <c:showPercent val="0"/>
          <c:showBubbleSize val="0"/>
        </c:dLbls>
        <c:gapWidth val="100"/>
        <c:overlap val="100"/>
        <c:axId val="330336495"/>
        <c:axId val="330351887"/>
      </c:barChart>
      <c:catAx>
        <c:axId val="330336495"/>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30351887"/>
        <c:crosses val="autoZero"/>
        <c:auto val="1"/>
        <c:lblAlgn val="ctr"/>
        <c:lblOffset val="100"/>
        <c:noMultiLvlLbl val="0"/>
      </c:catAx>
      <c:valAx>
        <c:axId val="330351887"/>
        <c:scaling>
          <c:orientation val="minMax"/>
          <c:max val="1"/>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330336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it-IT" sz="900">
                <a:solidFill>
                  <a:sysClr val="windowText" lastClr="000000"/>
                </a:solidFill>
                <a:latin typeface="Arial" panose="020B0604020202020204" pitchFamily="34" charset="0"/>
                <a:cs typeface="Arial" panose="020B0604020202020204" pitchFamily="34" charset="0"/>
              </a:rPr>
              <a:t>Q23.</a:t>
            </a:r>
            <a:r>
              <a:rPr lang="it-IT" sz="900" baseline="0">
                <a:solidFill>
                  <a:sysClr val="windowText" lastClr="000000"/>
                </a:solidFill>
                <a:latin typeface="Arial" panose="020B0604020202020204" pitchFamily="34" charset="0"/>
                <a:cs typeface="Arial" panose="020B0604020202020204" pitchFamily="34" charset="0"/>
              </a:rPr>
              <a:t> </a:t>
            </a:r>
            <a:r>
              <a:rPr lang="it-IT" sz="900">
                <a:solidFill>
                  <a:sysClr val="windowText" lastClr="000000"/>
                </a:solidFill>
                <a:latin typeface="Arial" panose="020B0604020202020204" pitchFamily="34" charset="0"/>
                <a:cs typeface="Arial" panose="020B0604020202020204" pitchFamily="34" charset="0"/>
              </a:rPr>
              <a:t>Suggestions provided to improve effectiveness and efficiency of inspections and audits</a:t>
            </a:r>
          </a:p>
        </c:rich>
      </c:tx>
      <c:layout>
        <c:manualLayout>
          <c:xMode val="edge"/>
          <c:yMode val="edge"/>
          <c:x val="0.18319318181818181"/>
          <c:y val="2.7972222222222221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it-IT"/>
        </a:p>
      </c:txPr>
    </c:title>
    <c:autoTitleDeleted val="0"/>
    <c:plotArea>
      <c:layout/>
      <c:barChart>
        <c:barDir val="bar"/>
        <c:grouping val="stacked"/>
        <c:varyColors val="0"/>
        <c:ser>
          <c:idx val="0"/>
          <c:order val="0"/>
          <c:tx>
            <c:strRef>
              <c:f>'Sheet 2'!$P$59</c:f>
              <c:strCache>
                <c:ptCount val="1"/>
                <c:pt idx="0">
                  <c:v>procedures</c:v>
                </c:pt>
              </c:strCache>
            </c:strRef>
          </c:tx>
          <c:spPr>
            <a:solidFill>
              <a:schemeClr val="tx1"/>
            </a:solidFill>
            <a:ln>
              <a:solidFill>
                <a:schemeClr val="tx1"/>
              </a:solidFill>
            </a:ln>
            <a:effectLst/>
          </c:spPr>
          <c:invertIfNegative val="0"/>
          <c:val>
            <c:numRef>
              <c:f>'Sheet 2'!$Q$59</c:f>
              <c:numCache>
                <c:formatCode>0.0%</c:formatCode>
                <c:ptCount val="1"/>
                <c:pt idx="0">
                  <c:v>0.42592592592592593</c:v>
                </c:pt>
              </c:numCache>
            </c:numRef>
          </c:val>
          <c:extLst>
            <c:ext xmlns:c16="http://schemas.microsoft.com/office/drawing/2014/chart" uri="{C3380CC4-5D6E-409C-BE32-E72D297353CC}">
              <c16:uniqueId val="{00000000-E293-4A35-B91F-C3CD8C7AF83D}"/>
            </c:ext>
          </c:extLst>
        </c:ser>
        <c:ser>
          <c:idx val="1"/>
          <c:order val="1"/>
          <c:tx>
            <c:strRef>
              <c:f>'Sheet 2'!$P$60</c:f>
              <c:strCache>
                <c:ptCount val="1"/>
                <c:pt idx="0">
                  <c:v>training</c:v>
                </c:pt>
              </c:strCache>
            </c:strRef>
          </c:tx>
          <c:spPr>
            <a:solidFill>
              <a:schemeClr val="bg1">
                <a:lumMod val="85000"/>
              </a:schemeClr>
            </a:solidFill>
            <a:ln>
              <a:solidFill>
                <a:schemeClr val="tx1"/>
              </a:solidFill>
            </a:ln>
            <a:effectLst/>
          </c:spPr>
          <c:invertIfNegative val="0"/>
          <c:val>
            <c:numRef>
              <c:f>'Sheet 2'!$Q$60</c:f>
              <c:numCache>
                <c:formatCode>0.0%</c:formatCode>
                <c:ptCount val="1"/>
                <c:pt idx="0">
                  <c:v>0.24074074074074073</c:v>
                </c:pt>
              </c:numCache>
            </c:numRef>
          </c:val>
          <c:extLst>
            <c:ext xmlns:c16="http://schemas.microsoft.com/office/drawing/2014/chart" uri="{C3380CC4-5D6E-409C-BE32-E72D297353CC}">
              <c16:uniqueId val="{00000001-E293-4A35-B91F-C3CD8C7AF83D}"/>
            </c:ext>
          </c:extLst>
        </c:ser>
        <c:ser>
          <c:idx val="2"/>
          <c:order val="2"/>
          <c:tx>
            <c:strRef>
              <c:f>'Sheet 2'!$P$61</c:f>
              <c:strCache>
                <c:ptCount val="1"/>
                <c:pt idx="0">
                  <c:v>resources</c:v>
                </c:pt>
              </c:strCache>
            </c:strRef>
          </c:tx>
          <c:spPr>
            <a:solidFill>
              <a:schemeClr val="bg1">
                <a:lumMod val="50000"/>
              </a:schemeClr>
            </a:solidFill>
            <a:ln>
              <a:solidFill>
                <a:schemeClr val="tx1"/>
              </a:solidFill>
            </a:ln>
            <a:effectLst/>
          </c:spPr>
          <c:invertIfNegative val="0"/>
          <c:val>
            <c:numRef>
              <c:f>'Sheet 2'!$Q$61</c:f>
              <c:numCache>
                <c:formatCode>0.0%</c:formatCode>
                <c:ptCount val="1"/>
                <c:pt idx="0">
                  <c:v>0.33333333333333331</c:v>
                </c:pt>
              </c:numCache>
            </c:numRef>
          </c:val>
          <c:extLst>
            <c:ext xmlns:c16="http://schemas.microsoft.com/office/drawing/2014/chart" uri="{C3380CC4-5D6E-409C-BE32-E72D297353CC}">
              <c16:uniqueId val="{00000002-E293-4A35-B91F-C3CD8C7AF83D}"/>
            </c:ext>
          </c:extLst>
        </c:ser>
        <c:ser>
          <c:idx val="3"/>
          <c:order val="3"/>
          <c:spPr>
            <a:solidFill>
              <a:schemeClr val="accent4"/>
            </a:solidFill>
            <a:ln>
              <a:noFill/>
            </a:ln>
            <a:effectLst/>
          </c:spPr>
          <c:invertIfNegative val="0"/>
          <c:val>
            <c:numRef>
              <c:f>'Sheet 2'!$O$59</c:f>
              <c:numCache>
                <c:formatCode>General</c:formatCode>
                <c:ptCount val="1"/>
                <c:pt idx="0">
                  <c:v>0</c:v>
                </c:pt>
              </c:numCache>
            </c:numRef>
          </c:val>
          <c:extLst>
            <c:ext xmlns:c16="http://schemas.microsoft.com/office/drawing/2014/chart" uri="{C3380CC4-5D6E-409C-BE32-E72D297353CC}">
              <c16:uniqueId val="{00000003-E293-4A35-B91F-C3CD8C7AF83D}"/>
            </c:ext>
          </c:extLst>
        </c:ser>
        <c:dLbls>
          <c:showLegendKey val="0"/>
          <c:showVal val="0"/>
          <c:showCatName val="0"/>
          <c:showSerName val="0"/>
          <c:showPercent val="0"/>
          <c:showBubbleSize val="0"/>
        </c:dLbls>
        <c:gapWidth val="150"/>
        <c:overlap val="100"/>
        <c:axId val="1586999312"/>
        <c:axId val="1590845728"/>
      </c:barChart>
      <c:catAx>
        <c:axId val="1586999312"/>
        <c:scaling>
          <c:orientation val="minMax"/>
        </c:scaling>
        <c:delete val="1"/>
        <c:axPos val="l"/>
        <c:numFmt formatCode="General" sourceLinked="1"/>
        <c:majorTickMark val="none"/>
        <c:minorTickMark val="none"/>
        <c:tickLblPos val="nextTo"/>
        <c:crossAx val="1590845728"/>
        <c:crosses val="autoZero"/>
        <c:auto val="1"/>
        <c:lblAlgn val="ctr"/>
        <c:lblOffset val="100"/>
        <c:noMultiLvlLbl val="0"/>
      </c:catAx>
      <c:valAx>
        <c:axId val="1590845728"/>
        <c:scaling>
          <c:orientation val="minMax"/>
          <c:max val="1"/>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1586999312"/>
        <c:crosses val="autoZero"/>
        <c:crossBetween val="between"/>
      </c:valAx>
      <c:spPr>
        <a:noFill/>
        <a:ln>
          <a:noFill/>
        </a:ln>
        <a:effectLst/>
      </c:spPr>
    </c:plotArea>
    <c:legend>
      <c:legendPos val="b"/>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it-IT" sz="900">
                <a:solidFill>
                  <a:sysClr val="windowText" lastClr="000000"/>
                </a:solidFill>
                <a:latin typeface="Arial" panose="020B0604020202020204" pitchFamily="34" charset="0"/>
                <a:cs typeface="Arial" panose="020B0604020202020204" pitchFamily="34" charset="0"/>
              </a:rPr>
              <a:t>Q24. Strenghts of current systems for conducting inspections and audits</a:t>
            </a:r>
          </a:p>
        </c:rich>
      </c:tx>
      <c:overlay val="0"/>
      <c:spPr>
        <a:noFill/>
        <a:ln>
          <a:noFill/>
        </a:ln>
        <a:effectLst/>
      </c:spPr>
      <c:txPr>
        <a:bodyPr rot="0" spcFirstLastPara="1" vertOverflow="ellipsis" vert="horz" wrap="square" anchor="ctr" anchorCtr="1"/>
        <a:lstStyle/>
        <a:p>
          <a:pPr>
            <a:defRPr sz="900" b="0"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it-IT"/>
        </a:p>
      </c:txPr>
    </c:title>
    <c:autoTitleDeleted val="0"/>
    <c:plotArea>
      <c:layout/>
      <c:barChart>
        <c:barDir val="bar"/>
        <c:grouping val="stacked"/>
        <c:varyColors val="0"/>
        <c:ser>
          <c:idx val="0"/>
          <c:order val="0"/>
          <c:tx>
            <c:strRef>
              <c:f>'Sheet 2'!$P$63</c:f>
              <c:strCache>
                <c:ptCount val="1"/>
                <c:pt idx="0">
                  <c:v>clear and functional procedures</c:v>
                </c:pt>
              </c:strCache>
            </c:strRef>
          </c:tx>
          <c:spPr>
            <a:solidFill>
              <a:schemeClr val="tx1"/>
            </a:solidFill>
            <a:ln>
              <a:solidFill>
                <a:schemeClr val="tx1"/>
              </a:solidFill>
            </a:ln>
            <a:effectLst/>
          </c:spPr>
          <c:invertIfNegative val="0"/>
          <c:val>
            <c:numRef>
              <c:f>'Sheet 2'!$Q$63</c:f>
              <c:numCache>
                <c:formatCode>0.0%</c:formatCode>
                <c:ptCount val="1"/>
                <c:pt idx="0">
                  <c:v>0.46</c:v>
                </c:pt>
              </c:numCache>
            </c:numRef>
          </c:val>
          <c:extLst>
            <c:ext xmlns:c16="http://schemas.microsoft.com/office/drawing/2014/chart" uri="{C3380CC4-5D6E-409C-BE32-E72D297353CC}">
              <c16:uniqueId val="{00000000-B0E7-4BD8-A461-30BA95621879}"/>
            </c:ext>
          </c:extLst>
        </c:ser>
        <c:ser>
          <c:idx val="1"/>
          <c:order val="1"/>
          <c:tx>
            <c:strRef>
              <c:f>'Sheet 2'!$P$64</c:f>
              <c:strCache>
                <c:ptCount val="1"/>
                <c:pt idx="0">
                  <c:v>better FBO knowledge and effectiveness of process interventions</c:v>
                </c:pt>
              </c:strCache>
            </c:strRef>
          </c:tx>
          <c:spPr>
            <a:solidFill>
              <a:schemeClr val="bg1">
                <a:lumMod val="95000"/>
              </a:schemeClr>
            </a:solidFill>
            <a:ln>
              <a:solidFill>
                <a:schemeClr val="tx1"/>
              </a:solidFill>
            </a:ln>
            <a:effectLst/>
          </c:spPr>
          <c:invertIfNegative val="0"/>
          <c:val>
            <c:numRef>
              <c:f>'Sheet 2'!$Q$64</c:f>
              <c:numCache>
                <c:formatCode>0.0%</c:formatCode>
                <c:ptCount val="1"/>
                <c:pt idx="0">
                  <c:v>0.16</c:v>
                </c:pt>
              </c:numCache>
            </c:numRef>
          </c:val>
          <c:extLst>
            <c:ext xmlns:c16="http://schemas.microsoft.com/office/drawing/2014/chart" uri="{C3380CC4-5D6E-409C-BE32-E72D297353CC}">
              <c16:uniqueId val="{00000001-B0E7-4BD8-A461-30BA95621879}"/>
            </c:ext>
          </c:extLst>
        </c:ser>
        <c:ser>
          <c:idx val="2"/>
          <c:order val="2"/>
          <c:tx>
            <c:strRef>
              <c:f>'Sheet 2'!$P$65</c:f>
              <c:strCache>
                <c:ptCount val="1"/>
                <c:pt idx="0">
                  <c:v>collaboration colleagues</c:v>
                </c:pt>
              </c:strCache>
            </c:strRef>
          </c:tx>
          <c:spPr>
            <a:solidFill>
              <a:schemeClr val="bg1">
                <a:lumMod val="75000"/>
              </a:schemeClr>
            </a:solidFill>
            <a:ln>
              <a:solidFill>
                <a:schemeClr val="tx1"/>
              </a:solidFill>
            </a:ln>
            <a:effectLst/>
          </c:spPr>
          <c:invertIfNegative val="0"/>
          <c:val>
            <c:numRef>
              <c:f>'Sheet 2'!$Q$65</c:f>
              <c:numCache>
                <c:formatCode>0.0%</c:formatCode>
                <c:ptCount val="1"/>
                <c:pt idx="0">
                  <c:v>0.24</c:v>
                </c:pt>
              </c:numCache>
            </c:numRef>
          </c:val>
          <c:extLst>
            <c:ext xmlns:c16="http://schemas.microsoft.com/office/drawing/2014/chart" uri="{C3380CC4-5D6E-409C-BE32-E72D297353CC}">
              <c16:uniqueId val="{00000002-B0E7-4BD8-A461-30BA95621879}"/>
            </c:ext>
          </c:extLst>
        </c:ser>
        <c:ser>
          <c:idx val="3"/>
          <c:order val="3"/>
          <c:tx>
            <c:strRef>
              <c:f>'Sheet 2'!$P$66</c:f>
              <c:strCache>
                <c:ptCount val="1"/>
                <c:pt idx="0">
                  <c:v>no one, critical judgment</c:v>
                </c:pt>
              </c:strCache>
            </c:strRef>
          </c:tx>
          <c:spPr>
            <a:solidFill>
              <a:schemeClr val="bg1">
                <a:lumMod val="50000"/>
              </a:schemeClr>
            </a:solidFill>
            <a:ln>
              <a:solidFill>
                <a:schemeClr val="tx1"/>
              </a:solidFill>
            </a:ln>
            <a:effectLst/>
          </c:spPr>
          <c:invertIfNegative val="0"/>
          <c:val>
            <c:numRef>
              <c:f>'Sheet 2'!$Q$66</c:f>
              <c:numCache>
                <c:formatCode>0.0%</c:formatCode>
                <c:ptCount val="1"/>
                <c:pt idx="0">
                  <c:v>0.14000000000000001</c:v>
                </c:pt>
              </c:numCache>
            </c:numRef>
          </c:val>
          <c:extLst>
            <c:ext xmlns:c16="http://schemas.microsoft.com/office/drawing/2014/chart" uri="{C3380CC4-5D6E-409C-BE32-E72D297353CC}">
              <c16:uniqueId val="{00000003-B0E7-4BD8-A461-30BA95621879}"/>
            </c:ext>
          </c:extLst>
        </c:ser>
        <c:dLbls>
          <c:showLegendKey val="0"/>
          <c:showVal val="0"/>
          <c:showCatName val="0"/>
          <c:showSerName val="0"/>
          <c:showPercent val="0"/>
          <c:showBubbleSize val="0"/>
        </c:dLbls>
        <c:gapWidth val="150"/>
        <c:overlap val="100"/>
        <c:axId val="1586999312"/>
        <c:axId val="1590845728"/>
      </c:barChart>
      <c:catAx>
        <c:axId val="1586999312"/>
        <c:scaling>
          <c:orientation val="minMax"/>
        </c:scaling>
        <c:delete val="1"/>
        <c:axPos val="l"/>
        <c:numFmt formatCode="General" sourceLinked="1"/>
        <c:majorTickMark val="none"/>
        <c:minorTickMark val="none"/>
        <c:tickLblPos val="nextTo"/>
        <c:crossAx val="1590845728"/>
        <c:crosses val="autoZero"/>
        <c:auto val="1"/>
        <c:lblAlgn val="ctr"/>
        <c:lblOffset val="100"/>
        <c:noMultiLvlLbl val="0"/>
      </c:catAx>
      <c:valAx>
        <c:axId val="1590845728"/>
        <c:scaling>
          <c:orientation val="minMax"/>
          <c:max val="1"/>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crossAx val="1586999312"/>
        <c:crosses val="autoZero"/>
        <c:crossBetween val="between"/>
      </c:valAx>
      <c:spPr>
        <a:noFill/>
        <a:ln>
          <a:noFill/>
        </a:ln>
        <a:effectLst/>
      </c:spPr>
    </c:plotArea>
    <c:legend>
      <c:legendPos val="b"/>
      <c:layout>
        <c:manualLayout>
          <c:xMode val="edge"/>
          <c:yMode val="edge"/>
          <c:x val="0"/>
          <c:y val="0.58163602941176473"/>
          <c:w val="0.98434694444444459"/>
          <c:h val="0.41450992063492065"/>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it-IT"/>
        </a:p>
      </c:txPr>
    </c:legend>
    <c:plotVisOnly val="1"/>
    <c:dispBlanksAs val="gap"/>
    <c:showDLblsOverMax val="0"/>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69C05-E772-49F6-8E99-D75F9D1D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2118</TotalTime>
  <Pages>6</Pages>
  <Words>666</Words>
  <Characters>3798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IZSLER</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ROSAMILIA ALFONSO</dc:creator>
  <cp:keywords/>
  <dc:description/>
  <cp:lastModifiedBy>ROSAMILIA ALFONSO</cp:lastModifiedBy>
  <cp:revision>172</cp:revision>
  <dcterms:created xsi:type="dcterms:W3CDTF">2025-03-20T17:46:00Z</dcterms:created>
  <dcterms:modified xsi:type="dcterms:W3CDTF">2025-08-24T08:18:00Z</dcterms:modified>
</cp:coreProperties>
</file>