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9A5C0" w14:textId="77777777" w:rsidR="004261B5" w:rsidRPr="0003325F" w:rsidRDefault="00000000">
      <w:pPr>
        <w:pStyle w:val="Titolo1"/>
        <w:rPr>
          <w:rFonts w:ascii="Times New Roman" w:hAnsi="Times New Roman" w:cs="Times New Roman"/>
          <w:color w:val="auto"/>
        </w:rPr>
      </w:pPr>
      <w:r w:rsidRPr="0003325F">
        <w:rPr>
          <w:rFonts w:ascii="Times New Roman" w:hAnsi="Times New Roman" w:cs="Times New Roman"/>
          <w:color w:val="auto"/>
        </w:rPr>
        <w:t>Annex A. Techno-economic uncertainty and cost allocation methodology</w:t>
      </w:r>
    </w:p>
    <w:p w14:paraId="2C5899CF" w14:textId="77777777" w:rsidR="004261B5" w:rsidRPr="0003325F" w:rsidRDefault="00000000" w:rsidP="0003325F">
      <w:pPr>
        <w:pStyle w:val="Paragrafoelenco"/>
        <w:keepNext/>
        <w:widowControl w:val="0"/>
        <w:spacing w:before="120" w:after="240"/>
        <w:ind w:left="792" w:hanging="432"/>
        <w:outlineLvl w:val="1"/>
        <w:rPr>
          <w:rFonts w:ascii="Times New Roman" w:eastAsia="SimSun" w:hAnsi="Times New Roman" w:cs="Times New Roman"/>
          <w:b/>
          <w:bCs/>
          <w:sz w:val="20"/>
          <w:szCs w:val="20"/>
          <w:lang w:val="en-GB"/>
        </w:rPr>
      </w:pPr>
      <w:r w:rsidRPr="0003325F">
        <w:rPr>
          <w:rFonts w:ascii="Times New Roman" w:eastAsia="SimSun" w:hAnsi="Times New Roman" w:cs="Times New Roman"/>
          <w:b/>
          <w:bCs/>
          <w:sz w:val="20"/>
          <w:szCs w:val="20"/>
          <w:lang w:val="en-GB"/>
        </w:rPr>
        <w:t>A.1 Overview of the economic assessment framework</w:t>
      </w:r>
    </w:p>
    <w:p w14:paraId="5E115E15" w14:textId="475E441E" w:rsidR="004261B5" w:rsidRPr="0003325F" w:rsidRDefault="00B25AFA" w:rsidP="00303DC7">
      <w:pPr>
        <w:jc w:val="both"/>
        <w:rPr>
          <w:rFonts w:ascii="Times New Roman" w:hAnsi="Times New Roman" w:cs="Times New Roman"/>
          <w:sz w:val="20"/>
          <w:szCs w:val="20"/>
        </w:rPr>
      </w:pPr>
      <w:r w:rsidRPr="00B25AFA">
        <w:rPr>
          <w:rFonts w:ascii="Times New Roman" w:hAnsi="Times New Roman" w:cs="Times New Roman"/>
          <w:sz w:val="20"/>
          <w:szCs w:val="20"/>
        </w:rPr>
        <w:t>This annex provides the detailed methodology supporting the economic assessment presented in Section 4.4. The objective is to quantify the uncertainty associated with the production cost of sustainable aviation fuel (SAF) from camelina oil and used cooking oil (UCO), using a mass-based co-product allocation approach and a Monte Carlo simulation framework. The approach evaluates variability in feedstock price, conversion costs, operating expenditures and capital recovery, and propagates their combined uncertainty through the SAF cost model.</w:t>
      </w:r>
    </w:p>
    <w:p w14:paraId="5B533B32" w14:textId="77777777" w:rsidR="004261B5" w:rsidRPr="0003325F" w:rsidRDefault="00000000" w:rsidP="0003325F">
      <w:pPr>
        <w:pStyle w:val="Paragrafoelenco"/>
        <w:keepNext/>
        <w:widowControl w:val="0"/>
        <w:spacing w:before="120" w:after="240"/>
        <w:ind w:left="792" w:hanging="432"/>
        <w:outlineLvl w:val="1"/>
        <w:rPr>
          <w:rFonts w:ascii="Times New Roman" w:eastAsia="SimSun" w:hAnsi="Times New Roman" w:cs="Times New Roman"/>
          <w:b/>
          <w:bCs/>
          <w:sz w:val="20"/>
          <w:szCs w:val="20"/>
          <w:lang w:val="en-GB"/>
        </w:rPr>
      </w:pPr>
      <w:r w:rsidRPr="0003325F">
        <w:rPr>
          <w:rFonts w:ascii="Times New Roman" w:eastAsia="SimSun" w:hAnsi="Times New Roman" w:cs="Times New Roman"/>
          <w:b/>
          <w:bCs/>
          <w:sz w:val="20"/>
          <w:szCs w:val="20"/>
          <w:lang w:val="en-GB"/>
        </w:rPr>
        <w:t>A.2 Co-product mass allocation</w:t>
      </w:r>
    </w:p>
    <w:p w14:paraId="65A55E75" w14:textId="77777777" w:rsidR="00D27DBB" w:rsidRPr="0003325F" w:rsidRDefault="00000000" w:rsidP="00303DC7">
      <w:pPr>
        <w:jc w:val="both"/>
        <w:rPr>
          <w:rFonts w:ascii="Times New Roman" w:hAnsi="Times New Roman" w:cs="Times New Roman"/>
          <w:sz w:val="20"/>
          <w:szCs w:val="20"/>
        </w:rPr>
      </w:pPr>
      <w:r w:rsidRPr="0003325F">
        <w:rPr>
          <w:rFonts w:ascii="Times New Roman" w:hAnsi="Times New Roman" w:cs="Times New Roman"/>
          <w:sz w:val="20"/>
          <w:szCs w:val="20"/>
        </w:rPr>
        <w:t>Hydroprocessing of lipid feedstocks yields multiple fuel fractions. Per tonne of feedstock, the process produces 53.5% kerosene, 14.0% diesel, 12.7% naphtha and 8.8% LPG, corresponding to a total output of 0.89 t. Costs were allocated across these product streams according to their respective mass shares, reflecting the multi-output nature of the hydroprocessing pathway and avoiding over-attribution of costs to the SAF fraction.</w:t>
      </w:r>
    </w:p>
    <w:p w14:paraId="38449EF2" w14:textId="14259978" w:rsidR="00D27DBB" w:rsidRPr="0003325F" w:rsidRDefault="00D27DBB" w:rsidP="00D27DBB">
      <w:pPr>
        <w:rPr>
          <w:rFonts w:ascii="Times New Roman" w:hAnsi="Times New Roman" w:cs="Times New Roman"/>
          <w:sz w:val="20"/>
          <w:szCs w:val="20"/>
        </w:rPr>
      </w:pPr>
      <w:r w:rsidRPr="0003325F">
        <w:rPr>
          <w:rFonts w:ascii="Times New Roman" w:hAnsi="Times New Roman" w:cs="Times New Roman"/>
          <w:sz w:val="20"/>
          <w:szCs w:val="20"/>
        </w:rPr>
        <w:t>The unit production cost of SAF was calculated as:</w:t>
      </w:r>
    </w:p>
    <w:p w14:paraId="3B926BC7" w14:textId="77777777" w:rsidR="00D27DBB" w:rsidRPr="0003325F" w:rsidRDefault="00000000" w:rsidP="00D27DBB">
      <w:pPr>
        <w:rPr>
          <w:rFonts w:ascii="Times New Roman" w:hAnsi="Times New Roman" w:cs="Times New Roman"/>
          <w:sz w:val="20"/>
          <w:szCs w:val="20"/>
        </w:rPr>
      </w:pPr>
      <m:oMathPara>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SAF</m:t>
              </m:r>
            </m:sub>
          </m:sSub>
          <m:r>
            <w:rPr>
              <w:rFonts w:ascii="Cambria Math" w:hAnsi="Cambria Math" w:cs="Times New Roman"/>
              <w:sz w:val="20"/>
              <w:szCs w:val="20"/>
            </w:rPr>
            <m:t>=</m:t>
          </m:r>
          <m:f>
            <m:fPr>
              <m:ctrlPr>
                <w:rPr>
                  <w:rFonts w:ascii="Cambria Math" w:hAnsi="Cambria Math" w:cs="Times New Roman"/>
                  <w:sz w:val="20"/>
                  <w:szCs w:val="20"/>
                  <w:lang w:val="it-IT"/>
                </w:rPr>
              </m:ctrlPr>
            </m:fPr>
            <m:num>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feed</m:t>
                  </m:r>
                </m:sub>
              </m:sSub>
              <m:r>
                <w:rPr>
                  <w:rFonts w:ascii="Cambria Math" w:hAnsi="Cambria Math" w:cs="Times New Roman"/>
                  <w:sz w:val="20"/>
                  <w:szCs w:val="20"/>
                </w:rPr>
                <m:t>+</m:t>
              </m:r>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conv</m:t>
                  </m:r>
                </m:sub>
              </m:sSub>
              <m:r>
                <w:rPr>
                  <w:rFonts w:ascii="Cambria Math" w:hAnsi="Cambria Math" w:cs="Times New Roman"/>
                  <w:sz w:val="20"/>
                  <w:szCs w:val="20"/>
                </w:rPr>
                <m:t>+</m:t>
              </m:r>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O&amp;M</m:t>
                  </m:r>
                </m:sub>
              </m:sSub>
              <m:r>
                <w:rPr>
                  <w:rFonts w:ascii="Cambria Math" w:hAnsi="Cambria Math" w:cs="Times New Roman"/>
                  <w:sz w:val="20"/>
                  <w:szCs w:val="20"/>
                </w:rPr>
                <m:t>+</m:t>
              </m:r>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CAPEX</m:t>
                  </m:r>
                </m:sub>
              </m:sSub>
            </m:num>
            <m:den>
              <m:sSub>
                <m:sSubPr>
                  <m:ctrlPr>
                    <w:rPr>
                      <w:rFonts w:ascii="Cambria Math" w:hAnsi="Cambria Math" w:cs="Times New Roman"/>
                      <w:sz w:val="20"/>
                      <w:szCs w:val="20"/>
                      <w:lang w:val="it-IT"/>
                    </w:rPr>
                  </m:ctrlPr>
                </m:sSubPr>
                <m:e>
                  <m:r>
                    <w:rPr>
                      <w:rFonts w:ascii="Cambria Math" w:hAnsi="Cambria Math" w:cs="Times New Roman"/>
                      <w:sz w:val="20"/>
                      <w:szCs w:val="20"/>
                      <w:lang w:val="it-IT"/>
                    </w:rPr>
                    <m:t>Y</m:t>
                  </m:r>
                </m:e>
                <m:sub>
                  <m:r>
                    <m:rPr>
                      <m:nor/>
                    </m:rPr>
                    <w:rPr>
                      <w:rFonts w:ascii="Times New Roman" w:hAnsi="Times New Roman" w:cs="Times New Roman"/>
                      <w:sz w:val="20"/>
                      <w:szCs w:val="20"/>
                    </w:rPr>
                    <m:t>tot</m:t>
                  </m:r>
                </m:sub>
              </m:sSub>
            </m:den>
          </m:f>
          <m:r>
            <m:rPr>
              <m:sty m:val="p"/>
            </m:rPr>
            <w:rPr>
              <w:rFonts w:ascii="Cambria Math" w:hAnsi="Cambria Math" w:cs="Times New Roman"/>
              <w:sz w:val="20"/>
              <w:szCs w:val="20"/>
            </w:rPr>
            <w:br/>
          </m:r>
        </m:oMath>
      </m:oMathPara>
    </w:p>
    <w:p w14:paraId="7B3D7E2B" w14:textId="475588E7" w:rsidR="00D27DBB" w:rsidRPr="0003325F" w:rsidRDefault="00D27DBB" w:rsidP="00D27DBB">
      <w:pPr>
        <w:rPr>
          <w:rFonts w:ascii="Times New Roman" w:hAnsi="Times New Roman" w:cs="Times New Roman"/>
          <w:sz w:val="20"/>
          <w:szCs w:val="20"/>
        </w:rPr>
      </w:pPr>
      <w:r w:rsidRPr="0003325F">
        <w:rPr>
          <w:rFonts w:ascii="Times New Roman" w:hAnsi="Times New Roman" w:cs="Times New Roman"/>
          <w:sz w:val="20"/>
          <w:szCs w:val="20"/>
        </w:rPr>
        <w:t>where:</w:t>
      </w:r>
      <w:r w:rsidRPr="0003325F">
        <w:rPr>
          <w:rFonts w:ascii="Times New Roman" w:hAnsi="Times New Roman" w:cs="Times New Roman"/>
          <w:sz w:val="20"/>
          <w:szCs w:val="20"/>
        </w:rPr>
        <w:br/>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feed</m:t>
            </m:r>
          </m:sub>
        </m:sSub>
      </m:oMath>
      <w:r w:rsidR="0003325F" w:rsidRPr="0003325F">
        <w:rPr>
          <w:rFonts w:ascii="Times New Roman" w:hAnsi="Times New Roman" w:cs="Times New Roman"/>
          <w:sz w:val="20"/>
          <w:szCs w:val="20"/>
        </w:rPr>
        <w:t xml:space="preserve"> </w:t>
      </w:r>
      <w:r w:rsidRPr="0003325F">
        <w:rPr>
          <w:rFonts w:ascii="Times New Roman" w:hAnsi="Times New Roman" w:cs="Times New Roman"/>
          <w:sz w:val="20"/>
          <w:szCs w:val="20"/>
        </w:rPr>
        <w:t>is the feedstock cost per tonne of oil;</w:t>
      </w:r>
      <w:r w:rsidRPr="0003325F">
        <w:rPr>
          <w:rFonts w:ascii="Times New Roman" w:hAnsi="Times New Roman" w:cs="Times New Roman"/>
          <w:sz w:val="20"/>
          <w:szCs w:val="20"/>
        </w:rPr>
        <w:br/>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conv</m:t>
            </m:r>
          </m:sub>
        </m:sSub>
      </m:oMath>
      <w:r w:rsidR="0003325F" w:rsidRPr="0003325F">
        <w:rPr>
          <w:rFonts w:ascii="Times New Roman" w:hAnsi="Times New Roman" w:cs="Times New Roman"/>
          <w:sz w:val="20"/>
          <w:szCs w:val="20"/>
        </w:rPr>
        <w:t xml:space="preserve"> </w:t>
      </w:r>
      <w:r w:rsidRPr="0003325F">
        <w:rPr>
          <w:rFonts w:ascii="Times New Roman" w:hAnsi="Times New Roman" w:cs="Times New Roman"/>
          <w:sz w:val="20"/>
          <w:szCs w:val="20"/>
        </w:rPr>
        <w:t>represents variable conversion costs;</w:t>
      </w:r>
      <w:r w:rsidRPr="0003325F">
        <w:rPr>
          <w:rFonts w:ascii="Times New Roman" w:hAnsi="Times New Roman" w:cs="Times New Roman"/>
          <w:sz w:val="20"/>
          <w:szCs w:val="20"/>
        </w:rPr>
        <w:br/>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O&amp;M</m:t>
            </m:r>
          </m:sub>
        </m:sSub>
        <m:r>
          <w:rPr>
            <w:rFonts w:ascii="Cambria Math" w:hAnsi="Cambria Math" w:cs="Times New Roman"/>
            <w:sz w:val="20"/>
            <w:szCs w:val="20"/>
          </w:rPr>
          <m:t xml:space="preserve"> </m:t>
        </m:r>
      </m:oMath>
      <w:r w:rsidRPr="0003325F">
        <w:rPr>
          <w:rFonts w:ascii="Times New Roman" w:hAnsi="Times New Roman" w:cs="Times New Roman"/>
          <w:sz w:val="20"/>
          <w:szCs w:val="20"/>
        </w:rPr>
        <w:t>denotes fixed operating costs;</w:t>
      </w:r>
      <w:r w:rsidRPr="0003325F">
        <w:rPr>
          <w:rFonts w:ascii="Times New Roman" w:hAnsi="Times New Roman" w:cs="Times New Roman"/>
          <w:sz w:val="20"/>
          <w:szCs w:val="20"/>
        </w:rPr>
        <w:br/>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CAPEX</m:t>
            </m:r>
          </m:sub>
        </m:sSub>
        <m:r>
          <w:rPr>
            <w:rFonts w:ascii="Cambria Math" w:hAnsi="Cambria Math" w:cs="Times New Roman"/>
            <w:sz w:val="20"/>
            <w:szCs w:val="20"/>
          </w:rPr>
          <m:t xml:space="preserve"> </m:t>
        </m:r>
      </m:oMath>
      <w:r w:rsidRPr="0003325F">
        <w:rPr>
          <w:rFonts w:ascii="Times New Roman" w:hAnsi="Times New Roman" w:cs="Times New Roman"/>
          <w:sz w:val="20"/>
          <w:szCs w:val="20"/>
        </w:rPr>
        <w:t>is the annualised capital charge;</w:t>
      </w:r>
      <w:r w:rsidRPr="0003325F">
        <w:rPr>
          <w:rFonts w:ascii="Times New Roman" w:hAnsi="Times New Roman" w:cs="Times New Roman"/>
          <w:sz w:val="20"/>
          <w:szCs w:val="20"/>
        </w:rPr>
        <w:br/>
        <w:t xml:space="preserve">and </w:t>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Y</m:t>
            </m:r>
          </m:e>
          <m:sub>
            <m:r>
              <m:rPr>
                <m:nor/>
              </m:rPr>
              <w:rPr>
                <w:rFonts w:ascii="Times New Roman" w:hAnsi="Times New Roman" w:cs="Times New Roman"/>
                <w:sz w:val="20"/>
                <w:szCs w:val="20"/>
              </w:rPr>
              <m:t>tot</m:t>
            </m:r>
          </m:sub>
        </m:sSub>
        <m:r>
          <w:rPr>
            <w:rFonts w:ascii="Cambria Math" w:hAnsi="Cambria Math" w:cs="Times New Roman"/>
            <w:sz w:val="20"/>
            <w:szCs w:val="20"/>
          </w:rPr>
          <m:t>=0.89</m:t>
        </m:r>
      </m:oMath>
      <w:r w:rsidRPr="0003325F">
        <w:rPr>
          <w:rFonts w:ascii="Times New Roman" w:hAnsi="Times New Roman" w:cs="Times New Roman"/>
          <w:sz w:val="20"/>
          <w:szCs w:val="20"/>
        </w:rPr>
        <w:t>t products per t feedstock is the mass yield from hydroprocessing (53.5% kerosene, 14% diesel, 12.7% naphtha and 8.8% LPG).</w:t>
      </w:r>
    </w:p>
    <w:p w14:paraId="011E1F67" w14:textId="77777777" w:rsidR="00D27DBB" w:rsidRPr="0003325F" w:rsidRDefault="00D27DBB" w:rsidP="00D27DBB">
      <w:pPr>
        <w:rPr>
          <w:rFonts w:ascii="Times New Roman" w:hAnsi="Times New Roman" w:cs="Times New Roman"/>
          <w:sz w:val="20"/>
          <w:szCs w:val="20"/>
        </w:rPr>
      </w:pPr>
      <w:r w:rsidRPr="0003325F">
        <w:rPr>
          <w:rFonts w:ascii="Times New Roman" w:hAnsi="Times New Roman" w:cs="Times New Roman"/>
          <w:sz w:val="20"/>
          <w:szCs w:val="20"/>
        </w:rPr>
        <w:t>Because hydroprocessing delivers multiple fuel fractions, all costs were allocated on a mass basis:</w:t>
      </w:r>
    </w:p>
    <w:p w14:paraId="7BA7558E" w14:textId="77777777" w:rsidR="00D27DBB" w:rsidRPr="0003325F" w:rsidRDefault="00000000" w:rsidP="00D27DBB">
      <w:pPr>
        <w:rPr>
          <w:rFonts w:ascii="Times New Roman" w:hAnsi="Times New Roman" w:cs="Times New Roman"/>
          <w:sz w:val="20"/>
          <w:szCs w:val="20"/>
        </w:rPr>
      </w:pPr>
      <m:oMathPara>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w:rPr>
                  <w:rFonts w:ascii="Cambria Math" w:hAnsi="Cambria Math" w:cs="Times New Roman"/>
                  <w:sz w:val="20"/>
                  <w:szCs w:val="20"/>
                  <w:lang w:val="it-IT"/>
                </w:rPr>
                <m:t>i</m:t>
              </m:r>
            </m:sub>
          </m:sSub>
          <m:r>
            <w:rPr>
              <w:rFonts w:ascii="Cambria Math" w:hAnsi="Cambria Math" w:cs="Times New Roman"/>
              <w:sz w:val="20"/>
              <w:szCs w:val="20"/>
            </w:rPr>
            <m:t>=</m:t>
          </m:r>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SAF</m:t>
              </m:r>
            </m:sub>
          </m:sSub>
          <m:r>
            <w:rPr>
              <w:rFonts w:ascii="Cambria Math" w:hAnsi="Cambria Math" w:cs="Times New Roman"/>
              <w:sz w:val="20"/>
              <w:szCs w:val="20"/>
            </w:rPr>
            <m:t>×</m:t>
          </m:r>
          <m:f>
            <m:fPr>
              <m:ctrlPr>
                <w:rPr>
                  <w:rFonts w:ascii="Cambria Math" w:hAnsi="Cambria Math" w:cs="Times New Roman"/>
                  <w:sz w:val="20"/>
                  <w:szCs w:val="20"/>
                  <w:lang w:val="it-IT"/>
                </w:rPr>
              </m:ctrlPr>
            </m:fPr>
            <m:num>
              <m:sSub>
                <m:sSubPr>
                  <m:ctrlPr>
                    <w:rPr>
                      <w:rFonts w:ascii="Cambria Math" w:hAnsi="Cambria Math" w:cs="Times New Roman"/>
                      <w:sz w:val="20"/>
                      <w:szCs w:val="20"/>
                      <w:lang w:val="it-IT"/>
                    </w:rPr>
                  </m:ctrlPr>
                </m:sSubPr>
                <m:e>
                  <m:r>
                    <w:rPr>
                      <w:rFonts w:ascii="Cambria Math" w:hAnsi="Cambria Math" w:cs="Times New Roman"/>
                      <w:sz w:val="20"/>
                      <w:szCs w:val="20"/>
                      <w:lang w:val="it-IT"/>
                    </w:rPr>
                    <m:t>m</m:t>
                  </m:r>
                </m:e>
                <m:sub>
                  <m:r>
                    <w:rPr>
                      <w:rFonts w:ascii="Cambria Math" w:hAnsi="Cambria Math" w:cs="Times New Roman"/>
                      <w:sz w:val="20"/>
                      <w:szCs w:val="20"/>
                      <w:lang w:val="it-IT"/>
                    </w:rPr>
                    <m:t>i</m:t>
                  </m:r>
                </m:sub>
              </m:sSub>
            </m:num>
            <m:den>
              <m:nary>
                <m:naryPr>
                  <m:chr m:val="∑"/>
                  <m:limLoc m:val="undOvr"/>
                  <m:grow m:val="1"/>
                  <m:supHide m:val="1"/>
                  <m:ctrlPr>
                    <w:rPr>
                      <w:rFonts w:ascii="Cambria Math" w:hAnsi="Cambria Math" w:cs="Times New Roman"/>
                      <w:sz w:val="20"/>
                      <w:szCs w:val="20"/>
                      <w:lang w:val="it-IT"/>
                    </w:rPr>
                  </m:ctrlPr>
                </m:naryPr>
                <m:sub>
                  <m:r>
                    <w:rPr>
                      <w:rFonts w:ascii="Cambria Math" w:hAnsi="Cambria Math" w:cs="Times New Roman"/>
                      <w:sz w:val="20"/>
                      <w:szCs w:val="20"/>
                      <w:lang w:val="it-IT"/>
                    </w:rPr>
                    <m:t>j</m:t>
                  </m:r>
                </m:sub>
                <m:sup/>
                <m:e>
                  <m:sSub>
                    <m:sSubPr>
                      <m:ctrlPr>
                        <w:rPr>
                          <w:rFonts w:ascii="Cambria Math" w:hAnsi="Cambria Math" w:cs="Times New Roman"/>
                          <w:sz w:val="20"/>
                          <w:szCs w:val="20"/>
                          <w:lang w:val="it-IT"/>
                        </w:rPr>
                      </m:ctrlPr>
                    </m:sSubPr>
                    <m:e>
                      <m:r>
                        <w:rPr>
                          <w:rFonts w:ascii="Cambria Math" w:hAnsi="Cambria Math" w:cs="Times New Roman"/>
                          <w:sz w:val="20"/>
                          <w:szCs w:val="20"/>
                          <w:lang w:val="it-IT"/>
                        </w:rPr>
                        <m:t>m</m:t>
                      </m:r>
                    </m:e>
                    <m:sub>
                      <m:r>
                        <w:rPr>
                          <w:rFonts w:ascii="Cambria Math" w:hAnsi="Cambria Math" w:cs="Times New Roman"/>
                          <w:sz w:val="20"/>
                          <w:szCs w:val="20"/>
                          <w:lang w:val="it-IT"/>
                        </w:rPr>
                        <m:t>j</m:t>
                      </m:r>
                    </m:sub>
                  </m:sSub>
                </m:e>
              </m:nary>
            </m:den>
          </m:f>
          <m:r>
            <m:rPr>
              <m:sty m:val="p"/>
            </m:rPr>
            <w:rPr>
              <w:rFonts w:ascii="Cambria Math" w:hAnsi="Cambria Math" w:cs="Times New Roman"/>
              <w:sz w:val="20"/>
              <w:szCs w:val="20"/>
            </w:rPr>
            <w:br/>
          </m:r>
        </m:oMath>
      </m:oMathPara>
    </w:p>
    <w:p w14:paraId="5D8A300E" w14:textId="77777777" w:rsidR="00D27DBB" w:rsidRPr="0003325F" w:rsidRDefault="00D27DBB" w:rsidP="00D27DBB">
      <w:pPr>
        <w:rPr>
          <w:rFonts w:ascii="Times New Roman" w:hAnsi="Times New Roman" w:cs="Times New Roman"/>
          <w:sz w:val="20"/>
          <w:szCs w:val="20"/>
        </w:rPr>
      </w:pPr>
      <w:r w:rsidRPr="0003325F">
        <w:rPr>
          <w:rFonts w:ascii="Times New Roman" w:hAnsi="Times New Roman" w:cs="Times New Roman"/>
          <w:sz w:val="20"/>
          <w:szCs w:val="20"/>
        </w:rPr>
        <w:t xml:space="preserve">where </w:t>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m</m:t>
            </m:r>
          </m:e>
          <m:sub>
            <m:r>
              <w:rPr>
                <w:rFonts w:ascii="Cambria Math" w:hAnsi="Cambria Math" w:cs="Times New Roman"/>
                <w:sz w:val="20"/>
                <w:szCs w:val="20"/>
                <w:lang w:val="it-IT"/>
              </w:rPr>
              <m:t>i</m:t>
            </m:r>
          </m:sub>
        </m:sSub>
      </m:oMath>
      <w:r w:rsidRPr="0003325F">
        <w:rPr>
          <w:rFonts w:ascii="Times New Roman" w:hAnsi="Times New Roman" w:cs="Times New Roman"/>
          <w:sz w:val="20"/>
          <w:szCs w:val="20"/>
        </w:rPr>
        <w:t xml:space="preserve">is the mass of product stream </w:t>
      </w:r>
      <m:oMath>
        <m:r>
          <w:rPr>
            <w:rFonts w:ascii="Cambria Math" w:hAnsi="Cambria Math" w:cs="Times New Roman"/>
            <w:sz w:val="20"/>
            <w:szCs w:val="20"/>
            <w:lang w:val="it-IT"/>
          </w:rPr>
          <m:t>i</m:t>
        </m:r>
      </m:oMath>
      <w:r w:rsidRPr="0003325F">
        <w:rPr>
          <w:rFonts w:ascii="Times New Roman" w:hAnsi="Times New Roman" w:cs="Times New Roman"/>
          <w:sz w:val="20"/>
          <w:szCs w:val="20"/>
        </w:rPr>
        <w:t>. This ensures that SAF carries only its proportional share of the total cost rather than being attributed all feedstock and processing expenses.</w:t>
      </w:r>
    </w:p>
    <w:p w14:paraId="2312D8C3" w14:textId="19627E0D" w:rsidR="004261B5" w:rsidRPr="0003325F" w:rsidRDefault="004261B5">
      <w:pPr>
        <w:rPr>
          <w:rFonts w:ascii="Times New Roman" w:hAnsi="Times New Roman" w:cs="Times New Roman"/>
          <w:sz w:val="20"/>
          <w:szCs w:val="20"/>
        </w:rPr>
      </w:pPr>
    </w:p>
    <w:p w14:paraId="25128463" w14:textId="77777777" w:rsidR="004261B5" w:rsidRPr="0003325F" w:rsidRDefault="00000000" w:rsidP="0003325F">
      <w:pPr>
        <w:pStyle w:val="Paragrafoelenco"/>
        <w:keepNext/>
        <w:widowControl w:val="0"/>
        <w:spacing w:before="120" w:after="240"/>
        <w:ind w:left="792" w:hanging="432"/>
        <w:outlineLvl w:val="1"/>
        <w:rPr>
          <w:rFonts w:ascii="Times New Roman" w:eastAsia="SimSun" w:hAnsi="Times New Roman" w:cs="Times New Roman"/>
          <w:b/>
          <w:bCs/>
          <w:sz w:val="20"/>
          <w:szCs w:val="20"/>
          <w:lang w:val="en-GB"/>
        </w:rPr>
      </w:pPr>
      <w:r w:rsidRPr="0003325F">
        <w:rPr>
          <w:rFonts w:ascii="Times New Roman" w:eastAsia="SimSun" w:hAnsi="Times New Roman" w:cs="Times New Roman"/>
          <w:b/>
          <w:bCs/>
          <w:sz w:val="20"/>
          <w:szCs w:val="20"/>
          <w:lang w:val="en-GB"/>
        </w:rPr>
        <w:t>A.3 Cost structure and parameter uncertainties</w:t>
      </w:r>
    </w:p>
    <w:p w14:paraId="00B0A15B" w14:textId="1FD88DC4" w:rsidR="00B64EDF" w:rsidRPr="00B64EDF" w:rsidRDefault="00B64EDF" w:rsidP="00303DC7">
      <w:pPr>
        <w:jc w:val="both"/>
        <w:rPr>
          <w:rFonts w:ascii="Times New Roman" w:hAnsi="Times New Roman" w:cs="Times New Roman"/>
          <w:sz w:val="20"/>
          <w:szCs w:val="20"/>
        </w:rPr>
      </w:pPr>
      <w:r w:rsidRPr="00B64EDF">
        <w:rPr>
          <w:rFonts w:ascii="Times New Roman" w:hAnsi="Times New Roman" w:cs="Times New Roman"/>
          <w:sz w:val="20"/>
          <w:szCs w:val="20"/>
        </w:rPr>
        <w:t xml:space="preserve">Feedstock price was represented as the principal source of uncertainty. Operating expenditures were calibrated such that feedstock accounts for approximately 80% of OPEX, consistent with published HEFA </w:t>
      </w:r>
      <w:r w:rsidRPr="00B64EDF">
        <w:rPr>
          <w:rFonts w:ascii="Times New Roman" w:hAnsi="Times New Roman" w:cs="Times New Roman"/>
          <w:sz w:val="20"/>
          <w:szCs w:val="20"/>
        </w:rPr>
        <w:lastRenderedPageBreak/>
        <w:t>techno-economic literature. Feedstock prices were modelled using lognormal distributions centered on 1,326 € t⁻¹ for camelina oil and 950 € t⁻¹ for UCO, with coefficients of variation between 20% and 25%, derived from the feedstock price ranges reported in de Jong et al. (2015).</w:t>
      </w:r>
    </w:p>
    <w:p w14:paraId="132AC42D" w14:textId="0E997D9B" w:rsidR="00B64EDF" w:rsidRPr="00B64EDF" w:rsidRDefault="00B64EDF" w:rsidP="00303DC7">
      <w:pPr>
        <w:jc w:val="both"/>
        <w:rPr>
          <w:rFonts w:ascii="Times New Roman" w:hAnsi="Times New Roman" w:cs="Times New Roman"/>
          <w:sz w:val="20"/>
          <w:szCs w:val="20"/>
        </w:rPr>
      </w:pPr>
      <w:r w:rsidRPr="00B64EDF">
        <w:rPr>
          <w:rFonts w:ascii="Times New Roman" w:hAnsi="Times New Roman" w:cs="Times New Roman"/>
          <w:sz w:val="20"/>
          <w:szCs w:val="20"/>
        </w:rPr>
        <w:t xml:space="preserve">Conversion costs, fixed O&amp;M expenditures and capital recovery parameters were assigned probability distributions derived from inter-study variability reported in de Jong et al. (2015; 2017), and NREL (2022). </w:t>
      </w:r>
      <w:r w:rsidR="005F18D8" w:rsidRPr="005F18D8">
        <w:rPr>
          <w:rFonts w:ascii="Times New Roman" w:hAnsi="Times New Roman" w:cs="Times New Roman"/>
          <w:sz w:val="20"/>
          <w:szCs w:val="20"/>
        </w:rPr>
        <w:t>To enable a transparent uncertainty analysis, the coefficients of variation (CV) and standard deviations (SD) used for the Monte Carlo simulation were derived from the inter-study variability and ±% ranges reported in these TEA sources.</w:t>
      </w:r>
      <w:r w:rsidR="005F18D8">
        <w:rPr>
          <w:rFonts w:ascii="Times New Roman" w:hAnsi="Times New Roman" w:cs="Times New Roman"/>
          <w:sz w:val="20"/>
          <w:szCs w:val="20"/>
        </w:rPr>
        <w:t xml:space="preserve"> </w:t>
      </w:r>
      <w:r w:rsidRPr="00B64EDF">
        <w:rPr>
          <w:rFonts w:ascii="Times New Roman" w:hAnsi="Times New Roman" w:cs="Times New Roman"/>
          <w:sz w:val="20"/>
          <w:szCs w:val="20"/>
        </w:rPr>
        <w:t>Therefore, coefficients of variation and standard deviations were inferred from their reported ±20–50% variability. Conversion costs were modelled as lognormal variables with CV = 0.30, fixed O&amp;M costs as truncated normal distributions with SD = 20 € t⁻¹, and annualised CAPEX as truncated normal distributions with SD = 40–50 € t⁻¹.</w:t>
      </w:r>
    </w:p>
    <w:p w14:paraId="6AB4BAF4" w14:textId="6F451930" w:rsidR="00B64EDF" w:rsidRDefault="00B64EDF" w:rsidP="00303DC7">
      <w:pPr>
        <w:jc w:val="both"/>
        <w:rPr>
          <w:rFonts w:ascii="Times New Roman" w:hAnsi="Times New Roman" w:cs="Times New Roman"/>
          <w:sz w:val="20"/>
          <w:szCs w:val="20"/>
        </w:rPr>
      </w:pPr>
      <w:r w:rsidRPr="00B64EDF">
        <w:rPr>
          <w:rFonts w:ascii="Times New Roman" w:hAnsi="Times New Roman" w:cs="Times New Roman"/>
          <w:sz w:val="20"/>
          <w:szCs w:val="20"/>
        </w:rPr>
        <w:t>A consolidated overview of the distributions and parameter values used in the Monte Carlo simulation is provided in Table A</w:t>
      </w:r>
      <w:r w:rsidR="00B60BAD">
        <w:rPr>
          <w:rFonts w:ascii="Times New Roman" w:hAnsi="Times New Roman" w:cs="Times New Roman"/>
          <w:sz w:val="20"/>
          <w:szCs w:val="20"/>
        </w:rPr>
        <w:t>1</w:t>
      </w:r>
      <w:r w:rsidRPr="00B64EDF">
        <w:rPr>
          <w:rFonts w:ascii="Times New Roman" w:hAnsi="Times New Roman" w:cs="Times New Roman"/>
          <w:sz w:val="20"/>
          <w:szCs w:val="20"/>
        </w:rPr>
        <w:t>.</w:t>
      </w:r>
    </w:p>
    <w:p w14:paraId="5A4F5DC1" w14:textId="448F640B" w:rsidR="00B60BAD" w:rsidRDefault="00B60BAD" w:rsidP="00B60BAD">
      <w:pPr>
        <w:keepNext/>
        <w:keepLines/>
        <w:spacing w:before="200" w:after="0"/>
        <w:jc w:val="center"/>
        <w:outlineLvl w:val="2"/>
        <w:rPr>
          <w:rFonts w:ascii="Times New Roman" w:eastAsiaTheme="majorEastAsia" w:hAnsi="Times New Roman" w:cs="Times New Roman"/>
          <w:sz w:val="20"/>
          <w:szCs w:val="20"/>
        </w:rPr>
      </w:pPr>
      <w:r w:rsidRPr="003F3231">
        <w:rPr>
          <w:rFonts w:ascii="Times New Roman" w:eastAsiaTheme="majorEastAsia" w:hAnsi="Times New Roman" w:cs="Times New Roman"/>
          <w:sz w:val="20"/>
          <w:szCs w:val="20"/>
        </w:rPr>
        <w:t>Table A</w:t>
      </w:r>
      <w:r>
        <w:rPr>
          <w:rFonts w:ascii="Times New Roman" w:eastAsiaTheme="majorEastAsia" w:hAnsi="Times New Roman" w:cs="Times New Roman"/>
          <w:sz w:val="20"/>
          <w:szCs w:val="20"/>
        </w:rPr>
        <w:t>1</w:t>
      </w:r>
      <w:r w:rsidRPr="003F3231">
        <w:rPr>
          <w:rFonts w:ascii="Times New Roman" w:eastAsiaTheme="majorEastAsia" w:hAnsi="Times New Roman" w:cs="Times New Roman"/>
          <w:sz w:val="20"/>
          <w:szCs w:val="20"/>
        </w:rPr>
        <w:t xml:space="preserve">. </w:t>
      </w:r>
      <w:r w:rsidR="00747431" w:rsidRPr="00747431">
        <w:rPr>
          <w:rFonts w:ascii="Times New Roman" w:eastAsiaTheme="majorEastAsia" w:hAnsi="Times New Roman" w:cs="Times New Roman"/>
          <w:sz w:val="20"/>
          <w:szCs w:val="20"/>
        </w:rPr>
        <w:t>Probability distributions used for Monte Carlo simulation</w:t>
      </w:r>
    </w:p>
    <w:p w14:paraId="4BB6D94F" w14:textId="77777777" w:rsidR="00745182" w:rsidRDefault="00745182" w:rsidP="00B60BAD">
      <w:pPr>
        <w:keepNext/>
        <w:keepLines/>
        <w:spacing w:before="200" w:after="0"/>
        <w:jc w:val="center"/>
        <w:outlineLvl w:val="2"/>
        <w:rPr>
          <w:rFonts w:ascii="Times New Roman" w:eastAsiaTheme="majorEastAsia" w:hAnsi="Times New Roman" w:cs="Times New Roman"/>
          <w:sz w:val="20"/>
          <w:szCs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641"/>
        <w:gridCol w:w="1254"/>
        <w:gridCol w:w="1422"/>
        <w:gridCol w:w="1334"/>
        <w:gridCol w:w="3079"/>
      </w:tblGrid>
      <w:tr w:rsidR="00CF70C0" w:rsidRPr="00CF70C0" w14:paraId="44E0CCE3" w14:textId="77777777" w:rsidTr="00CF70C0">
        <w:trPr>
          <w:tblHeader/>
          <w:tblCellSpacing w:w="15" w:type="dxa"/>
          <w:jc w:val="center"/>
        </w:trPr>
        <w:tc>
          <w:tcPr>
            <w:tcW w:w="0" w:type="auto"/>
            <w:vAlign w:val="center"/>
            <w:hideMark/>
          </w:tcPr>
          <w:p w14:paraId="3F8EB45F" w14:textId="77777777" w:rsidR="00CF70C0" w:rsidRPr="00CF70C0" w:rsidRDefault="00CF70C0" w:rsidP="00CF70C0">
            <w:pPr>
              <w:jc w:val="center"/>
              <w:rPr>
                <w:rFonts w:ascii="Times New Roman" w:hAnsi="Times New Roman" w:cs="Times New Roman"/>
                <w:b/>
                <w:bCs/>
                <w:sz w:val="20"/>
                <w:szCs w:val="20"/>
                <w:lang w:val="it-IT"/>
              </w:rPr>
            </w:pPr>
            <w:r w:rsidRPr="00CF70C0">
              <w:rPr>
                <w:rFonts w:ascii="Times New Roman" w:hAnsi="Times New Roman" w:cs="Times New Roman"/>
                <w:b/>
                <w:bCs/>
                <w:sz w:val="20"/>
                <w:szCs w:val="20"/>
                <w:lang w:val="it-IT"/>
              </w:rPr>
              <w:t>Cost component</w:t>
            </w:r>
          </w:p>
        </w:tc>
        <w:tc>
          <w:tcPr>
            <w:tcW w:w="0" w:type="auto"/>
            <w:vAlign w:val="center"/>
            <w:hideMark/>
          </w:tcPr>
          <w:p w14:paraId="60AA69A4" w14:textId="77777777" w:rsidR="00CF70C0" w:rsidRPr="00CF70C0" w:rsidRDefault="00CF70C0" w:rsidP="00CF70C0">
            <w:pPr>
              <w:jc w:val="center"/>
              <w:rPr>
                <w:rFonts w:ascii="Times New Roman" w:hAnsi="Times New Roman" w:cs="Times New Roman"/>
                <w:b/>
                <w:bCs/>
                <w:sz w:val="20"/>
                <w:szCs w:val="20"/>
                <w:lang w:val="it-IT"/>
              </w:rPr>
            </w:pPr>
            <w:r w:rsidRPr="00CF70C0">
              <w:rPr>
                <w:rFonts w:ascii="Times New Roman" w:hAnsi="Times New Roman" w:cs="Times New Roman"/>
                <w:b/>
                <w:bCs/>
                <w:sz w:val="20"/>
                <w:szCs w:val="20"/>
                <w:lang w:val="it-IT"/>
              </w:rPr>
              <w:t>Distribution type</w:t>
            </w:r>
          </w:p>
        </w:tc>
        <w:tc>
          <w:tcPr>
            <w:tcW w:w="0" w:type="auto"/>
            <w:vAlign w:val="center"/>
            <w:hideMark/>
          </w:tcPr>
          <w:p w14:paraId="04A39D36" w14:textId="77777777" w:rsidR="00CF70C0" w:rsidRPr="00CF70C0" w:rsidRDefault="00CF70C0" w:rsidP="00CF70C0">
            <w:pPr>
              <w:jc w:val="center"/>
              <w:rPr>
                <w:rFonts w:ascii="Times New Roman" w:hAnsi="Times New Roman" w:cs="Times New Roman"/>
                <w:b/>
                <w:bCs/>
                <w:sz w:val="20"/>
                <w:szCs w:val="20"/>
                <w:lang w:val="it-IT"/>
              </w:rPr>
            </w:pPr>
            <w:r w:rsidRPr="00CF70C0">
              <w:rPr>
                <w:rFonts w:ascii="Times New Roman" w:hAnsi="Times New Roman" w:cs="Times New Roman"/>
                <w:b/>
                <w:bCs/>
                <w:sz w:val="20"/>
                <w:szCs w:val="20"/>
                <w:lang w:val="it-IT"/>
              </w:rPr>
              <w:t>Mean value (€/t feedstock)</w:t>
            </w:r>
          </w:p>
        </w:tc>
        <w:tc>
          <w:tcPr>
            <w:tcW w:w="0" w:type="auto"/>
            <w:vAlign w:val="center"/>
            <w:hideMark/>
          </w:tcPr>
          <w:p w14:paraId="13D2D1EC" w14:textId="77777777" w:rsidR="00CF70C0" w:rsidRPr="00CF70C0" w:rsidRDefault="00CF70C0" w:rsidP="00CF70C0">
            <w:pPr>
              <w:jc w:val="center"/>
              <w:rPr>
                <w:rFonts w:ascii="Times New Roman" w:hAnsi="Times New Roman" w:cs="Times New Roman"/>
                <w:b/>
                <w:bCs/>
                <w:sz w:val="20"/>
                <w:szCs w:val="20"/>
                <w:lang w:val="it-IT"/>
              </w:rPr>
            </w:pPr>
            <w:r w:rsidRPr="00CF70C0">
              <w:rPr>
                <w:rFonts w:ascii="Times New Roman" w:hAnsi="Times New Roman" w:cs="Times New Roman"/>
                <w:b/>
                <w:bCs/>
                <w:sz w:val="20"/>
                <w:szCs w:val="20"/>
                <w:lang w:val="it-IT"/>
              </w:rPr>
              <w:t>Variability parameter</w:t>
            </w:r>
          </w:p>
        </w:tc>
        <w:tc>
          <w:tcPr>
            <w:tcW w:w="0" w:type="auto"/>
            <w:vAlign w:val="center"/>
            <w:hideMark/>
          </w:tcPr>
          <w:p w14:paraId="19CC1225" w14:textId="465C7EAF" w:rsidR="00CF70C0" w:rsidRPr="00CF70C0" w:rsidRDefault="00CF70C0" w:rsidP="00CF70C0">
            <w:pPr>
              <w:jc w:val="center"/>
              <w:rPr>
                <w:rFonts w:ascii="Times New Roman" w:hAnsi="Times New Roman" w:cs="Times New Roman"/>
                <w:b/>
                <w:bCs/>
                <w:sz w:val="20"/>
                <w:szCs w:val="20"/>
                <w:lang w:val="it-IT"/>
              </w:rPr>
            </w:pPr>
            <w:r>
              <w:rPr>
                <w:rFonts w:ascii="Times New Roman" w:hAnsi="Times New Roman" w:cs="Times New Roman"/>
                <w:b/>
                <w:bCs/>
                <w:sz w:val="20"/>
                <w:szCs w:val="20"/>
                <w:lang w:val="it-IT"/>
              </w:rPr>
              <w:t>Motivation</w:t>
            </w:r>
            <w:r w:rsidRPr="00CF70C0">
              <w:rPr>
                <w:rFonts w:ascii="Times New Roman" w:hAnsi="Times New Roman" w:cs="Times New Roman"/>
                <w:b/>
                <w:bCs/>
                <w:sz w:val="20"/>
                <w:szCs w:val="20"/>
                <w:lang w:val="it-IT"/>
              </w:rPr>
              <w:t xml:space="preserve"> / Source</w:t>
            </w:r>
          </w:p>
        </w:tc>
      </w:tr>
      <w:tr w:rsidR="00CF70C0" w:rsidRPr="00CF70C0" w14:paraId="3100FFCA" w14:textId="77777777" w:rsidTr="00CF70C0">
        <w:trPr>
          <w:tblCellSpacing w:w="15" w:type="dxa"/>
          <w:jc w:val="center"/>
        </w:trPr>
        <w:tc>
          <w:tcPr>
            <w:tcW w:w="0" w:type="auto"/>
            <w:vAlign w:val="center"/>
            <w:hideMark/>
          </w:tcPr>
          <w:p w14:paraId="7F210A2F"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b/>
                <w:bCs/>
                <w:sz w:val="20"/>
                <w:szCs w:val="20"/>
                <w:lang w:val="it-IT"/>
              </w:rPr>
              <w:t>Feedstock price – Camelina oil</w:t>
            </w:r>
          </w:p>
        </w:tc>
        <w:tc>
          <w:tcPr>
            <w:tcW w:w="0" w:type="auto"/>
            <w:vAlign w:val="center"/>
            <w:hideMark/>
          </w:tcPr>
          <w:p w14:paraId="3190B898"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Lognormal</w:t>
            </w:r>
          </w:p>
        </w:tc>
        <w:tc>
          <w:tcPr>
            <w:tcW w:w="0" w:type="auto"/>
            <w:vAlign w:val="center"/>
            <w:hideMark/>
          </w:tcPr>
          <w:p w14:paraId="18065B17"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1,326</w:t>
            </w:r>
          </w:p>
        </w:tc>
        <w:tc>
          <w:tcPr>
            <w:tcW w:w="0" w:type="auto"/>
            <w:vAlign w:val="center"/>
            <w:hideMark/>
          </w:tcPr>
          <w:p w14:paraId="46E139DA"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CV = 0.20</w:t>
            </w:r>
          </w:p>
        </w:tc>
        <w:tc>
          <w:tcPr>
            <w:tcW w:w="0" w:type="auto"/>
            <w:vAlign w:val="center"/>
            <w:hideMark/>
          </w:tcPr>
          <w:p w14:paraId="49753863" w14:textId="1FA263DA" w:rsidR="00CF70C0" w:rsidRPr="00CF70C0" w:rsidRDefault="00CF70C0" w:rsidP="00CF70C0">
            <w:pPr>
              <w:jc w:val="center"/>
              <w:rPr>
                <w:rFonts w:ascii="Times New Roman" w:hAnsi="Times New Roman" w:cs="Times New Roman"/>
                <w:sz w:val="20"/>
                <w:szCs w:val="20"/>
              </w:rPr>
            </w:pPr>
            <w:r w:rsidRPr="00CF70C0">
              <w:rPr>
                <w:rFonts w:ascii="Times New Roman" w:hAnsi="Times New Roman" w:cs="Times New Roman"/>
                <w:sz w:val="20"/>
                <w:szCs w:val="20"/>
              </w:rPr>
              <w:t>Price range for vegetable oils (de Jong et al., 2015)</w:t>
            </w:r>
          </w:p>
        </w:tc>
      </w:tr>
      <w:tr w:rsidR="00CF70C0" w:rsidRPr="00CF70C0" w14:paraId="0F9DDAEA" w14:textId="77777777" w:rsidTr="00CF70C0">
        <w:trPr>
          <w:tblCellSpacing w:w="15" w:type="dxa"/>
          <w:jc w:val="center"/>
        </w:trPr>
        <w:tc>
          <w:tcPr>
            <w:tcW w:w="0" w:type="auto"/>
            <w:vAlign w:val="center"/>
            <w:hideMark/>
          </w:tcPr>
          <w:p w14:paraId="0E61A959"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b/>
                <w:bCs/>
                <w:sz w:val="20"/>
                <w:szCs w:val="20"/>
                <w:lang w:val="it-IT"/>
              </w:rPr>
              <w:t>Feedstock price – UCO</w:t>
            </w:r>
          </w:p>
        </w:tc>
        <w:tc>
          <w:tcPr>
            <w:tcW w:w="0" w:type="auto"/>
            <w:vAlign w:val="center"/>
            <w:hideMark/>
          </w:tcPr>
          <w:p w14:paraId="53AA8150"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Lognormal</w:t>
            </w:r>
          </w:p>
        </w:tc>
        <w:tc>
          <w:tcPr>
            <w:tcW w:w="0" w:type="auto"/>
            <w:vAlign w:val="center"/>
            <w:hideMark/>
          </w:tcPr>
          <w:p w14:paraId="4F2FCCED"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950</w:t>
            </w:r>
          </w:p>
        </w:tc>
        <w:tc>
          <w:tcPr>
            <w:tcW w:w="0" w:type="auto"/>
            <w:vAlign w:val="center"/>
            <w:hideMark/>
          </w:tcPr>
          <w:p w14:paraId="77D58B64"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CV = 0.25</w:t>
            </w:r>
          </w:p>
        </w:tc>
        <w:tc>
          <w:tcPr>
            <w:tcW w:w="0" w:type="auto"/>
            <w:vAlign w:val="center"/>
            <w:hideMark/>
          </w:tcPr>
          <w:p w14:paraId="56517FBA" w14:textId="4FB8FBCC" w:rsidR="00CF70C0" w:rsidRPr="00CF70C0" w:rsidRDefault="00CF70C0" w:rsidP="00CF70C0">
            <w:pPr>
              <w:jc w:val="center"/>
              <w:rPr>
                <w:rFonts w:ascii="Times New Roman" w:hAnsi="Times New Roman" w:cs="Times New Roman"/>
                <w:sz w:val="20"/>
                <w:szCs w:val="20"/>
              </w:rPr>
            </w:pPr>
            <w:r w:rsidRPr="00CF70C0">
              <w:rPr>
                <w:rFonts w:ascii="Times New Roman" w:hAnsi="Times New Roman" w:cs="Times New Roman"/>
                <w:sz w:val="20"/>
                <w:szCs w:val="20"/>
              </w:rPr>
              <w:t>Higher market volatility for waste lipids (de Jong et al., 201</w:t>
            </w:r>
            <w:r w:rsidR="008F0143">
              <w:rPr>
                <w:rFonts w:ascii="Times New Roman" w:hAnsi="Times New Roman" w:cs="Times New Roman"/>
                <w:sz w:val="20"/>
                <w:szCs w:val="20"/>
              </w:rPr>
              <w:t>5</w:t>
            </w:r>
            <w:r w:rsidRPr="00CF70C0">
              <w:rPr>
                <w:rFonts w:ascii="Times New Roman" w:hAnsi="Times New Roman" w:cs="Times New Roman"/>
                <w:sz w:val="20"/>
                <w:szCs w:val="20"/>
              </w:rPr>
              <w:t>)</w:t>
            </w:r>
          </w:p>
        </w:tc>
      </w:tr>
      <w:tr w:rsidR="00CF70C0" w:rsidRPr="00CF70C0" w14:paraId="0640DB90" w14:textId="77777777" w:rsidTr="00CF70C0">
        <w:trPr>
          <w:tblCellSpacing w:w="15" w:type="dxa"/>
          <w:jc w:val="center"/>
        </w:trPr>
        <w:tc>
          <w:tcPr>
            <w:tcW w:w="0" w:type="auto"/>
            <w:vAlign w:val="center"/>
            <w:hideMark/>
          </w:tcPr>
          <w:p w14:paraId="35E3FC67"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b/>
                <w:bCs/>
                <w:sz w:val="20"/>
                <w:szCs w:val="20"/>
                <w:lang w:val="it-IT"/>
              </w:rPr>
              <w:t>Conversion cost</w:t>
            </w:r>
          </w:p>
        </w:tc>
        <w:tc>
          <w:tcPr>
            <w:tcW w:w="0" w:type="auto"/>
            <w:vAlign w:val="center"/>
            <w:hideMark/>
          </w:tcPr>
          <w:p w14:paraId="0656DA81"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Lognormal</w:t>
            </w:r>
          </w:p>
        </w:tc>
        <w:tc>
          <w:tcPr>
            <w:tcW w:w="0" w:type="auto"/>
            <w:vAlign w:val="center"/>
            <w:hideMark/>
          </w:tcPr>
          <w:p w14:paraId="4D094D98"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400</w:t>
            </w:r>
          </w:p>
        </w:tc>
        <w:tc>
          <w:tcPr>
            <w:tcW w:w="0" w:type="auto"/>
            <w:vAlign w:val="center"/>
            <w:hideMark/>
          </w:tcPr>
          <w:p w14:paraId="78F2AC0A"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CV = 0.30</w:t>
            </w:r>
          </w:p>
        </w:tc>
        <w:tc>
          <w:tcPr>
            <w:tcW w:w="0" w:type="auto"/>
            <w:vAlign w:val="center"/>
            <w:hideMark/>
          </w:tcPr>
          <w:p w14:paraId="10BEE416" w14:textId="5DDD65FC" w:rsidR="00CF70C0" w:rsidRPr="00CF70C0" w:rsidRDefault="00CF70C0" w:rsidP="00CF70C0">
            <w:pPr>
              <w:jc w:val="center"/>
              <w:rPr>
                <w:rFonts w:ascii="Times New Roman" w:hAnsi="Times New Roman" w:cs="Times New Roman"/>
                <w:sz w:val="20"/>
                <w:szCs w:val="20"/>
              </w:rPr>
            </w:pPr>
            <w:r w:rsidRPr="00CF70C0">
              <w:rPr>
                <w:rFonts w:ascii="Times New Roman" w:hAnsi="Times New Roman" w:cs="Times New Roman"/>
                <w:sz w:val="20"/>
                <w:szCs w:val="20"/>
              </w:rPr>
              <w:t>±20–50% range for energy and hydrogen inputs (de Jong et al., 201</w:t>
            </w:r>
            <w:r w:rsidR="008F0143">
              <w:rPr>
                <w:rFonts w:ascii="Times New Roman" w:hAnsi="Times New Roman" w:cs="Times New Roman"/>
                <w:sz w:val="20"/>
                <w:szCs w:val="20"/>
              </w:rPr>
              <w:t>5</w:t>
            </w:r>
            <w:r w:rsidRPr="00CF70C0">
              <w:rPr>
                <w:rFonts w:ascii="Times New Roman" w:hAnsi="Times New Roman" w:cs="Times New Roman"/>
                <w:sz w:val="20"/>
                <w:szCs w:val="20"/>
              </w:rPr>
              <w:t>; NREL, 2022)</w:t>
            </w:r>
          </w:p>
        </w:tc>
      </w:tr>
      <w:tr w:rsidR="00CF70C0" w:rsidRPr="00CF70C0" w14:paraId="462788EB" w14:textId="77777777" w:rsidTr="00CF70C0">
        <w:trPr>
          <w:tblCellSpacing w:w="15" w:type="dxa"/>
          <w:jc w:val="center"/>
        </w:trPr>
        <w:tc>
          <w:tcPr>
            <w:tcW w:w="0" w:type="auto"/>
            <w:vAlign w:val="center"/>
            <w:hideMark/>
          </w:tcPr>
          <w:p w14:paraId="0133E64D"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b/>
                <w:bCs/>
                <w:sz w:val="20"/>
                <w:szCs w:val="20"/>
                <w:lang w:val="it-IT"/>
              </w:rPr>
              <w:t>Fixed O&amp;M cost</w:t>
            </w:r>
          </w:p>
        </w:tc>
        <w:tc>
          <w:tcPr>
            <w:tcW w:w="0" w:type="auto"/>
            <w:vAlign w:val="center"/>
            <w:hideMark/>
          </w:tcPr>
          <w:p w14:paraId="3F16DA49"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Truncated normal</w:t>
            </w:r>
          </w:p>
        </w:tc>
        <w:tc>
          <w:tcPr>
            <w:tcW w:w="0" w:type="auto"/>
            <w:vAlign w:val="center"/>
            <w:hideMark/>
          </w:tcPr>
          <w:p w14:paraId="6AC0F2D7"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100</w:t>
            </w:r>
          </w:p>
        </w:tc>
        <w:tc>
          <w:tcPr>
            <w:tcW w:w="0" w:type="auto"/>
            <w:vAlign w:val="center"/>
            <w:hideMark/>
          </w:tcPr>
          <w:p w14:paraId="073122FC"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SD = 20</w:t>
            </w:r>
          </w:p>
        </w:tc>
        <w:tc>
          <w:tcPr>
            <w:tcW w:w="0" w:type="auto"/>
            <w:vAlign w:val="center"/>
            <w:hideMark/>
          </w:tcPr>
          <w:p w14:paraId="0317E136" w14:textId="77777777" w:rsidR="00CF70C0" w:rsidRPr="00CF70C0" w:rsidRDefault="00CF70C0" w:rsidP="00CF70C0">
            <w:pPr>
              <w:jc w:val="center"/>
              <w:rPr>
                <w:rFonts w:ascii="Times New Roman" w:hAnsi="Times New Roman" w:cs="Times New Roman"/>
                <w:sz w:val="20"/>
                <w:szCs w:val="20"/>
              </w:rPr>
            </w:pPr>
            <w:r w:rsidRPr="00CF70C0">
              <w:rPr>
                <w:rFonts w:ascii="Times New Roman" w:hAnsi="Times New Roman" w:cs="Times New Roman"/>
                <w:sz w:val="20"/>
                <w:szCs w:val="20"/>
              </w:rPr>
              <w:t>Based on NREL SOT O&amp;M variability (~20%)</w:t>
            </w:r>
          </w:p>
        </w:tc>
      </w:tr>
      <w:tr w:rsidR="00CF70C0" w:rsidRPr="00CF70C0" w14:paraId="38CDAAC6" w14:textId="77777777" w:rsidTr="00CF70C0">
        <w:trPr>
          <w:tblCellSpacing w:w="15" w:type="dxa"/>
          <w:jc w:val="center"/>
        </w:trPr>
        <w:tc>
          <w:tcPr>
            <w:tcW w:w="0" w:type="auto"/>
            <w:vAlign w:val="center"/>
            <w:hideMark/>
          </w:tcPr>
          <w:p w14:paraId="75BC70F8"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b/>
                <w:bCs/>
                <w:sz w:val="20"/>
                <w:szCs w:val="20"/>
                <w:lang w:val="it-IT"/>
              </w:rPr>
              <w:t>Annualised CAPEX</w:t>
            </w:r>
          </w:p>
        </w:tc>
        <w:tc>
          <w:tcPr>
            <w:tcW w:w="0" w:type="auto"/>
            <w:vAlign w:val="center"/>
            <w:hideMark/>
          </w:tcPr>
          <w:p w14:paraId="5946C384"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Truncated normal</w:t>
            </w:r>
          </w:p>
        </w:tc>
        <w:tc>
          <w:tcPr>
            <w:tcW w:w="0" w:type="auto"/>
            <w:vAlign w:val="center"/>
            <w:hideMark/>
          </w:tcPr>
          <w:p w14:paraId="0AC78EAD"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150</w:t>
            </w:r>
          </w:p>
        </w:tc>
        <w:tc>
          <w:tcPr>
            <w:tcW w:w="0" w:type="auto"/>
            <w:vAlign w:val="center"/>
            <w:hideMark/>
          </w:tcPr>
          <w:p w14:paraId="24B92FA8" w14:textId="77777777" w:rsidR="00CF70C0" w:rsidRPr="00CF70C0" w:rsidRDefault="00CF70C0" w:rsidP="00CF70C0">
            <w:pPr>
              <w:jc w:val="center"/>
              <w:rPr>
                <w:rFonts w:ascii="Times New Roman" w:hAnsi="Times New Roman" w:cs="Times New Roman"/>
                <w:sz w:val="20"/>
                <w:szCs w:val="20"/>
                <w:lang w:val="it-IT"/>
              </w:rPr>
            </w:pPr>
            <w:r w:rsidRPr="00CF70C0">
              <w:rPr>
                <w:rFonts w:ascii="Times New Roman" w:hAnsi="Times New Roman" w:cs="Times New Roman"/>
                <w:sz w:val="20"/>
                <w:szCs w:val="20"/>
                <w:lang w:val="it-IT"/>
              </w:rPr>
              <w:t>SD = 40–50</w:t>
            </w:r>
          </w:p>
        </w:tc>
        <w:tc>
          <w:tcPr>
            <w:tcW w:w="0" w:type="auto"/>
            <w:vAlign w:val="center"/>
            <w:hideMark/>
          </w:tcPr>
          <w:p w14:paraId="6F660B55" w14:textId="77777777" w:rsidR="00CF70C0" w:rsidRPr="00CF70C0" w:rsidRDefault="00CF70C0" w:rsidP="00CF70C0">
            <w:pPr>
              <w:jc w:val="center"/>
              <w:rPr>
                <w:rFonts w:ascii="Times New Roman" w:hAnsi="Times New Roman" w:cs="Times New Roman"/>
                <w:sz w:val="20"/>
                <w:szCs w:val="20"/>
              </w:rPr>
            </w:pPr>
            <w:r w:rsidRPr="00CF70C0">
              <w:rPr>
                <w:rFonts w:ascii="Times New Roman" w:hAnsi="Times New Roman" w:cs="Times New Roman"/>
                <w:sz w:val="20"/>
                <w:szCs w:val="20"/>
              </w:rPr>
              <w:t>Inter-study capital investment variability (de Jong et al., 2015; NREL, 2022)</w:t>
            </w:r>
          </w:p>
        </w:tc>
      </w:tr>
    </w:tbl>
    <w:p w14:paraId="1FD10B9A" w14:textId="459FB6ED" w:rsidR="00B60BAD" w:rsidRPr="00B64EDF" w:rsidRDefault="003941A6" w:rsidP="00B64EDF">
      <w:pPr>
        <w:rPr>
          <w:rFonts w:ascii="Times New Roman" w:hAnsi="Times New Roman" w:cs="Times New Roman"/>
          <w:sz w:val="20"/>
          <w:szCs w:val="20"/>
        </w:rPr>
      </w:pPr>
      <w:r w:rsidRPr="003941A6">
        <w:rPr>
          <w:rFonts w:ascii="Times New Roman" w:hAnsi="Times New Roman" w:cs="Times New Roman"/>
          <w:sz w:val="20"/>
          <w:szCs w:val="20"/>
        </w:rPr>
        <w:t>All values refer to costs per tonne of feedstock processed.</w:t>
      </w:r>
    </w:p>
    <w:p w14:paraId="28F4B2AA" w14:textId="77777777" w:rsidR="00B64EDF" w:rsidRPr="0003325F" w:rsidRDefault="00B64EDF" w:rsidP="00DF4033">
      <w:pPr>
        <w:rPr>
          <w:rFonts w:ascii="Times New Roman" w:hAnsi="Times New Roman" w:cs="Times New Roman"/>
          <w:sz w:val="20"/>
          <w:szCs w:val="20"/>
        </w:rPr>
      </w:pPr>
    </w:p>
    <w:p w14:paraId="507D26AD" w14:textId="77777777" w:rsidR="004261B5" w:rsidRPr="0003325F" w:rsidRDefault="00000000" w:rsidP="0003325F">
      <w:pPr>
        <w:pStyle w:val="Paragrafoelenco"/>
        <w:keepNext/>
        <w:widowControl w:val="0"/>
        <w:spacing w:before="120" w:after="240"/>
        <w:ind w:left="792" w:hanging="432"/>
        <w:outlineLvl w:val="1"/>
        <w:rPr>
          <w:rFonts w:ascii="Times New Roman" w:eastAsia="SimSun" w:hAnsi="Times New Roman" w:cs="Times New Roman"/>
          <w:b/>
          <w:bCs/>
          <w:sz w:val="20"/>
          <w:szCs w:val="20"/>
          <w:lang w:val="en-GB"/>
        </w:rPr>
      </w:pPr>
      <w:r w:rsidRPr="0003325F">
        <w:rPr>
          <w:rFonts w:ascii="Times New Roman" w:eastAsia="SimSun" w:hAnsi="Times New Roman" w:cs="Times New Roman"/>
          <w:b/>
          <w:bCs/>
          <w:sz w:val="20"/>
          <w:szCs w:val="20"/>
          <w:lang w:val="en-GB"/>
        </w:rPr>
        <w:t>A.4 Monte Carlo simulation approach</w:t>
      </w:r>
    </w:p>
    <w:p w14:paraId="52B55848" w14:textId="0C3BC128" w:rsidR="00D27DBB" w:rsidRPr="0003325F" w:rsidRDefault="00000000" w:rsidP="00303DC7">
      <w:pPr>
        <w:jc w:val="both"/>
        <w:rPr>
          <w:rFonts w:ascii="Times New Roman" w:hAnsi="Times New Roman" w:cs="Times New Roman"/>
          <w:sz w:val="20"/>
          <w:szCs w:val="20"/>
        </w:rPr>
      </w:pPr>
      <w:r w:rsidRPr="0003325F">
        <w:rPr>
          <w:rFonts w:ascii="Times New Roman" w:hAnsi="Times New Roman" w:cs="Times New Roman"/>
          <w:sz w:val="20"/>
          <w:szCs w:val="20"/>
        </w:rPr>
        <w:t>A Monte Carlo simulation with 50,000 iterations was implemented to propagate uncertainty through the cost model. Each iteration draws random values for feedstock, conversion, operating and capital costs according to their respective probability distributions.</w:t>
      </w:r>
    </w:p>
    <w:p w14:paraId="42639782" w14:textId="77777777" w:rsidR="00D27DBB" w:rsidRPr="0003325F" w:rsidRDefault="00000000" w:rsidP="00D27DBB">
      <w:pPr>
        <w:rPr>
          <w:rFonts w:ascii="Times New Roman" w:hAnsi="Times New Roman" w:cs="Times New Roman"/>
          <w:sz w:val="20"/>
          <w:szCs w:val="20"/>
        </w:rPr>
      </w:pPr>
      <m:oMathPara>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w:rPr>
                  <w:rFonts w:ascii="Cambria Math" w:hAnsi="Cambria Math" w:cs="Times New Roman"/>
                  <w:sz w:val="20"/>
                  <w:szCs w:val="20"/>
                  <w:lang w:val="it-IT"/>
                </w:rPr>
                <m:t>k</m:t>
              </m:r>
            </m:sub>
          </m:sSub>
          <m:r>
            <w:rPr>
              <w:rFonts w:ascii="Cambria Math" w:hAnsi="Cambria Math" w:cs="Times New Roman"/>
              <w:sz w:val="20"/>
              <w:szCs w:val="20"/>
            </w:rPr>
            <m:t>=</m:t>
          </m:r>
          <m:r>
            <w:rPr>
              <w:rFonts w:ascii="Cambria Math" w:hAnsi="Cambria Math" w:cs="Times New Roman"/>
              <w:sz w:val="20"/>
              <w:szCs w:val="20"/>
              <w:lang w:val="it-IT"/>
            </w:rPr>
            <m:t>f</m:t>
          </m:r>
          <m:d>
            <m:dPr>
              <m:sepChr m:val=","/>
              <m:ctrlPr>
                <w:rPr>
                  <w:rFonts w:ascii="Cambria Math" w:hAnsi="Cambria Math" w:cs="Times New Roman"/>
                  <w:sz w:val="20"/>
                  <w:szCs w:val="20"/>
                  <w:lang w:val="it-IT"/>
                </w:rPr>
              </m:ctrlPr>
            </m:dPr>
            <m:e>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feed</m:t>
                  </m:r>
                  <m:r>
                    <w:rPr>
                      <w:rFonts w:ascii="Cambria Math" w:hAnsi="Cambria Math" w:cs="Times New Roman"/>
                      <w:sz w:val="20"/>
                      <w:szCs w:val="20"/>
                    </w:rPr>
                    <m:t>,</m:t>
                  </m:r>
                  <m:r>
                    <w:rPr>
                      <w:rFonts w:ascii="Cambria Math" w:hAnsi="Cambria Math" w:cs="Times New Roman"/>
                      <w:sz w:val="20"/>
                      <w:szCs w:val="20"/>
                      <w:lang w:val="it-IT"/>
                    </w:rPr>
                    <m:t>k</m:t>
                  </m:r>
                </m:sub>
              </m:sSub>
            </m:e>
            <m:e>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conv</m:t>
                  </m:r>
                  <m:r>
                    <w:rPr>
                      <w:rFonts w:ascii="Cambria Math" w:hAnsi="Cambria Math" w:cs="Times New Roman"/>
                      <w:sz w:val="20"/>
                      <w:szCs w:val="20"/>
                    </w:rPr>
                    <m:t>,</m:t>
                  </m:r>
                  <m:r>
                    <w:rPr>
                      <w:rFonts w:ascii="Cambria Math" w:hAnsi="Cambria Math" w:cs="Times New Roman"/>
                      <w:sz w:val="20"/>
                      <w:szCs w:val="20"/>
                      <w:lang w:val="it-IT"/>
                    </w:rPr>
                    <m:t>k</m:t>
                  </m:r>
                </m:sub>
              </m:sSub>
            </m:e>
            <m:e>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O&amp;M</m:t>
                  </m:r>
                  <m:r>
                    <w:rPr>
                      <w:rFonts w:ascii="Cambria Math" w:hAnsi="Cambria Math" w:cs="Times New Roman"/>
                      <w:sz w:val="20"/>
                      <w:szCs w:val="20"/>
                    </w:rPr>
                    <m:t>,</m:t>
                  </m:r>
                  <m:r>
                    <w:rPr>
                      <w:rFonts w:ascii="Cambria Math" w:hAnsi="Cambria Math" w:cs="Times New Roman"/>
                      <w:sz w:val="20"/>
                      <w:szCs w:val="20"/>
                      <w:lang w:val="it-IT"/>
                    </w:rPr>
                    <m:t>k</m:t>
                  </m:r>
                </m:sub>
              </m:sSub>
            </m:e>
            <m:e>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m:rPr>
                      <m:nor/>
                    </m:rPr>
                    <w:rPr>
                      <w:rFonts w:ascii="Times New Roman" w:hAnsi="Times New Roman" w:cs="Times New Roman"/>
                      <w:sz w:val="20"/>
                      <w:szCs w:val="20"/>
                    </w:rPr>
                    <m:t>CAPEX</m:t>
                  </m:r>
                  <m:r>
                    <w:rPr>
                      <w:rFonts w:ascii="Cambria Math" w:hAnsi="Cambria Math" w:cs="Times New Roman"/>
                      <w:sz w:val="20"/>
                      <w:szCs w:val="20"/>
                    </w:rPr>
                    <m:t>,</m:t>
                  </m:r>
                  <m:r>
                    <w:rPr>
                      <w:rFonts w:ascii="Cambria Math" w:hAnsi="Cambria Math" w:cs="Times New Roman"/>
                      <w:sz w:val="20"/>
                      <w:szCs w:val="20"/>
                      <w:lang w:val="it-IT"/>
                    </w:rPr>
                    <m:t>k</m:t>
                  </m:r>
                </m:sub>
              </m:sSub>
            </m:e>
          </m:d>
          <m:r>
            <w:rPr>
              <w:rFonts w:ascii="Cambria Math" w:hAnsi="Cambria Math" w:cs="Times New Roman"/>
              <w:sz w:val="20"/>
              <w:szCs w:val="20"/>
            </w:rPr>
            <m:t>,</m:t>
          </m:r>
          <m:r>
            <w:rPr>
              <w:rFonts w:ascii="Cambria Math" w:hAnsi="Cambria Math" w:cs="Times New Roman"/>
              <w:sz w:val="20"/>
              <w:szCs w:val="20"/>
              <w:lang w:val="it-IT"/>
            </w:rPr>
            <m:t>k</m:t>
          </m:r>
          <m:r>
            <w:rPr>
              <w:rFonts w:ascii="Cambria Math" w:hAnsi="Cambria Math" w:cs="Times New Roman"/>
              <w:sz w:val="20"/>
              <w:szCs w:val="20"/>
            </w:rPr>
            <m:t>=1,</m:t>
          </m:r>
          <m:r>
            <m:rPr>
              <m:sty m:val="p"/>
            </m:rPr>
            <w:rPr>
              <w:rFonts w:ascii="Cambria Math" w:hAnsi="Cambria Math" w:cs="Times New Roman"/>
              <w:sz w:val="20"/>
              <w:szCs w:val="20"/>
            </w:rPr>
            <m:t>...</m:t>
          </m:r>
          <m:r>
            <w:rPr>
              <w:rFonts w:ascii="Cambria Math" w:hAnsi="Cambria Math" w:cs="Times New Roman"/>
              <w:sz w:val="20"/>
              <w:szCs w:val="20"/>
            </w:rPr>
            <m:t>,</m:t>
          </m:r>
          <m:r>
            <m:rPr>
              <m:sty m:val="p"/>
            </m:rPr>
            <w:rPr>
              <w:rFonts w:ascii="Cambria Math" w:hAnsi="Cambria Math" w:cs="Times New Roman"/>
              <w:sz w:val="20"/>
              <w:szCs w:val="20"/>
            </w:rPr>
            <m:t>50,000</m:t>
          </m:r>
          <m:r>
            <m:rPr>
              <m:sty m:val="p"/>
            </m:rPr>
            <w:rPr>
              <w:rFonts w:ascii="Cambria Math" w:hAnsi="Cambria Math" w:cs="Times New Roman"/>
              <w:sz w:val="20"/>
              <w:szCs w:val="20"/>
            </w:rPr>
            <w:br/>
          </m:r>
        </m:oMath>
      </m:oMathPara>
    </w:p>
    <w:p w14:paraId="01B82E32" w14:textId="153072B4" w:rsidR="00D27DBB" w:rsidRPr="0003325F" w:rsidRDefault="00D27DBB" w:rsidP="00303DC7">
      <w:pPr>
        <w:jc w:val="both"/>
        <w:rPr>
          <w:rFonts w:ascii="Times New Roman" w:hAnsi="Times New Roman" w:cs="Times New Roman"/>
          <w:sz w:val="20"/>
          <w:szCs w:val="20"/>
        </w:rPr>
      </w:pPr>
      <w:r w:rsidRPr="0003325F">
        <w:rPr>
          <w:rFonts w:ascii="Times New Roman" w:hAnsi="Times New Roman" w:cs="Times New Roman"/>
          <w:sz w:val="20"/>
          <w:szCs w:val="20"/>
        </w:rPr>
        <w:t xml:space="preserve">where each component </w:t>
      </w:r>
      <m:oMath>
        <m:sSub>
          <m:sSubPr>
            <m:ctrlPr>
              <w:rPr>
                <w:rFonts w:ascii="Cambria Math" w:hAnsi="Cambria Math" w:cs="Times New Roman"/>
                <w:sz w:val="20"/>
                <w:szCs w:val="20"/>
                <w:lang w:val="it-IT"/>
              </w:rPr>
            </m:ctrlPr>
          </m:sSubPr>
          <m:e>
            <m:r>
              <w:rPr>
                <w:rFonts w:ascii="Cambria Math" w:hAnsi="Cambria Math" w:cs="Times New Roman"/>
                <w:sz w:val="20"/>
                <w:szCs w:val="20"/>
                <w:lang w:val="it-IT"/>
              </w:rPr>
              <m:t>C</m:t>
            </m:r>
          </m:e>
          <m:sub>
            <m:r>
              <w:rPr>
                <w:rFonts w:ascii="Cambria Math" w:hAnsi="Cambria Math" w:cs="Times New Roman"/>
                <w:sz w:val="20"/>
                <w:szCs w:val="20"/>
              </w:rPr>
              <m:t>⋅,</m:t>
            </m:r>
            <m:r>
              <w:rPr>
                <w:rFonts w:ascii="Cambria Math" w:hAnsi="Cambria Math" w:cs="Times New Roman"/>
                <w:sz w:val="20"/>
                <w:szCs w:val="20"/>
                <w:lang w:val="it-IT"/>
              </w:rPr>
              <m:t>k</m:t>
            </m:r>
          </m:sub>
        </m:sSub>
      </m:oMath>
      <w:r w:rsidRPr="0003325F">
        <w:rPr>
          <w:rFonts w:ascii="Times New Roman" w:hAnsi="Times New Roman" w:cs="Times New Roman"/>
          <w:sz w:val="20"/>
          <w:szCs w:val="20"/>
        </w:rPr>
        <w:t>represents one stochastic draw. Input distributions for conversion and O&amp;M costs followed recommended approaches in TEA literature using empirical variability and expert-informed ranges.</w:t>
      </w:r>
    </w:p>
    <w:p w14:paraId="568D3AF6" w14:textId="380916F1" w:rsidR="00D04BF8" w:rsidRPr="0003325F" w:rsidRDefault="00D04BF8" w:rsidP="00303DC7">
      <w:pPr>
        <w:jc w:val="both"/>
        <w:rPr>
          <w:rFonts w:ascii="Times New Roman" w:hAnsi="Times New Roman" w:cs="Times New Roman"/>
          <w:sz w:val="20"/>
          <w:szCs w:val="20"/>
        </w:rPr>
      </w:pPr>
      <w:r w:rsidRPr="0003325F">
        <w:rPr>
          <w:rFonts w:ascii="Times New Roman" w:hAnsi="Times New Roman" w:cs="Times New Roman"/>
          <w:sz w:val="20"/>
          <w:szCs w:val="20"/>
        </w:rPr>
        <w:t>To quantify the relative influence of each uncertain parameter on total SAF production cost, the Spearman rank correlation coefficient was calculated after completing the simulation</w:t>
      </w:r>
      <w:r w:rsidR="003F3231">
        <w:rPr>
          <w:rFonts w:ascii="Times New Roman" w:hAnsi="Times New Roman" w:cs="Times New Roman"/>
          <w:sz w:val="20"/>
          <w:szCs w:val="20"/>
        </w:rPr>
        <w:t xml:space="preserve"> for both feedstocks</w:t>
      </w:r>
      <w:r w:rsidRPr="0003325F">
        <w:rPr>
          <w:rFonts w:ascii="Times New Roman" w:hAnsi="Times New Roman" w:cs="Times New Roman"/>
          <w:sz w:val="20"/>
          <w:szCs w:val="20"/>
        </w:rPr>
        <w:t>. The Spearman coefficient measures the strength of the monotonic relationship between each model input and the resulting SAF cost. Unlike linear correlation, Spearman correlation does not assume linearity and is therefore appropriate for skewed, non-normal or non-linear distributions such as feedstock prices. Parameters with coefficients closer to ±1 exert the strongest influence on total cost variability.</w:t>
      </w:r>
    </w:p>
    <w:p w14:paraId="6EC3598F" w14:textId="77777777" w:rsidR="00146BFF" w:rsidRPr="0003325F" w:rsidRDefault="00146BFF" w:rsidP="00303DC7">
      <w:pPr>
        <w:pStyle w:val="Paragrafoelenco"/>
        <w:keepNext/>
        <w:widowControl w:val="0"/>
        <w:spacing w:before="120" w:after="240"/>
        <w:ind w:left="792" w:hanging="432"/>
        <w:jc w:val="both"/>
        <w:outlineLvl w:val="1"/>
        <w:rPr>
          <w:rFonts w:ascii="Times New Roman" w:eastAsia="SimSun" w:hAnsi="Times New Roman" w:cs="Times New Roman"/>
          <w:b/>
          <w:bCs/>
          <w:sz w:val="20"/>
          <w:szCs w:val="20"/>
          <w:lang w:val="en-GB"/>
        </w:rPr>
      </w:pPr>
      <w:r w:rsidRPr="0003325F">
        <w:rPr>
          <w:rFonts w:ascii="Times New Roman" w:eastAsia="SimSun" w:hAnsi="Times New Roman" w:cs="Times New Roman"/>
          <w:b/>
          <w:bCs/>
          <w:sz w:val="20"/>
          <w:szCs w:val="20"/>
          <w:lang w:val="en-GB"/>
        </w:rPr>
        <w:t>A.5 Results of the uncertainty analysis</w:t>
      </w:r>
    </w:p>
    <w:p w14:paraId="574FB896" w14:textId="00F2DC92" w:rsidR="00146BFF" w:rsidRPr="0003325F" w:rsidRDefault="00146BFF" w:rsidP="00303DC7">
      <w:pPr>
        <w:jc w:val="both"/>
        <w:rPr>
          <w:rFonts w:ascii="Times New Roman" w:hAnsi="Times New Roman" w:cs="Times New Roman"/>
          <w:sz w:val="20"/>
          <w:szCs w:val="20"/>
        </w:rPr>
      </w:pPr>
      <w:r w:rsidRPr="0003325F">
        <w:rPr>
          <w:rFonts w:ascii="Times New Roman" w:hAnsi="Times New Roman" w:cs="Times New Roman"/>
          <w:sz w:val="20"/>
          <w:szCs w:val="20"/>
        </w:rPr>
        <w:t>Figure A1 presents the probability density functions of SAF production cost for camelina oil and UCO derived from the Monte Carlo simulation. Figures A2 and A3 present the corresponding Spearman sensitivity analysis for each pathway. Table A</w:t>
      </w:r>
      <w:r w:rsidR="00B60BAD">
        <w:rPr>
          <w:rFonts w:ascii="Times New Roman" w:hAnsi="Times New Roman" w:cs="Times New Roman"/>
          <w:sz w:val="20"/>
          <w:szCs w:val="20"/>
        </w:rPr>
        <w:t>2</w:t>
      </w:r>
      <w:r w:rsidRPr="0003325F">
        <w:rPr>
          <w:rFonts w:ascii="Times New Roman" w:hAnsi="Times New Roman" w:cs="Times New Roman"/>
          <w:sz w:val="20"/>
          <w:szCs w:val="20"/>
        </w:rPr>
        <w:t xml:space="preserve"> reports descriptive statistics for both cost distributions.</w:t>
      </w:r>
    </w:p>
    <w:p w14:paraId="28693E9E" w14:textId="1334BAA0" w:rsidR="00146BFF" w:rsidRPr="0003325F" w:rsidRDefault="00CC5193" w:rsidP="003F3231">
      <w:pPr>
        <w:jc w:val="center"/>
        <w:rPr>
          <w:rFonts w:ascii="Times New Roman" w:hAnsi="Times New Roman" w:cs="Times New Roman"/>
          <w:sz w:val="20"/>
          <w:szCs w:val="20"/>
        </w:rPr>
      </w:pPr>
      <w:r>
        <w:rPr>
          <w:noProof/>
        </w:rPr>
        <w:drawing>
          <wp:inline distT="0" distB="0" distL="0" distR="0" wp14:anchorId="68E859AC" wp14:editId="7852887E">
            <wp:extent cx="5029200" cy="3143250"/>
            <wp:effectExtent l="0" t="0" r="0" b="0"/>
            <wp:docPr id="1" name="Picture 1" descr="Immagine che contiene testo, diagramma, Diagramma,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magine che contiene testo, diagramma, Diagramma, linea&#10;&#10;Il contenuto generato dall'IA potrebbe non essere corretto."/>
                    <pic:cNvPicPr/>
                  </pic:nvPicPr>
                  <pic:blipFill>
                    <a:blip r:embed="rId9"/>
                    <a:stretch>
                      <a:fillRect/>
                    </a:stretch>
                  </pic:blipFill>
                  <pic:spPr>
                    <a:xfrm>
                      <a:off x="0" y="0"/>
                      <a:ext cx="5029200" cy="3143250"/>
                    </a:xfrm>
                    <a:prstGeom prst="rect">
                      <a:avLst/>
                    </a:prstGeom>
                  </pic:spPr>
                </pic:pic>
              </a:graphicData>
            </a:graphic>
          </wp:inline>
        </w:drawing>
      </w:r>
    </w:p>
    <w:p w14:paraId="6893EAFE" w14:textId="77777777" w:rsidR="00146BFF" w:rsidRPr="0003325F" w:rsidRDefault="00146BFF" w:rsidP="003F3231">
      <w:pPr>
        <w:jc w:val="center"/>
        <w:rPr>
          <w:rFonts w:ascii="Times New Roman" w:hAnsi="Times New Roman" w:cs="Times New Roman"/>
          <w:sz w:val="20"/>
          <w:szCs w:val="20"/>
        </w:rPr>
      </w:pPr>
      <w:r w:rsidRPr="0003325F">
        <w:rPr>
          <w:rFonts w:ascii="Times New Roman" w:hAnsi="Times New Roman" w:cs="Times New Roman"/>
          <w:sz w:val="20"/>
          <w:szCs w:val="20"/>
        </w:rPr>
        <w:t>Figure A1. Monte Carlo distribution (50,000 iterations) of SAF production cost for camelina oil and UCO.</w:t>
      </w:r>
    </w:p>
    <w:p w14:paraId="0DAB09F0" w14:textId="05D4CD75" w:rsidR="00146BFF" w:rsidRPr="0003325F" w:rsidRDefault="00334F7A" w:rsidP="003F3231">
      <w:pPr>
        <w:jc w:val="center"/>
        <w:rPr>
          <w:rFonts w:ascii="Times New Roman" w:hAnsi="Times New Roman" w:cs="Times New Roman"/>
          <w:sz w:val="20"/>
          <w:szCs w:val="20"/>
        </w:rPr>
      </w:pPr>
      <w:r>
        <w:rPr>
          <w:noProof/>
        </w:rPr>
        <w:lastRenderedPageBreak/>
        <w:drawing>
          <wp:inline distT="0" distB="0" distL="0" distR="0" wp14:anchorId="4FDAA89E" wp14:editId="7E5F7A51">
            <wp:extent cx="4320000" cy="2880000"/>
            <wp:effectExtent l="0" t="0" r="4445" b="0"/>
            <wp:docPr id="2" name="Picture 2" descr="Immagine che contiene testo, schermata, Rettangolo,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mmagine che contiene testo, schermata, Rettangolo, linea&#10;&#10;Il contenuto generato dall'IA potrebbe non essere corretto."/>
                    <pic:cNvPicPr/>
                  </pic:nvPicPr>
                  <pic:blipFill>
                    <a:blip r:embed="rId10"/>
                    <a:stretch>
                      <a:fillRect/>
                    </a:stretch>
                  </pic:blipFill>
                  <pic:spPr>
                    <a:xfrm>
                      <a:off x="0" y="0"/>
                      <a:ext cx="4320000" cy="2880000"/>
                    </a:xfrm>
                    <a:prstGeom prst="rect">
                      <a:avLst/>
                    </a:prstGeom>
                  </pic:spPr>
                </pic:pic>
              </a:graphicData>
            </a:graphic>
          </wp:inline>
        </w:drawing>
      </w:r>
    </w:p>
    <w:p w14:paraId="75A8F2BB" w14:textId="77777777" w:rsidR="00146BFF" w:rsidRPr="0003325F" w:rsidRDefault="00146BFF" w:rsidP="003F3231">
      <w:pPr>
        <w:jc w:val="center"/>
        <w:rPr>
          <w:rFonts w:ascii="Times New Roman" w:hAnsi="Times New Roman" w:cs="Times New Roman"/>
          <w:sz w:val="20"/>
          <w:szCs w:val="20"/>
        </w:rPr>
      </w:pPr>
      <w:r w:rsidRPr="0003325F">
        <w:rPr>
          <w:rFonts w:ascii="Times New Roman" w:hAnsi="Times New Roman" w:cs="Times New Roman"/>
          <w:sz w:val="20"/>
          <w:szCs w:val="20"/>
        </w:rPr>
        <w:t>Figure A2. Sensitivity of SAF production cost to uncertain parameters for the camelina pathway (Spearman rank correlation).</w:t>
      </w:r>
    </w:p>
    <w:p w14:paraId="6D74F920" w14:textId="15DB5E92" w:rsidR="00146BFF" w:rsidRPr="0003325F" w:rsidRDefault="00E81347" w:rsidP="003F3231">
      <w:pPr>
        <w:jc w:val="center"/>
        <w:rPr>
          <w:rFonts w:ascii="Times New Roman" w:hAnsi="Times New Roman" w:cs="Times New Roman"/>
          <w:sz w:val="20"/>
          <w:szCs w:val="20"/>
        </w:rPr>
      </w:pPr>
      <w:r>
        <w:rPr>
          <w:noProof/>
        </w:rPr>
        <w:drawing>
          <wp:inline distT="0" distB="0" distL="0" distR="0" wp14:anchorId="1BC7C90E" wp14:editId="601C5D9A">
            <wp:extent cx="4320000" cy="2880001"/>
            <wp:effectExtent l="0" t="0" r="4445" b="0"/>
            <wp:docPr id="3" name="Picture 3" descr="Immagine che contiene testo, Rettangolo, diagramma,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magine che contiene testo, Rettangolo, diagramma, linea&#10;&#10;Il contenuto generato dall'IA potrebbe non essere corretto."/>
                    <pic:cNvPicPr/>
                  </pic:nvPicPr>
                  <pic:blipFill>
                    <a:blip r:embed="rId11"/>
                    <a:stretch>
                      <a:fillRect/>
                    </a:stretch>
                  </pic:blipFill>
                  <pic:spPr>
                    <a:xfrm>
                      <a:off x="0" y="0"/>
                      <a:ext cx="4320000" cy="2880001"/>
                    </a:xfrm>
                    <a:prstGeom prst="rect">
                      <a:avLst/>
                    </a:prstGeom>
                  </pic:spPr>
                </pic:pic>
              </a:graphicData>
            </a:graphic>
          </wp:inline>
        </w:drawing>
      </w:r>
    </w:p>
    <w:p w14:paraId="3B8630F1" w14:textId="77777777" w:rsidR="00146BFF" w:rsidRPr="0003325F" w:rsidRDefault="00146BFF" w:rsidP="003F3231">
      <w:pPr>
        <w:jc w:val="center"/>
        <w:rPr>
          <w:rFonts w:ascii="Times New Roman" w:hAnsi="Times New Roman" w:cs="Times New Roman"/>
          <w:sz w:val="20"/>
          <w:szCs w:val="20"/>
        </w:rPr>
      </w:pPr>
      <w:r w:rsidRPr="0003325F">
        <w:rPr>
          <w:rFonts w:ascii="Times New Roman" w:hAnsi="Times New Roman" w:cs="Times New Roman"/>
          <w:sz w:val="20"/>
          <w:szCs w:val="20"/>
        </w:rPr>
        <w:t>Figure A3. Sensitivity of SAF production cost to uncertain parameters for the UCO pathway (Spearman rank correlation).</w:t>
      </w:r>
    </w:p>
    <w:p w14:paraId="6BDADA66" w14:textId="77777777" w:rsidR="0003325F" w:rsidRDefault="0003325F" w:rsidP="003F3231">
      <w:pPr>
        <w:jc w:val="center"/>
        <w:rPr>
          <w:rFonts w:ascii="Times New Roman" w:hAnsi="Times New Roman" w:cs="Times New Roman"/>
          <w:sz w:val="20"/>
          <w:szCs w:val="20"/>
        </w:rPr>
      </w:pPr>
    </w:p>
    <w:p w14:paraId="68DAE62B" w14:textId="77777777" w:rsidR="001928BC" w:rsidRPr="0003325F" w:rsidRDefault="001928BC" w:rsidP="003F3231">
      <w:pPr>
        <w:jc w:val="center"/>
        <w:rPr>
          <w:rFonts w:ascii="Times New Roman" w:hAnsi="Times New Roman" w:cs="Times New Roman"/>
          <w:sz w:val="20"/>
          <w:szCs w:val="20"/>
        </w:rPr>
      </w:pPr>
    </w:p>
    <w:p w14:paraId="2610722E" w14:textId="3CE5A957" w:rsidR="00146BFF" w:rsidRDefault="00146BFF" w:rsidP="003F3231">
      <w:pPr>
        <w:keepNext/>
        <w:keepLines/>
        <w:spacing w:before="200" w:after="0"/>
        <w:jc w:val="center"/>
        <w:outlineLvl w:val="2"/>
        <w:rPr>
          <w:rFonts w:ascii="Times New Roman" w:eastAsiaTheme="majorEastAsia" w:hAnsi="Times New Roman" w:cs="Times New Roman"/>
          <w:sz w:val="20"/>
          <w:szCs w:val="20"/>
        </w:rPr>
      </w:pPr>
      <w:r w:rsidRPr="003F3231">
        <w:rPr>
          <w:rFonts w:ascii="Times New Roman" w:eastAsiaTheme="majorEastAsia" w:hAnsi="Times New Roman" w:cs="Times New Roman"/>
          <w:sz w:val="20"/>
          <w:szCs w:val="20"/>
        </w:rPr>
        <w:lastRenderedPageBreak/>
        <w:t>Table A</w:t>
      </w:r>
      <w:r w:rsidR="00B60BAD">
        <w:rPr>
          <w:rFonts w:ascii="Times New Roman" w:eastAsiaTheme="majorEastAsia" w:hAnsi="Times New Roman" w:cs="Times New Roman"/>
          <w:sz w:val="20"/>
          <w:szCs w:val="20"/>
        </w:rPr>
        <w:t>2</w:t>
      </w:r>
      <w:r w:rsidRPr="003F3231">
        <w:rPr>
          <w:rFonts w:ascii="Times New Roman" w:eastAsiaTheme="majorEastAsia" w:hAnsi="Times New Roman" w:cs="Times New Roman"/>
          <w:sz w:val="20"/>
          <w:szCs w:val="20"/>
        </w:rPr>
        <w:t>. Summary statistics of simulated SAF production cost</w:t>
      </w:r>
      <w:r w:rsidR="00956625">
        <w:rPr>
          <w:rFonts w:ascii="Times New Roman" w:eastAsiaTheme="majorEastAsia" w:hAnsi="Times New Roman" w:cs="Times New Roman"/>
          <w:sz w:val="20"/>
          <w:szCs w:val="20"/>
        </w:rPr>
        <w:t xml:space="preserve"> (€ t</w:t>
      </w:r>
      <w:r w:rsidR="00956625" w:rsidRPr="00956625">
        <w:rPr>
          <w:rFonts w:ascii="Times New Roman" w:eastAsiaTheme="majorEastAsia" w:hAnsi="Times New Roman" w:cs="Times New Roman"/>
          <w:sz w:val="20"/>
          <w:szCs w:val="20"/>
          <w:vertAlign w:val="superscript"/>
        </w:rPr>
        <w:t>-1</w:t>
      </w:r>
      <w:r w:rsidR="00956625">
        <w:rPr>
          <w:rFonts w:ascii="Times New Roman" w:eastAsiaTheme="majorEastAsia" w:hAnsi="Times New Roman" w:cs="Times New Roman"/>
          <w:sz w:val="20"/>
          <w:szCs w:val="20"/>
        </w:rPr>
        <w:t>)</w:t>
      </w:r>
    </w:p>
    <w:p w14:paraId="1A833A30" w14:textId="77777777" w:rsidR="003F3231" w:rsidRPr="003F3231" w:rsidRDefault="003F3231" w:rsidP="003F3231">
      <w:pPr>
        <w:keepNext/>
        <w:keepLines/>
        <w:spacing w:before="200" w:after="0"/>
        <w:jc w:val="center"/>
        <w:outlineLvl w:val="2"/>
        <w:rPr>
          <w:rFonts w:ascii="Times New Roman" w:eastAsiaTheme="majorEastAsia" w:hAnsi="Times New Roman" w:cs="Times New Roman"/>
          <w:sz w:val="20"/>
          <w:szCs w:val="20"/>
        </w:rPr>
      </w:pPr>
    </w:p>
    <w:tbl>
      <w:tblPr>
        <w:tblW w:w="0" w:type="auto"/>
        <w:tblLook w:val="04A0" w:firstRow="1" w:lastRow="0" w:firstColumn="1" w:lastColumn="0" w:noHBand="0" w:noVBand="1"/>
      </w:tblPr>
      <w:tblGrid>
        <w:gridCol w:w="1234"/>
        <w:gridCol w:w="1234"/>
        <w:gridCol w:w="1234"/>
        <w:gridCol w:w="1234"/>
        <w:gridCol w:w="1234"/>
        <w:gridCol w:w="1234"/>
        <w:gridCol w:w="1234"/>
      </w:tblGrid>
      <w:tr w:rsidR="00956625" w:rsidRPr="00956625" w14:paraId="22544933" w14:textId="77777777" w:rsidTr="00956625">
        <w:tc>
          <w:tcPr>
            <w:tcW w:w="1234" w:type="dxa"/>
            <w:tcBorders>
              <w:bottom w:val="single" w:sz="4" w:space="0" w:color="auto"/>
            </w:tcBorders>
          </w:tcPr>
          <w:p w14:paraId="5B5F89ED"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Statistic</w:t>
            </w:r>
          </w:p>
        </w:tc>
        <w:tc>
          <w:tcPr>
            <w:tcW w:w="1234" w:type="dxa"/>
            <w:tcBorders>
              <w:bottom w:val="single" w:sz="4" w:space="0" w:color="auto"/>
            </w:tcBorders>
          </w:tcPr>
          <w:p w14:paraId="7B3B36B7"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Camelina Feedstock</w:t>
            </w:r>
          </w:p>
        </w:tc>
        <w:tc>
          <w:tcPr>
            <w:tcW w:w="1234" w:type="dxa"/>
            <w:tcBorders>
              <w:bottom w:val="single" w:sz="4" w:space="0" w:color="auto"/>
            </w:tcBorders>
          </w:tcPr>
          <w:p w14:paraId="29AF00B8"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Camelina Process</w:t>
            </w:r>
          </w:p>
        </w:tc>
        <w:tc>
          <w:tcPr>
            <w:tcW w:w="1234" w:type="dxa"/>
            <w:tcBorders>
              <w:bottom w:val="single" w:sz="4" w:space="0" w:color="auto"/>
            </w:tcBorders>
          </w:tcPr>
          <w:p w14:paraId="39BB5E99"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Camelina SAF</w:t>
            </w:r>
          </w:p>
        </w:tc>
        <w:tc>
          <w:tcPr>
            <w:tcW w:w="1234" w:type="dxa"/>
            <w:tcBorders>
              <w:bottom w:val="single" w:sz="4" w:space="0" w:color="auto"/>
            </w:tcBorders>
          </w:tcPr>
          <w:p w14:paraId="6428DF8F"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UCO Feedstock</w:t>
            </w:r>
          </w:p>
        </w:tc>
        <w:tc>
          <w:tcPr>
            <w:tcW w:w="1234" w:type="dxa"/>
            <w:tcBorders>
              <w:bottom w:val="single" w:sz="4" w:space="0" w:color="auto"/>
            </w:tcBorders>
          </w:tcPr>
          <w:p w14:paraId="0F1551D6"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UCO Process</w:t>
            </w:r>
          </w:p>
        </w:tc>
        <w:tc>
          <w:tcPr>
            <w:tcW w:w="1234" w:type="dxa"/>
            <w:tcBorders>
              <w:bottom w:val="single" w:sz="4" w:space="0" w:color="auto"/>
            </w:tcBorders>
          </w:tcPr>
          <w:p w14:paraId="3FF12CE6"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UCO SAF</w:t>
            </w:r>
          </w:p>
        </w:tc>
      </w:tr>
      <w:tr w:rsidR="00956625" w:rsidRPr="00956625" w14:paraId="51B717EB" w14:textId="77777777" w:rsidTr="00956625">
        <w:tc>
          <w:tcPr>
            <w:tcW w:w="1234" w:type="dxa"/>
            <w:tcBorders>
              <w:top w:val="single" w:sz="4" w:space="0" w:color="auto"/>
            </w:tcBorders>
          </w:tcPr>
          <w:p w14:paraId="1688F49C"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Mean</w:t>
            </w:r>
          </w:p>
        </w:tc>
        <w:tc>
          <w:tcPr>
            <w:tcW w:w="1234" w:type="dxa"/>
            <w:tcBorders>
              <w:top w:val="single" w:sz="4" w:space="0" w:color="auto"/>
            </w:tcBorders>
          </w:tcPr>
          <w:p w14:paraId="1F1CB84D"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1326</w:t>
            </w:r>
          </w:p>
        </w:tc>
        <w:tc>
          <w:tcPr>
            <w:tcW w:w="1234" w:type="dxa"/>
            <w:tcBorders>
              <w:top w:val="single" w:sz="4" w:space="0" w:color="auto"/>
            </w:tcBorders>
          </w:tcPr>
          <w:p w14:paraId="2BD71B38"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650</w:t>
            </w:r>
          </w:p>
        </w:tc>
        <w:tc>
          <w:tcPr>
            <w:tcW w:w="1234" w:type="dxa"/>
            <w:tcBorders>
              <w:top w:val="single" w:sz="4" w:space="0" w:color="auto"/>
            </w:tcBorders>
          </w:tcPr>
          <w:p w14:paraId="763C047D"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2220</w:t>
            </w:r>
          </w:p>
        </w:tc>
        <w:tc>
          <w:tcPr>
            <w:tcW w:w="1234" w:type="dxa"/>
            <w:tcBorders>
              <w:top w:val="single" w:sz="4" w:space="0" w:color="auto"/>
            </w:tcBorders>
          </w:tcPr>
          <w:p w14:paraId="778524BF"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948</w:t>
            </w:r>
          </w:p>
        </w:tc>
        <w:tc>
          <w:tcPr>
            <w:tcW w:w="1234" w:type="dxa"/>
            <w:tcBorders>
              <w:top w:val="single" w:sz="4" w:space="0" w:color="auto"/>
            </w:tcBorders>
          </w:tcPr>
          <w:p w14:paraId="49DF9E9C"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651</w:t>
            </w:r>
          </w:p>
        </w:tc>
        <w:tc>
          <w:tcPr>
            <w:tcW w:w="1234" w:type="dxa"/>
            <w:tcBorders>
              <w:top w:val="single" w:sz="4" w:space="0" w:color="auto"/>
            </w:tcBorders>
          </w:tcPr>
          <w:p w14:paraId="22D49DD1"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1797</w:t>
            </w:r>
          </w:p>
        </w:tc>
      </w:tr>
      <w:tr w:rsidR="00956625" w:rsidRPr="00956625" w14:paraId="457D256B" w14:textId="77777777">
        <w:tc>
          <w:tcPr>
            <w:tcW w:w="1234" w:type="dxa"/>
          </w:tcPr>
          <w:p w14:paraId="781D66AA"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Median</w:t>
            </w:r>
          </w:p>
        </w:tc>
        <w:tc>
          <w:tcPr>
            <w:tcW w:w="1234" w:type="dxa"/>
          </w:tcPr>
          <w:p w14:paraId="1AF86EDD"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1299</w:t>
            </w:r>
          </w:p>
        </w:tc>
        <w:tc>
          <w:tcPr>
            <w:tcW w:w="1234" w:type="dxa"/>
          </w:tcPr>
          <w:p w14:paraId="47C1C55D"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636</w:t>
            </w:r>
          </w:p>
        </w:tc>
        <w:tc>
          <w:tcPr>
            <w:tcW w:w="1234" w:type="dxa"/>
          </w:tcPr>
          <w:p w14:paraId="6FBD59A6"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2193</w:t>
            </w:r>
          </w:p>
        </w:tc>
        <w:tc>
          <w:tcPr>
            <w:tcW w:w="1234" w:type="dxa"/>
          </w:tcPr>
          <w:p w14:paraId="4E251F7A"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919</w:t>
            </w:r>
          </w:p>
        </w:tc>
        <w:tc>
          <w:tcPr>
            <w:tcW w:w="1234" w:type="dxa"/>
          </w:tcPr>
          <w:p w14:paraId="01357400"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636</w:t>
            </w:r>
          </w:p>
        </w:tc>
        <w:tc>
          <w:tcPr>
            <w:tcW w:w="1234" w:type="dxa"/>
          </w:tcPr>
          <w:p w14:paraId="7AAFCDF5"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1768</w:t>
            </w:r>
          </w:p>
        </w:tc>
      </w:tr>
      <w:tr w:rsidR="00956625" w:rsidRPr="00956625" w14:paraId="31973934" w14:textId="77777777">
        <w:tc>
          <w:tcPr>
            <w:tcW w:w="1234" w:type="dxa"/>
          </w:tcPr>
          <w:p w14:paraId="45F343AC" w14:textId="0821A959"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5</w:t>
            </w:r>
            <w:r w:rsidRPr="00430409">
              <w:rPr>
                <w:rFonts w:ascii="Times New Roman" w:hAnsi="Times New Roman" w:cs="Times New Roman"/>
                <w:sz w:val="20"/>
                <w:szCs w:val="20"/>
                <w:vertAlign w:val="superscript"/>
              </w:rPr>
              <w:t>th</w:t>
            </w:r>
            <w:r w:rsidR="00430409">
              <w:rPr>
                <w:rFonts w:ascii="Times New Roman" w:hAnsi="Times New Roman" w:cs="Times New Roman"/>
                <w:sz w:val="20"/>
                <w:szCs w:val="20"/>
              </w:rPr>
              <w:t xml:space="preserve"> </w:t>
            </w:r>
            <w:r w:rsidRPr="00956625">
              <w:rPr>
                <w:rFonts w:ascii="Times New Roman" w:hAnsi="Times New Roman" w:cs="Times New Roman"/>
                <w:sz w:val="20"/>
                <w:szCs w:val="20"/>
              </w:rPr>
              <w:t xml:space="preserve"> percentile</w:t>
            </w:r>
          </w:p>
        </w:tc>
        <w:tc>
          <w:tcPr>
            <w:tcW w:w="1234" w:type="dxa"/>
          </w:tcPr>
          <w:p w14:paraId="2077E4D2"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938</w:t>
            </w:r>
          </w:p>
        </w:tc>
        <w:tc>
          <w:tcPr>
            <w:tcW w:w="1234" w:type="dxa"/>
          </w:tcPr>
          <w:p w14:paraId="3291FCC5"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464</w:t>
            </w:r>
          </w:p>
        </w:tc>
        <w:tc>
          <w:tcPr>
            <w:tcW w:w="1234" w:type="dxa"/>
          </w:tcPr>
          <w:p w14:paraId="259AD90D"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1723</w:t>
            </w:r>
          </w:p>
        </w:tc>
        <w:tc>
          <w:tcPr>
            <w:tcW w:w="1234" w:type="dxa"/>
          </w:tcPr>
          <w:p w14:paraId="40858623"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635</w:t>
            </w:r>
          </w:p>
        </w:tc>
        <w:tc>
          <w:tcPr>
            <w:tcW w:w="1234" w:type="dxa"/>
          </w:tcPr>
          <w:p w14:paraId="5D77D251"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464</w:t>
            </w:r>
          </w:p>
        </w:tc>
        <w:tc>
          <w:tcPr>
            <w:tcW w:w="1234" w:type="dxa"/>
          </w:tcPr>
          <w:p w14:paraId="58CC52F4"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1350</w:t>
            </w:r>
          </w:p>
        </w:tc>
      </w:tr>
      <w:tr w:rsidR="00956625" w:rsidRPr="00956625" w14:paraId="550A1B1E" w14:textId="77777777">
        <w:tc>
          <w:tcPr>
            <w:tcW w:w="1234" w:type="dxa"/>
          </w:tcPr>
          <w:p w14:paraId="117A3C36" w14:textId="0E6A70FC"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95</w:t>
            </w:r>
            <w:r w:rsidRPr="00430409">
              <w:rPr>
                <w:rFonts w:ascii="Times New Roman" w:hAnsi="Times New Roman" w:cs="Times New Roman"/>
                <w:sz w:val="20"/>
                <w:szCs w:val="20"/>
                <w:vertAlign w:val="superscript"/>
              </w:rPr>
              <w:t>th</w:t>
            </w:r>
            <w:r w:rsidR="00430409">
              <w:rPr>
                <w:rFonts w:ascii="Times New Roman" w:hAnsi="Times New Roman" w:cs="Times New Roman"/>
                <w:sz w:val="20"/>
                <w:szCs w:val="20"/>
              </w:rPr>
              <w:t xml:space="preserve"> </w:t>
            </w:r>
            <w:r w:rsidRPr="00956625">
              <w:rPr>
                <w:rFonts w:ascii="Times New Roman" w:hAnsi="Times New Roman" w:cs="Times New Roman"/>
                <w:sz w:val="20"/>
                <w:szCs w:val="20"/>
              </w:rPr>
              <w:t xml:space="preserve"> percentile</w:t>
            </w:r>
          </w:p>
        </w:tc>
        <w:tc>
          <w:tcPr>
            <w:tcW w:w="1234" w:type="dxa"/>
          </w:tcPr>
          <w:p w14:paraId="19649F90"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1804</w:t>
            </w:r>
          </w:p>
        </w:tc>
        <w:tc>
          <w:tcPr>
            <w:tcW w:w="1234" w:type="dxa"/>
          </w:tcPr>
          <w:p w14:paraId="444A16C7"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886</w:t>
            </w:r>
          </w:p>
        </w:tc>
        <w:tc>
          <w:tcPr>
            <w:tcW w:w="1234" w:type="dxa"/>
          </w:tcPr>
          <w:p w14:paraId="6958A45C"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2810</w:t>
            </w:r>
          </w:p>
        </w:tc>
        <w:tc>
          <w:tcPr>
            <w:tcW w:w="1234" w:type="dxa"/>
          </w:tcPr>
          <w:p w14:paraId="08A655FC"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1343</w:t>
            </w:r>
          </w:p>
        </w:tc>
        <w:tc>
          <w:tcPr>
            <w:tcW w:w="1234" w:type="dxa"/>
          </w:tcPr>
          <w:p w14:paraId="703D61FC"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889</w:t>
            </w:r>
          </w:p>
        </w:tc>
        <w:tc>
          <w:tcPr>
            <w:tcW w:w="1234" w:type="dxa"/>
          </w:tcPr>
          <w:p w14:paraId="7DE4FEA6"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2335</w:t>
            </w:r>
          </w:p>
        </w:tc>
      </w:tr>
      <w:tr w:rsidR="00956625" w:rsidRPr="00956625" w14:paraId="6E16D789" w14:textId="77777777">
        <w:tc>
          <w:tcPr>
            <w:tcW w:w="1234" w:type="dxa"/>
          </w:tcPr>
          <w:p w14:paraId="7FBF2EA1" w14:textId="747D3A42"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St</w:t>
            </w:r>
            <w:r w:rsidR="00430409">
              <w:rPr>
                <w:rFonts w:ascii="Times New Roman" w:hAnsi="Times New Roman" w:cs="Times New Roman"/>
                <w:sz w:val="20"/>
                <w:szCs w:val="20"/>
              </w:rPr>
              <w:t>andard</w:t>
            </w:r>
            <w:r w:rsidRPr="00956625">
              <w:rPr>
                <w:rFonts w:ascii="Times New Roman" w:hAnsi="Times New Roman" w:cs="Times New Roman"/>
                <w:sz w:val="20"/>
                <w:szCs w:val="20"/>
              </w:rPr>
              <w:t xml:space="preserve"> dev</w:t>
            </w:r>
            <w:r w:rsidR="00430409">
              <w:rPr>
                <w:rFonts w:ascii="Times New Roman" w:hAnsi="Times New Roman" w:cs="Times New Roman"/>
                <w:sz w:val="20"/>
                <w:szCs w:val="20"/>
              </w:rPr>
              <w:t>iation</w:t>
            </w:r>
          </w:p>
        </w:tc>
        <w:tc>
          <w:tcPr>
            <w:tcW w:w="1234" w:type="dxa"/>
          </w:tcPr>
          <w:p w14:paraId="646CC36F"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266</w:t>
            </w:r>
          </w:p>
        </w:tc>
        <w:tc>
          <w:tcPr>
            <w:tcW w:w="1234" w:type="dxa"/>
          </w:tcPr>
          <w:p w14:paraId="3B92575C"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130</w:t>
            </w:r>
          </w:p>
        </w:tc>
        <w:tc>
          <w:tcPr>
            <w:tcW w:w="1234" w:type="dxa"/>
          </w:tcPr>
          <w:p w14:paraId="782E3CAF"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333</w:t>
            </w:r>
          </w:p>
        </w:tc>
        <w:tc>
          <w:tcPr>
            <w:tcW w:w="1234" w:type="dxa"/>
          </w:tcPr>
          <w:p w14:paraId="20DB04BB"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233</w:t>
            </w:r>
          </w:p>
        </w:tc>
        <w:tc>
          <w:tcPr>
            <w:tcW w:w="1234" w:type="dxa"/>
          </w:tcPr>
          <w:p w14:paraId="0D5136DB"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131</w:t>
            </w:r>
          </w:p>
        </w:tc>
        <w:tc>
          <w:tcPr>
            <w:tcW w:w="1234" w:type="dxa"/>
          </w:tcPr>
          <w:p w14:paraId="7FB21685" w14:textId="77777777" w:rsidR="00956625" w:rsidRPr="00956625" w:rsidRDefault="00956625">
            <w:pPr>
              <w:rPr>
                <w:rFonts w:ascii="Times New Roman" w:hAnsi="Times New Roman" w:cs="Times New Roman"/>
                <w:sz w:val="20"/>
                <w:szCs w:val="20"/>
              </w:rPr>
            </w:pPr>
            <w:r w:rsidRPr="00956625">
              <w:rPr>
                <w:rFonts w:ascii="Times New Roman" w:hAnsi="Times New Roman" w:cs="Times New Roman"/>
                <w:sz w:val="20"/>
                <w:szCs w:val="20"/>
              </w:rPr>
              <w:t>305</w:t>
            </w:r>
          </w:p>
        </w:tc>
      </w:tr>
    </w:tbl>
    <w:p w14:paraId="7030DEC8" w14:textId="77777777" w:rsidR="0003325F" w:rsidRPr="0003325F" w:rsidRDefault="0003325F" w:rsidP="00B87D4D">
      <w:pPr>
        <w:widowControl w:val="0"/>
        <w:spacing w:after="120"/>
        <w:jc w:val="both"/>
        <w:rPr>
          <w:rFonts w:ascii="Times New Roman" w:eastAsia="SimSun" w:hAnsi="Times New Roman" w:cs="Times New Roman"/>
          <w:sz w:val="20"/>
          <w:szCs w:val="20"/>
        </w:rPr>
      </w:pPr>
    </w:p>
    <w:p w14:paraId="7BC0F9FB" w14:textId="34FB3F43" w:rsidR="00B87D4D" w:rsidRDefault="00B87D4D" w:rsidP="00B87D4D">
      <w:pPr>
        <w:widowControl w:val="0"/>
        <w:spacing w:after="120"/>
        <w:jc w:val="both"/>
        <w:rPr>
          <w:rFonts w:ascii="Times New Roman" w:eastAsia="SimSun" w:hAnsi="Times New Roman" w:cs="Times New Roman"/>
          <w:sz w:val="20"/>
          <w:szCs w:val="20"/>
        </w:rPr>
      </w:pPr>
      <w:r w:rsidRPr="00B87D4D">
        <w:rPr>
          <w:rFonts w:ascii="Times New Roman" w:eastAsia="SimSun" w:hAnsi="Times New Roman" w:cs="Times New Roman"/>
          <w:sz w:val="20"/>
          <w:szCs w:val="20"/>
        </w:rPr>
        <w:t>The results show that the mean SAF cost from camelina oil is approximately 2,</w:t>
      </w:r>
      <w:r w:rsidR="003525FD">
        <w:rPr>
          <w:rFonts w:ascii="Times New Roman" w:eastAsia="SimSun" w:hAnsi="Times New Roman" w:cs="Times New Roman"/>
          <w:sz w:val="20"/>
          <w:szCs w:val="20"/>
        </w:rPr>
        <w:t>220</w:t>
      </w:r>
      <w:r w:rsidRPr="00B87D4D">
        <w:rPr>
          <w:rFonts w:ascii="Times New Roman" w:eastAsia="SimSun" w:hAnsi="Times New Roman" w:cs="Times New Roman"/>
          <w:sz w:val="20"/>
          <w:szCs w:val="20"/>
        </w:rPr>
        <w:t xml:space="preserve"> € t⁻¹, with a 5–95% uncertainty range of 1,</w:t>
      </w:r>
      <w:r w:rsidR="002E5328">
        <w:rPr>
          <w:rFonts w:ascii="Times New Roman" w:eastAsia="SimSun" w:hAnsi="Times New Roman" w:cs="Times New Roman"/>
          <w:sz w:val="20"/>
          <w:szCs w:val="20"/>
        </w:rPr>
        <w:t>723</w:t>
      </w:r>
      <w:r w:rsidRPr="00B87D4D">
        <w:rPr>
          <w:rFonts w:ascii="Times New Roman" w:eastAsia="SimSun" w:hAnsi="Times New Roman" w:cs="Times New Roman"/>
          <w:sz w:val="20"/>
          <w:szCs w:val="20"/>
        </w:rPr>
        <w:t>–2,</w:t>
      </w:r>
      <w:r w:rsidR="002E5328">
        <w:rPr>
          <w:rFonts w:ascii="Times New Roman" w:eastAsia="SimSun" w:hAnsi="Times New Roman" w:cs="Times New Roman"/>
          <w:sz w:val="20"/>
          <w:szCs w:val="20"/>
        </w:rPr>
        <w:t>810</w:t>
      </w:r>
      <w:r w:rsidRPr="00B87D4D">
        <w:rPr>
          <w:rFonts w:ascii="Times New Roman" w:eastAsia="SimSun" w:hAnsi="Times New Roman" w:cs="Times New Roman"/>
          <w:sz w:val="20"/>
          <w:szCs w:val="20"/>
        </w:rPr>
        <w:t xml:space="preserve"> € t⁻¹, while SAF derived from UCO exhibits a mean cost of 1,</w:t>
      </w:r>
      <w:r w:rsidR="002E5328">
        <w:rPr>
          <w:rFonts w:ascii="Times New Roman" w:eastAsia="SimSun" w:hAnsi="Times New Roman" w:cs="Times New Roman"/>
          <w:sz w:val="20"/>
          <w:szCs w:val="20"/>
        </w:rPr>
        <w:t>7</w:t>
      </w:r>
      <w:r w:rsidR="00693C10">
        <w:rPr>
          <w:rFonts w:ascii="Times New Roman" w:eastAsia="SimSun" w:hAnsi="Times New Roman" w:cs="Times New Roman"/>
          <w:sz w:val="20"/>
          <w:szCs w:val="20"/>
        </w:rPr>
        <w:t>97</w:t>
      </w:r>
      <w:r w:rsidRPr="00B87D4D">
        <w:rPr>
          <w:rFonts w:ascii="Times New Roman" w:eastAsia="SimSun" w:hAnsi="Times New Roman" w:cs="Times New Roman"/>
          <w:sz w:val="20"/>
          <w:szCs w:val="20"/>
        </w:rPr>
        <w:t xml:space="preserve"> € t⁻¹, ranging from 1,</w:t>
      </w:r>
      <w:r w:rsidR="002E5328">
        <w:rPr>
          <w:rFonts w:ascii="Times New Roman" w:eastAsia="SimSun" w:hAnsi="Times New Roman" w:cs="Times New Roman"/>
          <w:sz w:val="20"/>
          <w:szCs w:val="20"/>
        </w:rPr>
        <w:t>350</w:t>
      </w:r>
      <w:r w:rsidRPr="00B87D4D">
        <w:rPr>
          <w:rFonts w:ascii="Times New Roman" w:eastAsia="SimSun" w:hAnsi="Times New Roman" w:cs="Times New Roman"/>
          <w:sz w:val="20"/>
          <w:szCs w:val="20"/>
        </w:rPr>
        <w:t>–2,</w:t>
      </w:r>
      <w:r w:rsidR="002E5328">
        <w:rPr>
          <w:rFonts w:ascii="Times New Roman" w:eastAsia="SimSun" w:hAnsi="Times New Roman" w:cs="Times New Roman"/>
          <w:sz w:val="20"/>
          <w:szCs w:val="20"/>
        </w:rPr>
        <w:t>335</w:t>
      </w:r>
      <w:r w:rsidRPr="00B87D4D">
        <w:rPr>
          <w:rFonts w:ascii="Times New Roman" w:eastAsia="SimSun" w:hAnsi="Times New Roman" w:cs="Times New Roman"/>
          <w:sz w:val="20"/>
          <w:szCs w:val="20"/>
        </w:rPr>
        <w:t xml:space="preserve"> € t⁻¹. In both cases, feedstock price remains the dominant source of cost variability, accounting for over 85% of total variance, whereas conversion and O&amp;M costs contribute marginally. This refined approach demonstrates that simple linear scaling of feedstock price substantially understates the inherent techno-economic uncertainty associated with SAF production.</w:t>
      </w:r>
    </w:p>
    <w:p w14:paraId="133BFBDC" w14:textId="77777777" w:rsidR="002B3C0D" w:rsidRDefault="002B3C0D" w:rsidP="00B87D4D">
      <w:pPr>
        <w:widowControl w:val="0"/>
        <w:spacing w:after="120"/>
        <w:jc w:val="both"/>
        <w:rPr>
          <w:rFonts w:ascii="Times New Roman" w:eastAsia="SimSun" w:hAnsi="Times New Roman" w:cs="Times New Roman"/>
          <w:sz w:val="20"/>
          <w:szCs w:val="20"/>
        </w:rPr>
      </w:pPr>
    </w:p>
    <w:p w14:paraId="0670AA47" w14:textId="77777777" w:rsidR="00453A30" w:rsidRPr="00453A30" w:rsidRDefault="00453A30" w:rsidP="002B3C0D">
      <w:pPr>
        <w:pStyle w:val="Paragrafoelenco"/>
        <w:keepNext/>
        <w:widowControl w:val="0"/>
        <w:spacing w:before="120" w:after="240"/>
        <w:ind w:left="792" w:hanging="432"/>
        <w:outlineLvl w:val="1"/>
        <w:rPr>
          <w:rFonts w:ascii="Times New Roman" w:eastAsia="SimSun" w:hAnsi="Times New Roman" w:cs="Times New Roman"/>
          <w:b/>
          <w:bCs/>
          <w:sz w:val="20"/>
          <w:szCs w:val="20"/>
          <w:lang w:val="en-GB"/>
        </w:rPr>
      </w:pPr>
      <w:r w:rsidRPr="00453A30">
        <w:rPr>
          <w:rFonts w:ascii="Times New Roman" w:eastAsia="SimSun" w:hAnsi="Times New Roman" w:cs="Times New Roman"/>
          <w:b/>
          <w:bCs/>
          <w:sz w:val="20"/>
          <w:szCs w:val="20"/>
          <w:lang w:val="en-GB"/>
        </w:rPr>
        <w:t>A.6 Boxplot analysis of cost components</w:t>
      </w:r>
    </w:p>
    <w:p w14:paraId="2B411539" w14:textId="77777777" w:rsidR="00453A30" w:rsidRPr="00453A30" w:rsidRDefault="00453A30" w:rsidP="002B3C0D">
      <w:pPr>
        <w:jc w:val="both"/>
        <w:rPr>
          <w:rFonts w:ascii="Times New Roman" w:eastAsia="SimSun" w:hAnsi="Times New Roman" w:cs="Times New Roman"/>
          <w:sz w:val="20"/>
          <w:szCs w:val="20"/>
        </w:rPr>
      </w:pPr>
      <w:r w:rsidRPr="00453A30">
        <w:rPr>
          <w:rFonts w:ascii="Times New Roman" w:eastAsia="SimSun" w:hAnsi="Times New Roman" w:cs="Times New Roman"/>
          <w:sz w:val="20"/>
          <w:szCs w:val="20"/>
        </w:rPr>
        <w:t>To provide an additional visual comparison of the magnitude and variability of each cost category, boxplots were generated for three aggregated variables derived from each Monte Carlo iteration: feedstock cost, the grouped process costs (conversion + O&amp;M + CAPEX), and the resulting SAF production cost after mass allocation. Figure A4 displays these distributions for both camelina and UCO. The boxplots clearly show that feedstock cost dominates both the level and the variance of total SAF production cost, while process-related costs exhibit considerably narrower distributions.</w:t>
      </w:r>
    </w:p>
    <w:p w14:paraId="7AD804B8" w14:textId="55D0CD09" w:rsidR="00453A30" w:rsidRPr="00453A30" w:rsidRDefault="004F5019" w:rsidP="00453A30">
      <w:pPr>
        <w:rPr>
          <w:rFonts w:ascii="Times New Roman" w:eastAsia="SimSun" w:hAnsi="Times New Roman" w:cs="Times New Roman"/>
          <w:sz w:val="20"/>
          <w:szCs w:val="20"/>
        </w:rPr>
      </w:pPr>
      <w:r>
        <w:rPr>
          <w:noProof/>
        </w:rPr>
        <w:lastRenderedPageBreak/>
        <w:drawing>
          <wp:inline distT="0" distB="0" distL="0" distR="0" wp14:anchorId="4656C7E8" wp14:editId="39776176">
            <wp:extent cx="5486400" cy="3657600"/>
            <wp:effectExtent l="0" t="0" r="0" b="0"/>
            <wp:docPr id="217977181" name="Picture 1" descr="Immagine che contiene diagramma, linea, testo, Pian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7181" name="Picture 1" descr="Immagine che contiene diagramma, linea, testo, Piano&#10;&#10;Il contenuto generato dall'IA potrebbe non essere corretto."/>
                    <pic:cNvPicPr/>
                  </pic:nvPicPr>
                  <pic:blipFill>
                    <a:blip r:embed="rId12"/>
                    <a:stretch>
                      <a:fillRect/>
                    </a:stretch>
                  </pic:blipFill>
                  <pic:spPr>
                    <a:xfrm>
                      <a:off x="0" y="0"/>
                      <a:ext cx="5486400" cy="3657600"/>
                    </a:xfrm>
                    <a:prstGeom prst="rect">
                      <a:avLst/>
                    </a:prstGeom>
                  </pic:spPr>
                </pic:pic>
              </a:graphicData>
            </a:graphic>
          </wp:inline>
        </w:drawing>
      </w:r>
    </w:p>
    <w:p w14:paraId="4C39FEF4" w14:textId="7DCED1C9" w:rsidR="00453A30" w:rsidRPr="00453A30" w:rsidRDefault="00453A30" w:rsidP="00453A30">
      <w:pPr>
        <w:rPr>
          <w:rFonts w:ascii="Times New Roman" w:eastAsia="SimSun" w:hAnsi="Times New Roman" w:cs="Times New Roman"/>
          <w:sz w:val="20"/>
          <w:szCs w:val="20"/>
        </w:rPr>
      </w:pPr>
      <w:r w:rsidRPr="00453A30">
        <w:rPr>
          <w:rFonts w:ascii="Times New Roman" w:eastAsia="SimSun" w:hAnsi="Times New Roman" w:cs="Times New Roman"/>
          <w:sz w:val="20"/>
          <w:szCs w:val="20"/>
        </w:rPr>
        <w:t>Figure A4. Boxplots of feedstock cost, aggregated process costs (conversion + O&amp;M + CAPEX), and total SAF production cost for camelina oil and UCO (50,000 Monte Carlo iterations).</w:t>
      </w:r>
      <w:r w:rsidR="00B32FA2">
        <w:rPr>
          <w:rFonts w:ascii="Times New Roman" w:eastAsia="SimSun" w:hAnsi="Times New Roman" w:cs="Times New Roman"/>
          <w:sz w:val="20"/>
          <w:szCs w:val="20"/>
        </w:rPr>
        <w:t xml:space="preserve"> Each</w:t>
      </w:r>
      <w:r w:rsidR="00B32FA2" w:rsidRPr="00B32FA2">
        <w:rPr>
          <w:rFonts w:ascii="Times New Roman" w:eastAsia="SimSun" w:hAnsi="Times New Roman" w:cs="Times New Roman"/>
          <w:sz w:val="20"/>
          <w:szCs w:val="20"/>
        </w:rPr>
        <w:t xml:space="preserve"> box </w:t>
      </w:r>
      <w:r w:rsidR="00620C44">
        <w:rPr>
          <w:rFonts w:ascii="Times New Roman" w:eastAsia="SimSun" w:hAnsi="Times New Roman" w:cs="Times New Roman"/>
          <w:sz w:val="20"/>
          <w:szCs w:val="20"/>
        </w:rPr>
        <w:t>includes</w:t>
      </w:r>
      <w:r w:rsidR="00B32FA2" w:rsidRPr="00B32FA2">
        <w:rPr>
          <w:rFonts w:ascii="Times New Roman" w:eastAsia="SimSun" w:hAnsi="Times New Roman" w:cs="Times New Roman"/>
          <w:sz w:val="20"/>
          <w:szCs w:val="20"/>
        </w:rPr>
        <w:t xml:space="preserve"> 25-75%</w:t>
      </w:r>
      <w:r w:rsidR="00D60021">
        <w:rPr>
          <w:rFonts w:ascii="Times New Roman" w:eastAsia="SimSun" w:hAnsi="Times New Roman" w:cs="Times New Roman"/>
          <w:sz w:val="20"/>
          <w:szCs w:val="20"/>
        </w:rPr>
        <w:t xml:space="preserve"> of the quantile</w:t>
      </w:r>
      <w:r w:rsidR="00B32FA2" w:rsidRPr="00B32FA2">
        <w:rPr>
          <w:rFonts w:ascii="Times New Roman" w:eastAsia="SimSun" w:hAnsi="Times New Roman" w:cs="Times New Roman"/>
          <w:sz w:val="20"/>
          <w:szCs w:val="20"/>
        </w:rPr>
        <w:t>, and the whiskers are the min-max</w:t>
      </w:r>
      <w:r w:rsidR="00D60021">
        <w:rPr>
          <w:rFonts w:ascii="Times New Roman" w:eastAsia="SimSun" w:hAnsi="Times New Roman" w:cs="Times New Roman"/>
          <w:sz w:val="20"/>
          <w:szCs w:val="20"/>
        </w:rPr>
        <w:t xml:space="preserve"> value.</w:t>
      </w:r>
    </w:p>
    <w:p w14:paraId="2CAE05E3" w14:textId="77777777" w:rsidR="00146BFF" w:rsidRPr="0003325F" w:rsidRDefault="00146BFF" w:rsidP="00146BFF">
      <w:pPr>
        <w:rPr>
          <w:rFonts w:ascii="Times New Roman" w:hAnsi="Times New Roman" w:cs="Times New Roman"/>
          <w:sz w:val="20"/>
          <w:szCs w:val="20"/>
        </w:rPr>
      </w:pPr>
    </w:p>
    <w:sectPr w:rsidR="00146BFF" w:rsidRPr="0003325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num w:numId="1" w16cid:durableId="1701515913">
    <w:abstractNumId w:val="8"/>
  </w:num>
  <w:num w:numId="2" w16cid:durableId="417752283">
    <w:abstractNumId w:val="6"/>
  </w:num>
  <w:num w:numId="3" w16cid:durableId="1279489472">
    <w:abstractNumId w:val="5"/>
  </w:num>
  <w:num w:numId="4" w16cid:durableId="1338270384">
    <w:abstractNumId w:val="4"/>
  </w:num>
  <w:num w:numId="5" w16cid:durableId="886650083">
    <w:abstractNumId w:val="7"/>
  </w:num>
  <w:num w:numId="6" w16cid:durableId="780687020">
    <w:abstractNumId w:val="3"/>
  </w:num>
  <w:num w:numId="7" w16cid:durableId="742527361">
    <w:abstractNumId w:val="2"/>
  </w:num>
  <w:num w:numId="8" w16cid:durableId="493186891">
    <w:abstractNumId w:val="1"/>
  </w:num>
  <w:num w:numId="9" w16cid:durableId="2007394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325F"/>
    <w:rsid w:val="00034616"/>
    <w:rsid w:val="00043013"/>
    <w:rsid w:val="00044A98"/>
    <w:rsid w:val="0006063C"/>
    <w:rsid w:val="00071BE2"/>
    <w:rsid w:val="00146BFF"/>
    <w:rsid w:val="0015074B"/>
    <w:rsid w:val="001928BC"/>
    <w:rsid w:val="0029639D"/>
    <w:rsid w:val="002B3C0D"/>
    <w:rsid w:val="002E5328"/>
    <w:rsid w:val="00303DC7"/>
    <w:rsid w:val="003149FE"/>
    <w:rsid w:val="00326F90"/>
    <w:rsid w:val="00330124"/>
    <w:rsid w:val="00334F7A"/>
    <w:rsid w:val="003525FD"/>
    <w:rsid w:val="003941A6"/>
    <w:rsid w:val="003B418D"/>
    <w:rsid w:val="003F3231"/>
    <w:rsid w:val="004261B5"/>
    <w:rsid w:val="00430409"/>
    <w:rsid w:val="00447EF4"/>
    <w:rsid w:val="00453A30"/>
    <w:rsid w:val="0049780D"/>
    <w:rsid w:val="004C138C"/>
    <w:rsid w:val="004F5019"/>
    <w:rsid w:val="005F18D8"/>
    <w:rsid w:val="00620C44"/>
    <w:rsid w:val="006939D2"/>
    <w:rsid w:val="00693C10"/>
    <w:rsid w:val="006B32E4"/>
    <w:rsid w:val="00745182"/>
    <w:rsid w:val="00747431"/>
    <w:rsid w:val="007E6629"/>
    <w:rsid w:val="007F46B0"/>
    <w:rsid w:val="00841902"/>
    <w:rsid w:val="00857D61"/>
    <w:rsid w:val="008870B4"/>
    <w:rsid w:val="008B527D"/>
    <w:rsid w:val="008F0143"/>
    <w:rsid w:val="00956625"/>
    <w:rsid w:val="00986127"/>
    <w:rsid w:val="00990903"/>
    <w:rsid w:val="00A01585"/>
    <w:rsid w:val="00A14C36"/>
    <w:rsid w:val="00A2716D"/>
    <w:rsid w:val="00AA1D8D"/>
    <w:rsid w:val="00B25AFA"/>
    <w:rsid w:val="00B32FA2"/>
    <w:rsid w:val="00B47730"/>
    <w:rsid w:val="00B60BAD"/>
    <w:rsid w:val="00B64EDF"/>
    <w:rsid w:val="00B819E8"/>
    <w:rsid w:val="00B87D4D"/>
    <w:rsid w:val="00BD1CC2"/>
    <w:rsid w:val="00C17376"/>
    <w:rsid w:val="00CB0664"/>
    <w:rsid w:val="00CC5193"/>
    <w:rsid w:val="00CF70C0"/>
    <w:rsid w:val="00D04BF8"/>
    <w:rsid w:val="00D27DBB"/>
    <w:rsid w:val="00D45999"/>
    <w:rsid w:val="00D60021"/>
    <w:rsid w:val="00D70640"/>
    <w:rsid w:val="00DF4033"/>
    <w:rsid w:val="00E00CAB"/>
    <w:rsid w:val="00E07D90"/>
    <w:rsid w:val="00E81347"/>
    <w:rsid w:val="00E8245E"/>
    <w:rsid w:val="00FC693F"/>
    <w:rsid w:val="00FD5967"/>
    <w:rsid w:val="00FF4B58"/>
    <w:rsid w:val="376772CE"/>
    <w:rsid w:val="3C874BA7"/>
    <w:rsid w:val="4627CCE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161ECC"/>
  <w14:defaultImageDpi w14:val="300"/>
  <w15:docId w15:val="{85491EC8-08B0-4369-A16D-B8697034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60BAD"/>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79dd4a-a8c0-4d80-8822-faf2a28b3f40">
      <Terms xmlns="http://schemas.microsoft.com/office/infopath/2007/PartnerControls"/>
    </lcf76f155ced4ddcb4097134ff3c332f>
    <TaxCatchAll xmlns="a4095eb6-34eb-41b1-a74d-c41648540f5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C4BCF4801AF47458960CE511044B3C7" ma:contentTypeVersion="10" ma:contentTypeDescription="Creare un nuovo documento." ma:contentTypeScope="" ma:versionID="9bf8596f879b661039cf4d4fdbe33b17">
  <xsd:schema xmlns:xsd="http://www.w3.org/2001/XMLSchema" xmlns:xs="http://www.w3.org/2001/XMLSchema" xmlns:p="http://schemas.microsoft.com/office/2006/metadata/properties" xmlns:ns2="ed79dd4a-a8c0-4d80-8822-faf2a28b3f40" xmlns:ns3="a4095eb6-34eb-41b1-a74d-c41648540f5b" targetNamespace="http://schemas.microsoft.com/office/2006/metadata/properties" ma:root="true" ma:fieldsID="6ef569809362fd6b51d9d961dfba382d" ns2:_="" ns3:_="">
    <xsd:import namespace="ed79dd4a-a8c0-4d80-8822-faf2a28b3f40"/>
    <xsd:import namespace="a4095eb6-34eb-41b1-a74d-c41648540f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9dd4a-a8c0-4d80-8822-faf2a28b3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 immagine"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095eb6-34eb-41b1-a74d-c41648540f5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d32f65b-9082-4384-a080-7da891c4aff0}" ma:internalName="TaxCatchAll" ma:showField="CatchAllData" ma:web="a4095eb6-34eb-41b1-a74d-c41648540f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D7FE6D-4ED5-478D-BF3A-25D026AA3810}">
  <ds:schemaRefs>
    <ds:schemaRef ds:uri="http://schemas.microsoft.com/office/2006/metadata/properties"/>
    <ds:schemaRef ds:uri="http://schemas.microsoft.com/office/infopath/2007/PartnerControls"/>
    <ds:schemaRef ds:uri="ed79dd4a-a8c0-4d80-8822-faf2a28b3f40"/>
    <ds:schemaRef ds:uri="a4095eb6-34eb-41b1-a74d-c41648540f5b"/>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58ADEB44-4487-4A39-B165-68124FECB742}">
  <ds:schemaRefs>
    <ds:schemaRef ds:uri="http://schemas.microsoft.com/sharepoint/v3/contenttype/forms"/>
  </ds:schemaRefs>
</ds:datastoreItem>
</file>

<file path=customXml/itemProps4.xml><?xml version="1.0" encoding="utf-8"?>
<ds:datastoreItem xmlns:ds="http://schemas.openxmlformats.org/officeDocument/2006/customXml" ds:itemID="{B4D9B837-0697-4A55-A633-BE8C8C8E4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9dd4a-a8c0-4d80-8822-faf2a28b3f40"/>
    <ds:schemaRef ds:uri="a4095eb6-34eb-41b1-a74d-c41648540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1177</Words>
  <Characters>6712</Characters>
  <Application>Microsoft Office Word</Application>
  <DocSecurity>0</DocSecurity>
  <Lines>55</Lines>
  <Paragraphs>15</Paragraphs>
  <ScaleCrop>false</ScaleCrop>
  <Manager/>
  <Company/>
  <LinksUpToDate>false</LinksUpToDate>
  <CharactersWithSpaces>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BUFFI Marco (JRC-ISPRA)</cp:lastModifiedBy>
  <cp:revision>62</cp:revision>
  <dcterms:created xsi:type="dcterms:W3CDTF">2013-12-23T23:15:00Z</dcterms:created>
  <dcterms:modified xsi:type="dcterms:W3CDTF">2025-11-24T07:17:00Z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2025-11-13T16:38:35Z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cd9e3efd-1a6d-4eb7-8c0c-f44c20c38694</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y fmtid="{D5CDD505-2E9C-101B-9397-08002B2CF9AE}" pid="10" name="ContentTypeId">
    <vt:lpwstr>0x010100CC4BCF4801AF47458960CE511044B3C7</vt:lpwstr>
  </property>
  <property fmtid="{D5CDD505-2E9C-101B-9397-08002B2CF9AE}" pid="11" name="MediaServiceImageTags">
    <vt:lpwstr/>
  </property>
</Properties>
</file>