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C9418E" w14:textId="4F5BE356" w:rsidR="00FC6341" w:rsidRPr="00922792" w:rsidRDefault="00FC6341" w:rsidP="00FC6341">
      <w:pPr>
        <w:spacing w:after="0" w:line="360" w:lineRule="auto"/>
        <w:jc w:val="center"/>
        <w:rPr>
          <w:rFonts w:ascii="Times New Roman" w:eastAsia="Times New Roman" w:hAnsi="Times New Roman" w:cs="Times New Roman"/>
          <w:b/>
          <w:bCs/>
          <w:kern w:val="0"/>
          <w:lang w:val="en-US" w:eastAsia="ru-RU"/>
          <w14:ligatures w14:val="none"/>
        </w:rPr>
      </w:pPr>
      <w:r w:rsidRPr="00922792">
        <w:rPr>
          <w:rFonts w:ascii="Times New Roman" w:eastAsia="Times New Roman" w:hAnsi="Times New Roman" w:cs="Times New Roman"/>
          <w:b/>
          <w:bCs/>
          <w:kern w:val="0"/>
          <w:lang w:val="en-US" w:eastAsia="ru-RU"/>
          <w14:ligatures w14:val="none"/>
        </w:rPr>
        <w:t>Web Appendix A. Journals</w:t>
      </w:r>
    </w:p>
    <w:p w14:paraId="128378AF" w14:textId="2FE7698E" w:rsidR="00964CC8" w:rsidRPr="00922792" w:rsidRDefault="00964CC8" w:rsidP="274617CB">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Table</w:t>
      </w:r>
      <w:r w:rsidR="12BD257F" w:rsidRPr="00922792">
        <w:rPr>
          <w:rFonts w:ascii="Times New Roman" w:eastAsia="Times New Roman" w:hAnsi="Times New Roman" w:cs="Times New Roman"/>
          <w:kern w:val="0"/>
          <w:lang w:val="en-US" w:eastAsia="ru-RU"/>
          <w14:ligatures w14:val="none"/>
        </w:rPr>
        <w:t xml:space="preserve"> 1</w:t>
      </w:r>
      <w:r w:rsidRPr="00922792">
        <w:rPr>
          <w:rFonts w:ascii="Times New Roman" w:eastAsia="Times New Roman" w:hAnsi="Times New Roman" w:cs="Times New Roman"/>
          <w:kern w:val="0"/>
          <w:lang w:val="en-US" w:eastAsia="ru-RU"/>
          <w14:ligatures w14:val="none"/>
        </w:rPr>
        <w:t>. Impact of journals by number of publications.</w:t>
      </w:r>
    </w:p>
    <w:tbl>
      <w:tblPr>
        <w:tblStyle w:val="TableGrid"/>
        <w:tblW w:w="9082" w:type="dxa"/>
        <w:tblLook w:val="04A0" w:firstRow="1" w:lastRow="0" w:firstColumn="1" w:lastColumn="0" w:noHBand="0" w:noVBand="1"/>
      </w:tblPr>
      <w:tblGrid>
        <w:gridCol w:w="5524"/>
        <w:gridCol w:w="3558"/>
      </w:tblGrid>
      <w:tr w:rsidR="00964CC8" w:rsidRPr="00922792" w14:paraId="38D69858" w14:textId="77777777">
        <w:trPr>
          <w:trHeight w:val="340"/>
        </w:trPr>
        <w:tc>
          <w:tcPr>
            <w:tcW w:w="5524" w:type="dxa"/>
            <w:noWrap/>
            <w:hideMark/>
          </w:tcPr>
          <w:p w14:paraId="58B99E3A" w14:textId="77777777" w:rsidR="00964CC8" w:rsidRPr="00922792" w:rsidRDefault="00964CC8" w:rsidP="00964CC8">
            <w:pPr>
              <w:rPr>
                <w:rFonts w:ascii="Times New Roman" w:eastAsia="Times New Roman" w:hAnsi="Times New Roman" w:cs="Times New Roman"/>
                <w:b/>
                <w:sz w:val="22"/>
                <w:szCs w:val="22"/>
                <w:lang w:eastAsia="ru-RU"/>
              </w:rPr>
            </w:pPr>
            <w:r w:rsidRPr="00922792">
              <w:rPr>
                <w:rFonts w:ascii="Times New Roman" w:eastAsia="Times New Roman" w:hAnsi="Times New Roman" w:cs="Times New Roman"/>
                <w:b/>
                <w:sz w:val="22"/>
                <w:szCs w:val="22"/>
                <w:lang w:eastAsia="ru-RU"/>
              </w:rPr>
              <w:t>Journal</w:t>
            </w:r>
          </w:p>
        </w:tc>
        <w:tc>
          <w:tcPr>
            <w:tcW w:w="3558" w:type="dxa"/>
            <w:vAlign w:val="center"/>
            <w:hideMark/>
          </w:tcPr>
          <w:p w14:paraId="63F7E9F0" w14:textId="77777777" w:rsidR="00964CC8" w:rsidRPr="00922792" w:rsidRDefault="00964CC8" w:rsidP="00964CC8">
            <w:pPr>
              <w:jc w:val="cente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No. of articles</w:t>
            </w:r>
          </w:p>
        </w:tc>
      </w:tr>
      <w:tr w:rsidR="00964CC8" w:rsidRPr="00922792" w14:paraId="00DF7E9C" w14:textId="77777777">
        <w:trPr>
          <w:trHeight w:val="340"/>
        </w:trPr>
        <w:tc>
          <w:tcPr>
            <w:tcW w:w="5524" w:type="dxa"/>
            <w:hideMark/>
          </w:tcPr>
          <w:p w14:paraId="1B9F40F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Cleaner Production</w:t>
            </w:r>
          </w:p>
        </w:tc>
        <w:tc>
          <w:tcPr>
            <w:tcW w:w="3558" w:type="dxa"/>
            <w:hideMark/>
          </w:tcPr>
          <w:p w14:paraId="478CD54B"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56</w:t>
            </w:r>
          </w:p>
        </w:tc>
      </w:tr>
      <w:tr w:rsidR="00964CC8" w:rsidRPr="00922792" w14:paraId="116D112D" w14:textId="77777777">
        <w:trPr>
          <w:trHeight w:val="340"/>
        </w:trPr>
        <w:tc>
          <w:tcPr>
            <w:tcW w:w="5524" w:type="dxa"/>
            <w:hideMark/>
          </w:tcPr>
          <w:p w14:paraId="1908CA6A"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Business Strategy and the Environment</w:t>
            </w:r>
          </w:p>
        </w:tc>
        <w:tc>
          <w:tcPr>
            <w:tcW w:w="3558" w:type="dxa"/>
            <w:hideMark/>
          </w:tcPr>
          <w:p w14:paraId="014A10A4"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22</w:t>
            </w:r>
          </w:p>
        </w:tc>
      </w:tr>
      <w:tr w:rsidR="00964CC8" w:rsidRPr="00922792" w14:paraId="4EAE431B" w14:textId="77777777">
        <w:trPr>
          <w:trHeight w:val="340"/>
        </w:trPr>
        <w:tc>
          <w:tcPr>
            <w:tcW w:w="5524" w:type="dxa"/>
            <w:hideMark/>
          </w:tcPr>
          <w:p w14:paraId="20389FEA"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Small Business Economics</w:t>
            </w:r>
          </w:p>
        </w:tc>
        <w:tc>
          <w:tcPr>
            <w:tcW w:w="3558" w:type="dxa"/>
            <w:hideMark/>
          </w:tcPr>
          <w:p w14:paraId="375B8FF4"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600FDFA1" w14:textId="77777777">
        <w:trPr>
          <w:trHeight w:val="340"/>
        </w:trPr>
        <w:tc>
          <w:tcPr>
            <w:tcW w:w="5524" w:type="dxa"/>
            <w:hideMark/>
          </w:tcPr>
          <w:p w14:paraId="0E5136E2"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Technological Forecasting and Social Change</w:t>
            </w:r>
          </w:p>
        </w:tc>
        <w:tc>
          <w:tcPr>
            <w:tcW w:w="3558" w:type="dxa"/>
            <w:hideMark/>
          </w:tcPr>
          <w:p w14:paraId="5CB327EF"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5F2CE2E3" w14:textId="77777777">
        <w:trPr>
          <w:trHeight w:val="340"/>
        </w:trPr>
        <w:tc>
          <w:tcPr>
            <w:tcW w:w="5524" w:type="dxa"/>
            <w:hideMark/>
          </w:tcPr>
          <w:p w14:paraId="5C02FB3A"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Business Research</w:t>
            </w:r>
          </w:p>
        </w:tc>
        <w:tc>
          <w:tcPr>
            <w:tcW w:w="3558" w:type="dxa"/>
            <w:hideMark/>
          </w:tcPr>
          <w:p w14:paraId="796CD4CE"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9</w:t>
            </w:r>
          </w:p>
        </w:tc>
      </w:tr>
      <w:tr w:rsidR="00964CC8" w:rsidRPr="00922792" w14:paraId="44594448" w14:textId="77777777">
        <w:trPr>
          <w:trHeight w:val="340"/>
        </w:trPr>
        <w:tc>
          <w:tcPr>
            <w:tcW w:w="5524" w:type="dxa"/>
            <w:hideMark/>
          </w:tcPr>
          <w:p w14:paraId="580908A3"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Organization &amp; Environment</w:t>
            </w:r>
          </w:p>
        </w:tc>
        <w:tc>
          <w:tcPr>
            <w:tcW w:w="3558" w:type="dxa"/>
            <w:hideMark/>
          </w:tcPr>
          <w:p w14:paraId="6D9D3DD0"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w:t>
            </w:r>
          </w:p>
        </w:tc>
      </w:tr>
      <w:tr w:rsidR="00964CC8" w:rsidRPr="00922792" w14:paraId="1C6280B6" w14:textId="77777777">
        <w:trPr>
          <w:trHeight w:val="340"/>
        </w:trPr>
        <w:tc>
          <w:tcPr>
            <w:tcW w:w="5524" w:type="dxa"/>
            <w:hideMark/>
          </w:tcPr>
          <w:p w14:paraId="2F9D5167" w14:textId="77777777" w:rsidR="00964CC8" w:rsidRPr="00922792" w:rsidRDefault="00964CC8" w:rsidP="00964CC8">
            <w:pPr>
              <w:rPr>
                <w:rFonts w:ascii="Times New Roman" w:eastAsia="Times New Roman" w:hAnsi="Times New Roman" w:cs="Times New Roman"/>
                <w:color w:val="000000"/>
                <w:sz w:val="22"/>
                <w:szCs w:val="22"/>
                <w:lang w:eastAsia="ru-RU"/>
              </w:rPr>
            </w:pPr>
            <w:proofErr w:type="spellStart"/>
            <w:r w:rsidRPr="00922792">
              <w:rPr>
                <w:rFonts w:ascii="Times New Roman" w:eastAsia="Times New Roman" w:hAnsi="Times New Roman" w:cs="Times New Roman"/>
                <w:color w:val="000000"/>
                <w:sz w:val="22"/>
                <w:szCs w:val="22"/>
                <w:lang w:eastAsia="ru-RU"/>
              </w:rPr>
              <w:t>Technovation</w:t>
            </w:r>
            <w:proofErr w:type="spellEnd"/>
          </w:p>
        </w:tc>
        <w:tc>
          <w:tcPr>
            <w:tcW w:w="3558" w:type="dxa"/>
            <w:hideMark/>
          </w:tcPr>
          <w:p w14:paraId="4148AEB1"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w:t>
            </w:r>
          </w:p>
        </w:tc>
      </w:tr>
      <w:tr w:rsidR="00964CC8" w:rsidRPr="00922792" w14:paraId="29D0B050" w14:textId="77777777">
        <w:trPr>
          <w:trHeight w:val="340"/>
        </w:trPr>
        <w:tc>
          <w:tcPr>
            <w:tcW w:w="5524" w:type="dxa"/>
            <w:hideMark/>
          </w:tcPr>
          <w:p w14:paraId="09F099BE"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Business &amp; Society</w:t>
            </w:r>
          </w:p>
        </w:tc>
        <w:tc>
          <w:tcPr>
            <w:tcW w:w="3558" w:type="dxa"/>
            <w:hideMark/>
          </w:tcPr>
          <w:p w14:paraId="6E46B668"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1783195F" w14:textId="77777777">
        <w:trPr>
          <w:trHeight w:val="340"/>
        </w:trPr>
        <w:tc>
          <w:tcPr>
            <w:tcW w:w="5524" w:type="dxa"/>
            <w:hideMark/>
          </w:tcPr>
          <w:p w14:paraId="4608C2B5"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Industrial Ecology</w:t>
            </w:r>
          </w:p>
        </w:tc>
        <w:tc>
          <w:tcPr>
            <w:tcW w:w="3558" w:type="dxa"/>
            <w:hideMark/>
          </w:tcPr>
          <w:p w14:paraId="592264D5"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27311A1A" w14:textId="77777777">
        <w:trPr>
          <w:trHeight w:val="340"/>
        </w:trPr>
        <w:tc>
          <w:tcPr>
            <w:tcW w:w="5524" w:type="dxa"/>
            <w:hideMark/>
          </w:tcPr>
          <w:p w14:paraId="1B710AC2"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Service Research</w:t>
            </w:r>
          </w:p>
        </w:tc>
        <w:tc>
          <w:tcPr>
            <w:tcW w:w="3558" w:type="dxa"/>
            <w:hideMark/>
          </w:tcPr>
          <w:p w14:paraId="5AB6859F"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bl>
    <w:p w14:paraId="21C31C28" w14:textId="77777777" w:rsidR="00964CC8" w:rsidRPr="00922792" w:rsidRDefault="00964CC8" w:rsidP="00964CC8">
      <w:pPr>
        <w:spacing w:after="0" w:line="360" w:lineRule="auto"/>
        <w:jc w:val="both"/>
        <w:rPr>
          <w:rFonts w:ascii="Times New Roman" w:eastAsia="Times New Roman" w:hAnsi="Times New Roman" w:cs="Times New Roman"/>
          <w:kern w:val="0"/>
          <w:lang w:val="en-US" w:eastAsia="ru-RU"/>
          <w14:ligatures w14:val="none"/>
        </w:rPr>
      </w:pPr>
    </w:p>
    <w:p w14:paraId="551BF3A9" w14:textId="471E667F" w:rsidR="00964CC8" w:rsidRPr="00922792" w:rsidRDefault="00964CC8" w:rsidP="274617CB">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Table</w:t>
      </w:r>
      <w:r w:rsidR="557859B5" w:rsidRPr="00922792">
        <w:rPr>
          <w:rFonts w:ascii="Times New Roman" w:eastAsia="Times New Roman" w:hAnsi="Times New Roman" w:cs="Times New Roman"/>
          <w:kern w:val="0"/>
          <w:lang w:val="en-US" w:eastAsia="ru-RU"/>
          <w14:ligatures w14:val="none"/>
        </w:rPr>
        <w:t xml:space="preserve"> 2</w:t>
      </w:r>
      <w:r w:rsidRPr="00922792">
        <w:rPr>
          <w:rFonts w:ascii="Times New Roman" w:eastAsia="Times New Roman" w:hAnsi="Times New Roman" w:cs="Times New Roman"/>
          <w:kern w:val="0"/>
          <w:lang w:val="en-US" w:eastAsia="ru-RU"/>
          <w14:ligatures w14:val="none"/>
        </w:rPr>
        <w:t>. Impact of journals by number of citations.</w:t>
      </w:r>
    </w:p>
    <w:tbl>
      <w:tblPr>
        <w:tblStyle w:val="TableGrid"/>
        <w:tblW w:w="9106" w:type="dxa"/>
        <w:tblLook w:val="04A0" w:firstRow="1" w:lastRow="0" w:firstColumn="1" w:lastColumn="0" w:noHBand="0" w:noVBand="1"/>
      </w:tblPr>
      <w:tblGrid>
        <w:gridCol w:w="5524"/>
        <w:gridCol w:w="3582"/>
      </w:tblGrid>
      <w:tr w:rsidR="00964CC8" w:rsidRPr="00922792" w14:paraId="11F6AC3E" w14:textId="77777777">
        <w:trPr>
          <w:trHeight w:val="346"/>
        </w:trPr>
        <w:tc>
          <w:tcPr>
            <w:tcW w:w="5524" w:type="dxa"/>
          </w:tcPr>
          <w:p w14:paraId="2C5F7F06" w14:textId="77777777" w:rsidR="00964CC8" w:rsidRPr="00922792" w:rsidRDefault="00964CC8" w:rsidP="00964CC8">
            <w:pPr>
              <w:rPr>
                <w:rFonts w:ascii="Times New Roman" w:eastAsia="Times New Roman" w:hAnsi="Times New Roman" w:cs="Times New Roman"/>
                <w:b/>
                <w:color w:val="000000"/>
                <w:sz w:val="22"/>
                <w:szCs w:val="22"/>
                <w:lang w:eastAsia="ru-RU"/>
              </w:rPr>
            </w:pPr>
            <w:r w:rsidRPr="00922792">
              <w:rPr>
                <w:rFonts w:ascii="Times New Roman" w:eastAsia="Times New Roman" w:hAnsi="Times New Roman" w:cs="Times New Roman"/>
                <w:b/>
                <w:color w:val="000000"/>
                <w:sz w:val="22"/>
                <w:szCs w:val="22"/>
                <w:lang w:eastAsia="ru-RU"/>
              </w:rPr>
              <w:t>Journal</w:t>
            </w:r>
          </w:p>
        </w:tc>
        <w:tc>
          <w:tcPr>
            <w:tcW w:w="3582" w:type="dxa"/>
          </w:tcPr>
          <w:p w14:paraId="6698E0D8" w14:textId="77777777" w:rsidR="00964CC8" w:rsidRPr="00922792" w:rsidRDefault="00964CC8" w:rsidP="00964CC8">
            <w:pPr>
              <w:jc w:val="cente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No. of cit</w:t>
            </w:r>
            <w:r w:rsidRPr="00922792">
              <w:rPr>
                <w:rFonts w:ascii="Times New Roman" w:eastAsia="Times New Roman" w:hAnsi="Times New Roman" w:cs="Times New Roman"/>
                <w:b/>
                <w:color w:val="000000"/>
                <w:sz w:val="22"/>
                <w:szCs w:val="22"/>
                <w:lang w:eastAsia="ru-RU"/>
              </w:rPr>
              <w:t>ations</w:t>
            </w:r>
          </w:p>
        </w:tc>
      </w:tr>
      <w:tr w:rsidR="00964CC8" w:rsidRPr="00922792" w14:paraId="01644315" w14:textId="77777777">
        <w:trPr>
          <w:trHeight w:val="346"/>
        </w:trPr>
        <w:tc>
          <w:tcPr>
            <w:tcW w:w="5524" w:type="dxa"/>
            <w:hideMark/>
          </w:tcPr>
          <w:p w14:paraId="3F3A7DF9"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Cleaner Production</w:t>
            </w:r>
          </w:p>
        </w:tc>
        <w:tc>
          <w:tcPr>
            <w:tcW w:w="3582" w:type="dxa"/>
            <w:hideMark/>
          </w:tcPr>
          <w:p w14:paraId="41FF7CD1"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1179</w:t>
            </w:r>
          </w:p>
        </w:tc>
      </w:tr>
      <w:tr w:rsidR="00964CC8" w:rsidRPr="00922792" w14:paraId="4142CC96" w14:textId="77777777">
        <w:trPr>
          <w:trHeight w:val="346"/>
        </w:trPr>
        <w:tc>
          <w:tcPr>
            <w:tcW w:w="5524" w:type="dxa"/>
            <w:hideMark/>
          </w:tcPr>
          <w:p w14:paraId="7E6E3858"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Business Strategy and the Environment</w:t>
            </w:r>
          </w:p>
        </w:tc>
        <w:tc>
          <w:tcPr>
            <w:tcW w:w="3582" w:type="dxa"/>
            <w:hideMark/>
          </w:tcPr>
          <w:p w14:paraId="65747F41"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348</w:t>
            </w:r>
          </w:p>
        </w:tc>
      </w:tr>
      <w:tr w:rsidR="00964CC8" w:rsidRPr="00922792" w14:paraId="79E550EF" w14:textId="77777777">
        <w:trPr>
          <w:trHeight w:val="346"/>
        </w:trPr>
        <w:tc>
          <w:tcPr>
            <w:tcW w:w="5524" w:type="dxa"/>
            <w:hideMark/>
          </w:tcPr>
          <w:p w14:paraId="3AAF6684"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Technological Forecasting and Social Change</w:t>
            </w:r>
          </w:p>
        </w:tc>
        <w:tc>
          <w:tcPr>
            <w:tcW w:w="3582" w:type="dxa"/>
            <w:hideMark/>
          </w:tcPr>
          <w:p w14:paraId="75FCAF7D"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305</w:t>
            </w:r>
          </w:p>
        </w:tc>
      </w:tr>
      <w:tr w:rsidR="00964CC8" w:rsidRPr="00922792" w14:paraId="4746D6AE" w14:textId="77777777">
        <w:trPr>
          <w:trHeight w:val="346"/>
        </w:trPr>
        <w:tc>
          <w:tcPr>
            <w:tcW w:w="5524" w:type="dxa"/>
            <w:hideMark/>
          </w:tcPr>
          <w:p w14:paraId="6D5ECAD8"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Research Policy</w:t>
            </w:r>
          </w:p>
        </w:tc>
        <w:tc>
          <w:tcPr>
            <w:tcW w:w="3582" w:type="dxa"/>
            <w:hideMark/>
          </w:tcPr>
          <w:p w14:paraId="6898C191"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254</w:t>
            </w:r>
          </w:p>
        </w:tc>
      </w:tr>
      <w:tr w:rsidR="00964CC8" w:rsidRPr="00922792" w14:paraId="58E537C0" w14:textId="77777777">
        <w:trPr>
          <w:trHeight w:val="346"/>
        </w:trPr>
        <w:tc>
          <w:tcPr>
            <w:tcW w:w="5524" w:type="dxa"/>
            <w:hideMark/>
          </w:tcPr>
          <w:p w14:paraId="03A6A67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Strategic Management Journal</w:t>
            </w:r>
          </w:p>
        </w:tc>
        <w:tc>
          <w:tcPr>
            <w:tcW w:w="3582" w:type="dxa"/>
            <w:hideMark/>
          </w:tcPr>
          <w:p w14:paraId="2B4D8B49"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249</w:t>
            </w:r>
          </w:p>
        </w:tc>
      </w:tr>
      <w:tr w:rsidR="00964CC8" w:rsidRPr="00922792" w14:paraId="73BDEAE5" w14:textId="77777777">
        <w:trPr>
          <w:trHeight w:val="346"/>
        </w:trPr>
        <w:tc>
          <w:tcPr>
            <w:tcW w:w="5524" w:type="dxa"/>
            <w:hideMark/>
          </w:tcPr>
          <w:p w14:paraId="6C989E7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Journal of Business Research</w:t>
            </w:r>
          </w:p>
        </w:tc>
        <w:tc>
          <w:tcPr>
            <w:tcW w:w="3582" w:type="dxa"/>
            <w:hideMark/>
          </w:tcPr>
          <w:p w14:paraId="3604DDCE"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248</w:t>
            </w:r>
          </w:p>
        </w:tc>
      </w:tr>
      <w:tr w:rsidR="00964CC8" w:rsidRPr="00922792" w14:paraId="1D2FEE15" w14:textId="77777777">
        <w:trPr>
          <w:trHeight w:val="346"/>
        </w:trPr>
        <w:tc>
          <w:tcPr>
            <w:tcW w:w="5524" w:type="dxa"/>
            <w:hideMark/>
          </w:tcPr>
          <w:p w14:paraId="57E942D5"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Small Business Economics</w:t>
            </w:r>
          </w:p>
        </w:tc>
        <w:tc>
          <w:tcPr>
            <w:tcW w:w="3582" w:type="dxa"/>
            <w:hideMark/>
          </w:tcPr>
          <w:p w14:paraId="2AB5D819"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245</w:t>
            </w:r>
          </w:p>
        </w:tc>
      </w:tr>
      <w:tr w:rsidR="00964CC8" w:rsidRPr="00922792" w14:paraId="7A3C41EB" w14:textId="77777777">
        <w:trPr>
          <w:trHeight w:val="346"/>
        </w:trPr>
        <w:tc>
          <w:tcPr>
            <w:tcW w:w="5524" w:type="dxa"/>
            <w:hideMark/>
          </w:tcPr>
          <w:p w14:paraId="52CD5B8B"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Sustainability</w:t>
            </w:r>
          </w:p>
        </w:tc>
        <w:tc>
          <w:tcPr>
            <w:tcW w:w="3582" w:type="dxa"/>
            <w:hideMark/>
          </w:tcPr>
          <w:p w14:paraId="2B3DBB04"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225</w:t>
            </w:r>
          </w:p>
        </w:tc>
      </w:tr>
      <w:tr w:rsidR="00964CC8" w:rsidRPr="00922792" w14:paraId="5D352749" w14:textId="77777777">
        <w:trPr>
          <w:trHeight w:val="346"/>
        </w:trPr>
        <w:tc>
          <w:tcPr>
            <w:tcW w:w="5524" w:type="dxa"/>
            <w:hideMark/>
          </w:tcPr>
          <w:p w14:paraId="74B9E0C9"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Academy of Management Review</w:t>
            </w:r>
          </w:p>
        </w:tc>
        <w:tc>
          <w:tcPr>
            <w:tcW w:w="3582" w:type="dxa"/>
            <w:hideMark/>
          </w:tcPr>
          <w:p w14:paraId="19F16826"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186</w:t>
            </w:r>
          </w:p>
        </w:tc>
      </w:tr>
      <w:tr w:rsidR="00964CC8" w:rsidRPr="00922792" w14:paraId="5E164DC9" w14:textId="77777777">
        <w:trPr>
          <w:trHeight w:val="346"/>
        </w:trPr>
        <w:tc>
          <w:tcPr>
            <w:tcW w:w="5524" w:type="dxa"/>
            <w:hideMark/>
          </w:tcPr>
          <w:p w14:paraId="5B30FF2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Academy of Management Journal</w:t>
            </w:r>
          </w:p>
        </w:tc>
        <w:tc>
          <w:tcPr>
            <w:tcW w:w="3582" w:type="dxa"/>
            <w:hideMark/>
          </w:tcPr>
          <w:p w14:paraId="01BA2B28"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173</w:t>
            </w:r>
          </w:p>
        </w:tc>
      </w:tr>
    </w:tbl>
    <w:p w14:paraId="18B2F0F7" w14:textId="77777777" w:rsidR="00964CC8" w:rsidRPr="00922792" w:rsidRDefault="00964CC8" w:rsidP="00964CC8">
      <w:pPr>
        <w:spacing w:after="0" w:line="360" w:lineRule="auto"/>
        <w:jc w:val="both"/>
        <w:rPr>
          <w:rFonts w:ascii="Times New Roman" w:eastAsia="Times New Roman" w:hAnsi="Times New Roman" w:cs="Times New Roman"/>
          <w:kern w:val="0"/>
          <w:lang w:val="en-US" w:eastAsia="ru-RU"/>
          <w14:ligatures w14:val="none"/>
        </w:rPr>
      </w:pPr>
    </w:p>
    <w:p w14:paraId="23D2EF27" w14:textId="1E9A0047" w:rsidR="00964CC8" w:rsidRPr="00922792" w:rsidRDefault="00964CC8" w:rsidP="274617CB">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Table</w:t>
      </w:r>
      <w:r w:rsidR="60396A7F" w:rsidRPr="00922792">
        <w:rPr>
          <w:rFonts w:ascii="Times New Roman" w:eastAsia="Times New Roman" w:hAnsi="Times New Roman" w:cs="Times New Roman"/>
          <w:kern w:val="0"/>
          <w:lang w:val="en-US" w:eastAsia="ru-RU"/>
          <w14:ligatures w14:val="none"/>
        </w:rPr>
        <w:t xml:space="preserve"> 3</w:t>
      </w:r>
      <w:r w:rsidRPr="00922792">
        <w:rPr>
          <w:rFonts w:ascii="Times New Roman" w:eastAsia="Times New Roman" w:hAnsi="Times New Roman" w:cs="Times New Roman"/>
          <w:kern w:val="0"/>
          <w:lang w:val="en-US" w:eastAsia="ru-RU"/>
          <w14:ligatures w14:val="none"/>
        </w:rPr>
        <w:t>. Conversion of the main academic journal rankings.</w:t>
      </w:r>
    </w:p>
    <w:tbl>
      <w:tblPr>
        <w:tblStyle w:val="TableGrid"/>
        <w:tblW w:w="9114" w:type="dxa"/>
        <w:tblLook w:val="04A0" w:firstRow="1" w:lastRow="0" w:firstColumn="1" w:lastColumn="0" w:noHBand="0" w:noVBand="1"/>
      </w:tblPr>
      <w:tblGrid>
        <w:gridCol w:w="3038"/>
        <w:gridCol w:w="3038"/>
        <w:gridCol w:w="3038"/>
      </w:tblGrid>
      <w:tr w:rsidR="00964CC8" w:rsidRPr="00922792" w14:paraId="724570F3" w14:textId="77777777">
        <w:trPr>
          <w:trHeight w:val="340"/>
        </w:trPr>
        <w:tc>
          <w:tcPr>
            <w:tcW w:w="3038" w:type="dxa"/>
            <w:hideMark/>
          </w:tcPr>
          <w:p w14:paraId="6E2D6037" w14:textId="77777777" w:rsidR="00964CC8" w:rsidRPr="00922792" w:rsidRDefault="00964CC8" w:rsidP="00964CC8">
            <w:pP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ABS Academic Journal Guide 2021</w:t>
            </w:r>
          </w:p>
        </w:tc>
        <w:tc>
          <w:tcPr>
            <w:tcW w:w="3038" w:type="dxa"/>
            <w:hideMark/>
          </w:tcPr>
          <w:p w14:paraId="5DD10EE5" w14:textId="77777777" w:rsidR="00964CC8" w:rsidRPr="00922792" w:rsidRDefault="00964CC8" w:rsidP="00964CC8">
            <w:pP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 xml:space="preserve">Number of articles </w:t>
            </w:r>
          </w:p>
        </w:tc>
        <w:tc>
          <w:tcPr>
            <w:tcW w:w="3038" w:type="dxa"/>
            <w:hideMark/>
          </w:tcPr>
          <w:p w14:paraId="38355D34" w14:textId="77777777" w:rsidR="00964CC8" w:rsidRPr="00922792" w:rsidRDefault="00964CC8" w:rsidP="00964CC8">
            <w:pP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 xml:space="preserve">Percentage </w:t>
            </w:r>
          </w:p>
        </w:tc>
      </w:tr>
      <w:tr w:rsidR="00964CC8" w:rsidRPr="00922792" w14:paraId="025697FF" w14:textId="77777777">
        <w:trPr>
          <w:trHeight w:val="340"/>
        </w:trPr>
        <w:tc>
          <w:tcPr>
            <w:tcW w:w="3038" w:type="dxa"/>
            <w:hideMark/>
          </w:tcPr>
          <w:p w14:paraId="6D0B0B0B"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w:t>
            </w:r>
          </w:p>
        </w:tc>
        <w:tc>
          <w:tcPr>
            <w:tcW w:w="3038" w:type="dxa"/>
            <w:hideMark/>
          </w:tcPr>
          <w:p w14:paraId="5BB38D12"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c>
          <w:tcPr>
            <w:tcW w:w="3038" w:type="dxa"/>
            <w:hideMark/>
          </w:tcPr>
          <w:p w14:paraId="1237D0E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1.9%</w:t>
            </w:r>
          </w:p>
        </w:tc>
      </w:tr>
      <w:tr w:rsidR="00964CC8" w:rsidRPr="00922792" w14:paraId="09D5A3B3" w14:textId="77777777">
        <w:trPr>
          <w:trHeight w:val="340"/>
        </w:trPr>
        <w:tc>
          <w:tcPr>
            <w:tcW w:w="3038" w:type="dxa"/>
            <w:hideMark/>
          </w:tcPr>
          <w:p w14:paraId="4F11D632"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w:t>
            </w:r>
          </w:p>
        </w:tc>
        <w:tc>
          <w:tcPr>
            <w:tcW w:w="3038" w:type="dxa"/>
            <w:hideMark/>
          </w:tcPr>
          <w:p w14:paraId="7A531DB8"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7</w:t>
            </w:r>
          </w:p>
        </w:tc>
        <w:tc>
          <w:tcPr>
            <w:tcW w:w="3038" w:type="dxa"/>
            <w:hideMark/>
          </w:tcPr>
          <w:p w14:paraId="61A81FB7"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4.3%</w:t>
            </w:r>
          </w:p>
        </w:tc>
      </w:tr>
      <w:tr w:rsidR="00964CC8" w:rsidRPr="00922792" w14:paraId="32518A88" w14:textId="77777777">
        <w:trPr>
          <w:trHeight w:val="340"/>
        </w:trPr>
        <w:tc>
          <w:tcPr>
            <w:tcW w:w="3038" w:type="dxa"/>
            <w:hideMark/>
          </w:tcPr>
          <w:p w14:paraId="63F5B2F0"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c>
          <w:tcPr>
            <w:tcW w:w="3038" w:type="dxa"/>
            <w:hideMark/>
          </w:tcPr>
          <w:p w14:paraId="63DE81C5"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83</w:t>
            </w:r>
          </w:p>
        </w:tc>
        <w:tc>
          <w:tcPr>
            <w:tcW w:w="3038" w:type="dxa"/>
            <w:hideMark/>
          </w:tcPr>
          <w:p w14:paraId="6A254193"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51.2%</w:t>
            </w:r>
          </w:p>
        </w:tc>
      </w:tr>
      <w:tr w:rsidR="00964CC8" w:rsidRPr="00922792" w14:paraId="747429B3" w14:textId="77777777">
        <w:trPr>
          <w:trHeight w:val="340"/>
        </w:trPr>
        <w:tc>
          <w:tcPr>
            <w:tcW w:w="3038" w:type="dxa"/>
            <w:hideMark/>
          </w:tcPr>
          <w:p w14:paraId="7D3C4CFC"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2</w:t>
            </w:r>
          </w:p>
        </w:tc>
        <w:tc>
          <w:tcPr>
            <w:tcW w:w="3038" w:type="dxa"/>
            <w:hideMark/>
          </w:tcPr>
          <w:p w14:paraId="0D6247A0"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69</w:t>
            </w:r>
          </w:p>
        </w:tc>
        <w:tc>
          <w:tcPr>
            <w:tcW w:w="3038" w:type="dxa"/>
            <w:hideMark/>
          </w:tcPr>
          <w:p w14:paraId="0E628425"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42.6%</w:t>
            </w:r>
          </w:p>
        </w:tc>
      </w:tr>
      <w:tr w:rsidR="00964CC8" w:rsidRPr="00922792" w14:paraId="0D8D5D10" w14:textId="77777777">
        <w:trPr>
          <w:trHeight w:val="340"/>
        </w:trPr>
        <w:tc>
          <w:tcPr>
            <w:tcW w:w="3038" w:type="dxa"/>
            <w:hideMark/>
          </w:tcPr>
          <w:p w14:paraId="2770A2F4" w14:textId="77777777" w:rsidR="00964CC8" w:rsidRPr="00922792" w:rsidRDefault="00964CC8" w:rsidP="00964CC8">
            <w:pP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Total</w:t>
            </w:r>
          </w:p>
        </w:tc>
        <w:tc>
          <w:tcPr>
            <w:tcW w:w="3038" w:type="dxa"/>
            <w:hideMark/>
          </w:tcPr>
          <w:p w14:paraId="272825E9"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162</w:t>
            </w:r>
          </w:p>
        </w:tc>
        <w:tc>
          <w:tcPr>
            <w:tcW w:w="3038" w:type="dxa"/>
            <w:hideMark/>
          </w:tcPr>
          <w:p w14:paraId="4A43291F"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100%</w:t>
            </w:r>
          </w:p>
        </w:tc>
      </w:tr>
    </w:tbl>
    <w:p w14:paraId="0337D747" w14:textId="77777777" w:rsidR="00964CC8" w:rsidRPr="00922792" w:rsidRDefault="00964CC8" w:rsidP="00964CC8">
      <w:pPr>
        <w:spacing w:after="0" w:line="360" w:lineRule="auto"/>
        <w:jc w:val="both"/>
        <w:rPr>
          <w:rFonts w:ascii="Times New Roman" w:eastAsia="Times New Roman" w:hAnsi="Times New Roman" w:cs="Times New Roman"/>
          <w:kern w:val="0"/>
          <w:lang w:val="en-US" w:eastAsia="ru-RU"/>
          <w14:ligatures w14:val="none"/>
        </w:rPr>
      </w:pPr>
    </w:p>
    <w:p w14:paraId="58F8FC60" w14:textId="46158D63" w:rsidR="6C6336C6" w:rsidRPr="00922792" w:rsidRDefault="6C6336C6" w:rsidP="6C6336C6">
      <w:pPr>
        <w:spacing w:after="0" w:line="360" w:lineRule="auto"/>
        <w:jc w:val="both"/>
        <w:rPr>
          <w:rFonts w:ascii="Times New Roman" w:eastAsia="Times New Roman" w:hAnsi="Times New Roman" w:cs="Times New Roman"/>
          <w:lang w:val="en-US" w:eastAsia="ru-RU"/>
        </w:rPr>
      </w:pPr>
    </w:p>
    <w:p w14:paraId="1A1E56AF" w14:textId="651B5C17" w:rsidR="274617CB" w:rsidRPr="00922792" w:rsidRDefault="274617CB" w:rsidP="274617CB">
      <w:pPr>
        <w:jc w:val="center"/>
        <w:rPr>
          <w:rFonts w:ascii="Times New Roman" w:hAnsi="Times New Roman" w:cs="Times New Roman"/>
          <w:b/>
          <w:bCs/>
        </w:rPr>
      </w:pPr>
    </w:p>
    <w:p w14:paraId="1CD10AD3" w14:textId="78DB6CDF" w:rsidR="00FC6341" w:rsidRPr="00922792" w:rsidRDefault="00FC6341" w:rsidP="00FC6341">
      <w:pPr>
        <w:spacing w:after="0" w:line="360" w:lineRule="auto"/>
        <w:jc w:val="center"/>
        <w:rPr>
          <w:rFonts w:ascii="Times New Roman" w:eastAsia="Times New Roman" w:hAnsi="Times New Roman" w:cs="Times New Roman"/>
          <w:b/>
          <w:bCs/>
          <w:kern w:val="0"/>
          <w:lang w:val="en-US" w:eastAsia="ru-RU"/>
          <w14:ligatures w14:val="none"/>
        </w:rPr>
      </w:pPr>
      <w:r w:rsidRPr="00922792">
        <w:rPr>
          <w:rFonts w:ascii="Times New Roman" w:eastAsia="Times New Roman" w:hAnsi="Times New Roman" w:cs="Times New Roman"/>
          <w:b/>
          <w:bCs/>
          <w:kern w:val="0"/>
          <w:lang w:val="en-US" w:eastAsia="ru-RU"/>
          <w14:ligatures w14:val="none"/>
        </w:rPr>
        <w:lastRenderedPageBreak/>
        <w:t>Web Appendix B. Authors</w:t>
      </w:r>
    </w:p>
    <w:p w14:paraId="104A7592" w14:textId="184EA9B4" w:rsidR="00964CC8" w:rsidRPr="00922792" w:rsidRDefault="00964CC8" w:rsidP="274617CB">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Table</w:t>
      </w:r>
      <w:r w:rsidR="38F5D449" w:rsidRPr="00922792">
        <w:rPr>
          <w:rFonts w:ascii="Times New Roman" w:eastAsia="Times New Roman" w:hAnsi="Times New Roman" w:cs="Times New Roman"/>
          <w:kern w:val="0"/>
          <w:lang w:val="en-US" w:eastAsia="ru-RU"/>
          <w14:ligatures w14:val="none"/>
        </w:rPr>
        <w:t xml:space="preserve"> 1</w:t>
      </w:r>
      <w:r w:rsidRPr="00922792">
        <w:rPr>
          <w:rFonts w:ascii="Times New Roman" w:eastAsia="Times New Roman" w:hAnsi="Times New Roman" w:cs="Times New Roman"/>
          <w:kern w:val="0"/>
          <w:lang w:val="en-US" w:eastAsia="ru-RU"/>
          <w14:ligatures w14:val="none"/>
        </w:rPr>
        <w:t>. Impact of authors by number of publications.</w:t>
      </w:r>
    </w:p>
    <w:tbl>
      <w:tblPr>
        <w:tblStyle w:val="TableGrid"/>
        <w:tblW w:w="9141" w:type="dxa"/>
        <w:tblLook w:val="04A0" w:firstRow="1" w:lastRow="0" w:firstColumn="1" w:lastColumn="0" w:noHBand="0" w:noVBand="1"/>
      </w:tblPr>
      <w:tblGrid>
        <w:gridCol w:w="6755"/>
        <w:gridCol w:w="2386"/>
      </w:tblGrid>
      <w:tr w:rsidR="00964CC8" w:rsidRPr="00922792" w14:paraId="5056A02A" w14:textId="77777777">
        <w:trPr>
          <w:trHeight w:val="340"/>
        </w:trPr>
        <w:tc>
          <w:tcPr>
            <w:tcW w:w="6755" w:type="dxa"/>
            <w:noWrap/>
          </w:tcPr>
          <w:p w14:paraId="138D0D0E" w14:textId="77777777" w:rsidR="00964CC8" w:rsidRPr="00922792" w:rsidRDefault="00964CC8" w:rsidP="00964CC8">
            <w:pPr>
              <w:rPr>
                <w:rFonts w:ascii="Times New Roman" w:eastAsia="Times New Roman" w:hAnsi="Times New Roman" w:cs="Times New Roman"/>
                <w:b/>
                <w:color w:val="000000"/>
                <w:sz w:val="22"/>
                <w:szCs w:val="22"/>
                <w:lang w:eastAsia="ru-RU"/>
              </w:rPr>
            </w:pPr>
            <w:r w:rsidRPr="00922792">
              <w:rPr>
                <w:rFonts w:ascii="Times New Roman" w:eastAsia="Times New Roman" w:hAnsi="Times New Roman" w:cs="Times New Roman"/>
                <w:b/>
                <w:color w:val="000000"/>
                <w:sz w:val="22"/>
                <w:szCs w:val="22"/>
                <w:lang w:eastAsia="ru-RU"/>
              </w:rPr>
              <w:t>Author</w:t>
            </w:r>
          </w:p>
        </w:tc>
        <w:tc>
          <w:tcPr>
            <w:tcW w:w="2386" w:type="dxa"/>
            <w:noWrap/>
          </w:tcPr>
          <w:p w14:paraId="253A803E" w14:textId="77777777" w:rsidR="00964CC8" w:rsidRPr="00922792" w:rsidRDefault="00964CC8" w:rsidP="00964CC8">
            <w:pPr>
              <w:jc w:val="cente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N</w:t>
            </w:r>
            <w:r w:rsidRPr="00922792">
              <w:rPr>
                <w:rFonts w:ascii="Times New Roman" w:eastAsia="Times New Roman" w:hAnsi="Times New Roman" w:cs="Times New Roman"/>
                <w:b/>
                <w:color w:val="000000"/>
                <w:sz w:val="22"/>
                <w:szCs w:val="22"/>
                <w:lang w:eastAsia="ru-RU"/>
              </w:rPr>
              <w:t xml:space="preserve">o. </w:t>
            </w:r>
            <w:r w:rsidRPr="00922792">
              <w:rPr>
                <w:rFonts w:ascii="Times New Roman" w:eastAsia="Times New Roman" w:hAnsi="Times New Roman" w:cs="Times New Roman"/>
                <w:b/>
                <w:bCs/>
                <w:color w:val="000000"/>
                <w:sz w:val="22"/>
                <w:szCs w:val="22"/>
                <w:lang w:eastAsia="ru-RU"/>
              </w:rPr>
              <w:t>of articles</w:t>
            </w:r>
          </w:p>
        </w:tc>
      </w:tr>
      <w:tr w:rsidR="00964CC8" w:rsidRPr="00922792" w14:paraId="343C8E10" w14:textId="77777777">
        <w:trPr>
          <w:trHeight w:val="340"/>
        </w:trPr>
        <w:tc>
          <w:tcPr>
            <w:tcW w:w="6755" w:type="dxa"/>
            <w:noWrap/>
            <w:hideMark/>
          </w:tcPr>
          <w:p w14:paraId="264B5CB3"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 xml:space="preserve">van </w:t>
            </w:r>
            <w:proofErr w:type="spellStart"/>
            <w:r w:rsidRPr="00922792">
              <w:rPr>
                <w:rFonts w:ascii="Times New Roman" w:eastAsia="Times New Roman" w:hAnsi="Times New Roman" w:cs="Times New Roman"/>
                <w:color w:val="000000"/>
                <w:sz w:val="22"/>
                <w:szCs w:val="22"/>
                <w:lang w:eastAsia="ru-RU"/>
              </w:rPr>
              <w:t>Rijnsoever</w:t>
            </w:r>
            <w:proofErr w:type="spellEnd"/>
            <w:r w:rsidRPr="00922792">
              <w:rPr>
                <w:rFonts w:ascii="Times New Roman" w:eastAsia="Times New Roman" w:hAnsi="Times New Roman" w:cs="Times New Roman"/>
                <w:color w:val="000000"/>
                <w:sz w:val="22"/>
                <w:szCs w:val="22"/>
                <w:lang w:eastAsia="ru-RU"/>
              </w:rPr>
              <w:t xml:space="preserve"> FJ</w:t>
            </w:r>
          </w:p>
        </w:tc>
        <w:tc>
          <w:tcPr>
            <w:tcW w:w="2386" w:type="dxa"/>
            <w:noWrap/>
            <w:hideMark/>
          </w:tcPr>
          <w:p w14:paraId="34301904"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4</w:t>
            </w:r>
          </w:p>
        </w:tc>
      </w:tr>
      <w:tr w:rsidR="00964CC8" w:rsidRPr="00922792" w14:paraId="7D9B9CAD" w14:textId="77777777">
        <w:trPr>
          <w:trHeight w:val="340"/>
        </w:trPr>
        <w:tc>
          <w:tcPr>
            <w:tcW w:w="6755" w:type="dxa"/>
            <w:noWrap/>
            <w:hideMark/>
          </w:tcPr>
          <w:p w14:paraId="1222CCF7"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Aarikka-Stenroos L</w:t>
            </w:r>
          </w:p>
        </w:tc>
        <w:tc>
          <w:tcPr>
            <w:tcW w:w="2386" w:type="dxa"/>
            <w:noWrap/>
            <w:hideMark/>
          </w:tcPr>
          <w:p w14:paraId="5C1DC857"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0CAE1377" w14:textId="77777777">
        <w:trPr>
          <w:trHeight w:val="340"/>
        </w:trPr>
        <w:tc>
          <w:tcPr>
            <w:tcW w:w="6755" w:type="dxa"/>
            <w:noWrap/>
            <w:hideMark/>
          </w:tcPr>
          <w:p w14:paraId="55D68857" w14:textId="77777777" w:rsidR="00964CC8" w:rsidRPr="00922792" w:rsidRDefault="00964CC8" w:rsidP="00964CC8">
            <w:pPr>
              <w:rPr>
                <w:rFonts w:ascii="Times New Roman" w:eastAsia="Times New Roman" w:hAnsi="Times New Roman" w:cs="Times New Roman"/>
                <w:color w:val="000000"/>
                <w:sz w:val="22"/>
                <w:szCs w:val="22"/>
                <w:lang w:eastAsia="ru-RU"/>
              </w:rPr>
            </w:pPr>
            <w:proofErr w:type="spellStart"/>
            <w:r w:rsidRPr="00922792">
              <w:rPr>
                <w:rFonts w:ascii="Times New Roman" w:eastAsia="Times New Roman" w:hAnsi="Times New Roman" w:cs="Times New Roman"/>
                <w:color w:val="000000"/>
                <w:sz w:val="22"/>
                <w:szCs w:val="22"/>
                <w:lang w:eastAsia="ru-RU"/>
              </w:rPr>
              <w:t>Bocken</w:t>
            </w:r>
            <w:proofErr w:type="spellEnd"/>
            <w:r w:rsidRPr="00922792">
              <w:rPr>
                <w:rFonts w:ascii="Times New Roman" w:eastAsia="Times New Roman" w:hAnsi="Times New Roman" w:cs="Times New Roman"/>
                <w:color w:val="000000"/>
                <w:sz w:val="22"/>
                <w:szCs w:val="22"/>
                <w:lang w:eastAsia="ru-RU"/>
              </w:rPr>
              <w:t xml:space="preserve"> N</w:t>
            </w:r>
          </w:p>
        </w:tc>
        <w:tc>
          <w:tcPr>
            <w:tcW w:w="2386" w:type="dxa"/>
            <w:noWrap/>
            <w:hideMark/>
          </w:tcPr>
          <w:p w14:paraId="2239563C"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302EE9E8" w14:textId="77777777">
        <w:trPr>
          <w:trHeight w:val="340"/>
        </w:trPr>
        <w:tc>
          <w:tcPr>
            <w:tcW w:w="6755" w:type="dxa"/>
            <w:noWrap/>
            <w:hideMark/>
          </w:tcPr>
          <w:p w14:paraId="0D2D83A4"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Fichter K</w:t>
            </w:r>
          </w:p>
        </w:tc>
        <w:tc>
          <w:tcPr>
            <w:tcW w:w="2386" w:type="dxa"/>
            <w:noWrap/>
            <w:hideMark/>
          </w:tcPr>
          <w:p w14:paraId="261FE207"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0ABCD0B0" w14:textId="77777777">
        <w:trPr>
          <w:trHeight w:val="340"/>
        </w:trPr>
        <w:tc>
          <w:tcPr>
            <w:tcW w:w="6755" w:type="dxa"/>
            <w:noWrap/>
            <w:hideMark/>
          </w:tcPr>
          <w:p w14:paraId="12D02813"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Parida V</w:t>
            </w:r>
          </w:p>
        </w:tc>
        <w:tc>
          <w:tcPr>
            <w:tcW w:w="2386" w:type="dxa"/>
            <w:noWrap/>
            <w:hideMark/>
          </w:tcPr>
          <w:p w14:paraId="569E1C9F"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1F52837B" w14:textId="77777777">
        <w:trPr>
          <w:trHeight w:val="340"/>
        </w:trPr>
        <w:tc>
          <w:tcPr>
            <w:tcW w:w="6755" w:type="dxa"/>
            <w:noWrap/>
            <w:hideMark/>
          </w:tcPr>
          <w:p w14:paraId="089EAA03"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Rajala R</w:t>
            </w:r>
          </w:p>
        </w:tc>
        <w:tc>
          <w:tcPr>
            <w:tcW w:w="2386" w:type="dxa"/>
            <w:noWrap/>
            <w:hideMark/>
          </w:tcPr>
          <w:p w14:paraId="49ECDFCC"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r w:rsidR="00964CC8" w:rsidRPr="00922792" w14:paraId="376E15E8" w14:textId="77777777">
        <w:trPr>
          <w:trHeight w:val="340"/>
        </w:trPr>
        <w:tc>
          <w:tcPr>
            <w:tcW w:w="6755" w:type="dxa"/>
            <w:noWrap/>
            <w:hideMark/>
          </w:tcPr>
          <w:p w14:paraId="3B8ACE84"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Zhang X</w:t>
            </w:r>
          </w:p>
        </w:tc>
        <w:tc>
          <w:tcPr>
            <w:tcW w:w="2386" w:type="dxa"/>
            <w:noWrap/>
            <w:hideMark/>
          </w:tcPr>
          <w:p w14:paraId="572166B5"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3</w:t>
            </w:r>
          </w:p>
        </w:tc>
      </w:tr>
    </w:tbl>
    <w:p w14:paraId="154B2B31" w14:textId="77777777" w:rsidR="00964CC8" w:rsidRPr="00922792" w:rsidRDefault="00964CC8" w:rsidP="00964CC8">
      <w:pPr>
        <w:spacing w:after="0" w:line="360" w:lineRule="auto"/>
        <w:jc w:val="both"/>
        <w:rPr>
          <w:rFonts w:ascii="Times New Roman" w:eastAsia="Times New Roman" w:hAnsi="Times New Roman" w:cs="Times New Roman"/>
          <w:kern w:val="0"/>
          <w:lang w:val="en-US" w:eastAsia="ru-RU"/>
          <w14:ligatures w14:val="none"/>
        </w:rPr>
      </w:pPr>
    </w:p>
    <w:p w14:paraId="7FC4BC55" w14:textId="0EE14950" w:rsidR="00964CC8" w:rsidRPr="00922792" w:rsidRDefault="00964CC8" w:rsidP="274617CB">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Table</w:t>
      </w:r>
      <w:r w:rsidR="6CF3410D" w:rsidRPr="00922792">
        <w:rPr>
          <w:rFonts w:ascii="Times New Roman" w:eastAsia="Times New Roman" w:hAnsi="Times New Roman" w:cs="Times New Roman"/>
          <w:kern w:val="0"/>
          <w:lang w:val="en-US" w:eastAsia="ru-RU"/>
          <w14:ligatures w14:val="none"/>
        </w:rPr>
        <w:t xml:space="preserve"> 2</w:t>
      </w:r>
      <w:r w:rsidRPr="00922792">
        <w:rPr>
          <w:rFonts w:ascii="Times New Roman" w:eastAsia="Times New Roman" w:hAnsi="Times New Roman" w:cs="Times New Roman"/>
          <w:kern w:val="0"/>
          <w:lang w:val="en-US" w:eastAsia="ru-RU"/>
          <w14:ligatures w14:val="none"/>
        </w:rPr>
        <w:t>. Impact of authors by number of citations.</w:t>
      </w:r>
    </w:p>
    <w:tbl>
      <w:tblPr>
        <w:tblStyle w:val="TableGrid"/>
        <w:tblW w:w="9141" w:type="dxa"/>
        <w:tblLook w:val="04A0" w:firstRow="1" w:lastRow="0" w:firstColumn="1" w:lastColumn="0" w:noHBand="0" w:noVBand="1"/>
      </w:tblPr>
      <w:tblGrid>
        <w:gridCol w:w="6755"/>
        <w:gridCol w:w="2386"/>
      </w:tblGrid>
      <w:tr w:rsidR="00964CC8" w:rsidRPr="00922792" w14:paraId="416B67B9" w14:textId="77777777">
        <w:trPr>
          <w:trHeight w:val="340"/>
        </w:trPr>
        <w:tc>
          <w:tcPr>
            <w:tcW w:w="6755" w:type="dxa"/>
            <w:noWrap/>
          </w:tcPr>
          <w:p w14:paraId="3979F84C" w14:textId="77777777" w:rsidR="00964CC8" w:rsidRPr="00922792" w:rsidRDefault="00964CC8" w:rsidP="00964CC8">
            <w:pPr>
              <w:rPr>
                <w:rFonts w:ascii="Times New Roman" w:eastAsia="Times New Roman" w:hAnsi="Times New Roman" w:cs="Times New Roman"/>
                <w:b/>
                <w:color w:val="000000"/>
                <w:sz w:val="22"/>
                <w:szCs w:val="22"/>
                <w:lang w:eastAsia="ru-RU"/>
              </w:rPr>
            </w:pPr>
            <w:r w:rsidRPr="00922792">
              <w:rPr>
                <w:rFonts w:ascii="Times New Roman" w:eastAsia="Times New Roman" w:hAnsi="Times New Roman" w:cs="Times New Roman"/>
                <w:b/>
                <w:color w:val="000000"/>
                <w:sz w:val="22"/>
                <w:szCs w:val="22"/>
                <w:lang w:eastAsia="ru-RU"/>
              </w:rPr>
              <w:t>Author</w:t>
            </w:r>
          </w:p>
        </w:tc>
        <w:tc>
          <w:tcPr>
            <w:tcW w:w="2386" w:type="dxa"/>
            <w:noWrap/>
          </w:tcPr>
          <w:p w14:paraId="17375959" w14:textId="77777777" w:rsidR="00964CC8" w:rsidRPr="00922792" w:rsidRDefault="00964CC8" w:rsidP="00964CC8">
            <w:pPr>
              <w:jc w:val="center"/>
              <w:rPr>
                <w:rFonts w:ascii="Times New Roman" w:eastAsia="Times New Roman" w:hAnsi="Times New Roman" w:cs="Times New Roman"/>
                <w:b/>
                <w:bCs/>
                <w:color w:val="000000"/>
                <w:sz w:val="22"/>
                <w:szCs w:val="22"/>
                <w:lang w:eastAsia="ru-RU"/>
              </w:rPr>
            </w:pPr>
            <w:r w:rsidRPr="00922792">
              <w:rPr>
                <w:rFonts w:ascii="Times New Roman" w:eastAsia="Times New Roman" w:hAnsi="Times New Roman" w:cs="Times New Roman"/>
                <w:b/>
                <w:bCs/>
                <w:color w:val="000000"/>
                <w:sz w:val="22"/>
                <w:szCs w:val="22"/>
                <w:lang w:eastAsia="ru-RU"/>
              </w:rPr>
              <w:t>N</w:t>
            </w:r>
            <w:r w:rsidRPr="00922792">
              <w:rPr>
                <w:rFonts w:ascii="Times New Roman" w:eastAsia="Times New Roman" w:hAnsi="Times New Roman" w:cs="Times New Roman"/>
                <w:b/>
                <w:color w:val="000000"/>
                <w:sz w:val="22"/>
                <w:szCs w:val="22"/>
                <w:lang w:eastAsia="ru-RU"/>
              </w:rPr>
              <w:t>o.</w:t>
            </w:r>
            <w:r w:rsidRPr="00922792">
              <w:rPr>
                <w:rFonts w:ascii="Times New Roman" w:eastAsia="Times New Roman" w:hAnsi="Times New Roman" w:cs="Times New Roman"/>
                <w:b/>
                <w:bCs/>
                <w:color w:val="000000"/>
                <w:sz w:val="22"/>
                <w:szCs w:val="22"/>
                <w:lang w:eastAsia="ru-RU"/>
              </w:rPr>
              <w:t xml:space="preserve"> of citations</w:t>
            </w:r>
          </w:p>
        </w:tc>
      </w:tr>
      <w:tr w:rsidR="00964CC8" w:rsidRPr="00922792" w14:paraId="606E15C5" w14:textId="77777777">
        <w:trPr>
          <w:trHeight w:val="340"/>
        </w:trPr>
        <w:tc>
          <w:tcPr>
            <w:tcW w:w="6755" w:type="dxa"/>
            <w:noWrap/>
            <w:hideMark/>
          </w:tcPr>
          <w:p w14:paraId="50770D7B"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Neumeyer X</w:t>
            </w:r>
          </w:p>
        </w:tc>
        <w:tc>
          <w:tcPr>
            <w:tcW w:w="2386" w:type="dxa"/>
            <w:noWrap/>
            <w:hideMark/>
          </w:tcPr>
          <w:p w14:paraId="024D0965"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15</w:t>
            </w:r>
          </w:p>
        </w:tc>
      </w:tr>
      <w:tr w:rsidR="00964CC8" w:rsidRPr="00922792" w14:paraId="3BFA4523" w14:textId="77777777">
        <w:trPr>
          <w:trHeight w:val="340"/>
        </w:trPr>
        <w:tc>
          <w:tcPr>
            <w:tcW w:w="6755" w:type="dxa"/>
            <w:noWrap/>
            <w:hideMark/>
          </w:tcPr>
          <w:p w14:paraId="7A461B9A"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Santos Sc</w:t>
            </w:r>
          </w:p>
        </w:tc>
        <w:tc>
          <w:tcPr>
            <w:tcW w:w="2386" w:type="dxa"/>
            <w:noWrap/>
            <w:hideMark/>
          </w:tcPr>
          <w:p w14:paraId="6E9DEF82"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15</w:t>
            </w:r>
          </w:p>
        </w:tc>
      </w:tr>
      <w:tr w:rsidR="00964CC8" w:rsidRPr="00922792" w14:paraId="3150447F" w14:textId="77777777">
        <w:trPr>
          <w:trHeight w:val="340"/>
        </w:trPr>
        <w:tc>
          <w:tcPr>
            <w:tcW w:w="6755" w:type="dxa"/>
            <w:noWrap/>
            <w:hideMark/>
          </w:tcPr>
          <w:p w14:paraId="0B3B33BF" w14:textId="77777777" w:rsidR="00964CC8" w:rsidRPr="00922792" w:rsidRDefault="00964CC8" w:rsidP="00964CC8">
            <w:pPr>
              <w:rPr>
                <w:rFonts w:ascii="Times New Roman" w:eastAsia="Times New Roman" w:hAnsi="Times New Roman" w:cs="Times New Roman"/>
                <w:color w:val="000000"/>
                <w:sz w:val="22"/>
                <w:szCs w:val="22"/>
                <w:lang w:eastAsia="ru-RU"/>
              </w:rPr>
            </w:pPr>
            <w:proofErr w:type="spellStart"/>
            <w:r w:rsidRPr="00922792">
              <w:rPr>
                <w:rFonts w:ascii="Times New Roman" w:eastAsia="Times New Roman" w:hAnsi="Times New Roman" w:cs="Times New Roman"/>
                <w:color w:val="000000"/>
                <w:sz w:val="22"/>
                <w:szCs w:val="22"/>
                <w:lang w:eastAsia="ru-RU"/>
              </w:rPr>
              <w:t>Bocken</w:t>
            </w:r>
            <w:proofErr w:type="spellEnd"/>
            <w:r w:rsidRPr="00922792">
              <w:rPr>
                <w:rFonts w:ascii="Times New Roman" w:eastAsia="Times New Roman" w:hAnsi="Times New Roman" w:cs="Times New Roman"/>
                <w:color w:val="000000"/>
                <w:sz w:val="22"/>
                <w:szCs w:val="22"/>
                <w:lang w:eastAsia="ru-RU"/>
              </w:rPr>
              <w:t xml:space="preserve"> N</w:t>
            </w:r>
          </w:p>
        </w:tc>
        <w:tc>
          <w:tcPr>
            <w:tcW w:w="2386" w:type="dxa"/>
            <w:noWrap/>
            <w:hideMark/>
          </w:tcPr>
          <w:p w14:paraId="793CECAB"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13</w:t>
            </w:r>
          </w:p>
        </w:tc>
      </w:tr>
      <w:tr w:rsidR="00964CC8" w:rsidRPr="00922792" w14:paraId="66C3AAA1" w14:textId="77777777">
        <w:trPr>
          <w:trHeight w:val="340"/>
        </w:trPr>
        <w:tc>
          <w:tcPr>
            <w:tcW w:w="6755" w:type="dxa"/>
            <w:noWrap/>
            <w:hideMark/>
          </w:tcPr>
          <w:p w14:paraId="6F609706" w14:textId="77777777" w:rsidR="00964CC8" w:rsidRPr="00922792" w:rsidRDefault="00964CC8" w:rsidP="00964CC8">
            <w:pPr>
              <w:rPr>
                <w:rFonts w:ascii="Times New Roman" w:eastAsia="Times New Roman" w:hAnsi="Times New Roman" w:cs="Times New Roman"/>
                <w:color w:val="000000"/>
                <w:sz w:val="22"/>
                <w:szCs w:val="22"/>
                <w:lang w:eastAsia="ru-RU"/>
              </w:rPr>
            </w:pPr>
            <w:proofErr w:type="spellStart"/>
            <w:r w:rsidRPr="00922792">
              <w:rPr>
                <w:rFonts w:ascii="Times New Roman" w:eastAsia="Times New Roman" w:hAnsi="Times New Roman" w:cs="Times New Roman"/>
                <w:color w:val="000000"/>
                <w:sz w:val="22"/>
                <w:szCs w:val="22"/>
                <w:lang w:eastAsia="ru-RU"/>
              </w:rPr>
              <w:t>Hultink</w:t>
            </w:r>
            <w:proofErr w:type="spellEnd"/>
            <w:r w:rsidRPr="00922792">
              <w:rPr>
                <w:rFonts w:ascii="Times New Roman" w:eastAsia="Times New Roman" w:hAnsi="Times New Roman" w:cs="Times New Roman"/>
                <w:color w:val="000000"/>
                <w:sz w:val="22"/>
                <w:szCs w:val="22"/>
                <w:lang w:eastAsia="ru-RU"/>
              </w:rPr>
              <w:t xml:space="preserve"> </w:t>
            </w:r>
            <w:proofErr w:type="spellStart"/>
            <w:r w:rsidRPr="00922792">
              <w:rPr>
                <w:rFonts w:ascii="Times New Roman" w:eastAsia="Times New Roman" w:hAnsi="Times New Roman" w:cs="Times New Roman"/>
                <w:color w:val="000000"/>
                <w:sz w:val="22"/>
                <w:szCs w:val="22"/>
                <w:lang w:eastAsia="ru-RU"/>
              </w:rPr>
              <w:t>Ej</w:t>
            </w:r>
            <w:proofErr w:type="spellEnd"/>
          </w:p>
        </w:tc>
        <w:tc>
          <w:tcPr>
            <w:tcW w:w="2386" w:type="dxa"/>
            <w:noWrap/>
            <w:hideMark/>
          </w:tcPr>
          <w:p w14:paraId="678EA7AE"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13</w:t>
            </w:r>
          </w:p>
        </w:tc>
      </w:tr>
      <w:tr w:rsidR="00964CC8" w:rsidRPr="00922792" w14:paraId="476E0E37" w14:textId="77777777">
        <w:trPr>
          <w:trHeight w:val="340"/>
        </w:trPr>
        <w:tc>
          <w:tcPr>
            <w:tcW w:w="6755" w:type="dxa"/>
            <w:noWrap/>
            <w:hideMark/>
          </w:tcPr>
          <w:p w14:paraId="7B75DC52"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Konietzko J</w:t>
            </w:r>
          </w:p>
        </w:tc>
        <w:tc>
          <w:tcPr>
            <w:tcW w:w="2386" w:type="dxa"/>
            <w:noWrap/>
            <w:hideMark/>
          </w:tcPr>
          <w:p w14:paraId="73921CF6"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13</w:t>
            </w:r>
          </w:p>
        </w:tc>
      </w:tr>
      <w:tr w:rsidR="00964CC8" w:rsidRPr="00922792" w14:paraId="28E551EA" w14:textId="77777777">
        <w:trPr>
          <w:trHeight w:val="340"/>
        </w:trPr>
        <w:tc>
          <w:tcPr>
            <w:tcW w:w="6755" w:type="dxa"/>
            <w:noWrap/>
            <w:hideMark/>
          </w:tcPr>
          <w:p w14:paraId="64242FC4" w14:textId="77777777" w:rsidR="00964CC8" w:rsidRPr="00922792" w:rsidRDefault="00964CC8" w:rsidP="00964CC8">
            <w:pPr>
              <w:rPr>
                <w:rFonts w:ascii="Times New Roman" w:eastAsia="Times New Roman" w:hAnsi="Times New Roman" w:cs="Times New Roman"/>
                <w:color w:val="000000"/>
                <w:sz w:val="22"/>
                <w:szCs w:val="22"/>
                <w:lang w:eastAsia="ru-RU"/>
              </w:rPr>
            </w:pPr>
            <w:proofErr w:type="spellStart"/>
            <w:r w:rsidRPr="00922792">
              <w:rPr>
                <w:rFonts w:ascii="Times New Roman" w:eastAsia="Times New Roman" w:hAnsi="Times New Roman" w:cs="Times New Roman"/>
                <w:color w:val="000000"/>
                <w:sz w:val="22"/>
                <w:szCs w:val="22"/>
                <w:lang w:eastAsia="ru-RU"/>
              </w:rPr>
              <w:t>Burstrom</w:t>
            </w:r>
            <w:proofErr w:type="spellEnd"/>
            <w:r w:rsidRPr="00922792">
              <w:rPr>
                <w:rFonts w:ascii="Times New Roman" w:eastAsia="Times New Roman" w:hAnsi="Times New Roman" w:cs="Times New Roman"/>
                <w:color w:val="000000"/>
                <w:sz w:val="22"/>
                <w:szCs w:val="22"/>
                <w:lang w:eastAsia="ru-RU"/>
              </w:rPr>
              <w:t xml:space="preserve"> T</w:t>
            </w:r>
          </w:p>
        </w:tc>
        <w:tc>
          <w:tcPr>
            <w:tcW w:w="2386" w:type="dxa"/>
            <w:noWrap/>
            <w:hideMark/>
          </w:tcPr>
          <w:p w14:paraId="5B495F99"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759F63FC" w14:textId="77777777">
        <w:trPr>
          <w:trHeight w:val="340"/>
        </w:trPr>
        <w:tc>
          <w:tcPr>
            <w:tcW w:w="6755" w:type="dxa"/>
            <w:noWrap/>
            <w:hideMark/>
          </w:tcPr>
          <w:p w14:paraId="008455FA"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Parida V</w:t>
            </w:r>
          </w:p>
        </w:tc>
        <w:tc>
          <w:tcPr>
            <w:tcW w:w="2386" w:type="dxa"/>
            <w:noWrap/>
            <w:hideMark/>
          </w:tcPr>
          <w:p w14:paraId="6FE314BC"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1B44AF59" w14:textId="77777777">
        <w:trPr>
          <w:trHeight w:val="340"/>
        </w:trPr>
        <w:tc>
          <w:tcPr>
            <w:tcW w:w="6755" w:type="dxa"/>
            <w:noWrap/>
            <w:hideMark/>
          </w:tcPr>
          <w:p w14:paraId="7ECBB14E"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 xml:space="preserve">van </w:t>
            </w:r>
            <w:proofErr w:type="spellStart"/>
            <w:r w:rsidRPr="00922792">
              <w:rPr>
                <w:rFonts w:ascii="Times New Roman" w:eastAsia="Times New Roman" w:hAnsi="Times New Roman" w:cs="Times New Roman"/>
                <w:color w:val="000000"/>
                <w:sz w:val="22"/>
                <w:szCs w:val="22"/>
                <w:lang w:eastAsia="ru-RU"/>
              </w:rPr>
              <w:t>Rijnsoever</w:t>
            </w:r>
            <w:proofErr w:type="spellEnd"/>
            <w:r w:rsidRPr="00922792">
              <w:rPr>
                <w:rFonts w:ascii="Times New Roman" w:eastAsia="Times New Roman" w:hAnsi="Times New Roman" w:cs="Times New Roman"/>
                <w:color w:val="000000"/>
                <w:sz w:val="22"/>
                <w:szCs w:val="22"/>
                <w:lang w:eastAsia="ru-RU"/>
              </w:rPr>
              <w:t xml:space="preserve"> FJ</w:t>
            </w:r>
          </w:p>
        </w:tc>
        <w:tc>
          <w:tcPr>
            <w:tcW w:w="2386" w:type="dxa"/>
            <w:noWrap/>
            <w:hideMark/>
          </w:tcPr>
          <w:p w14:paraId="675DF9CA"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7335121D" w14:textId="77777777">
        <w:trPr>
          <w:trHeight w:val="340"/>
        </w:trPr>
        <w:tc>
          <w:tcPr>
            <w:tcW w:w="6755" w:type="dxa"/>
            <w:noWrap/>
            <w:hideMark/>
          </w:tcPr>
          <w:p w14:paraId="3507B190"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Visnjic I</w:t>
            </w:r>
          </w:p>
        </w:tc>
        <w:tc>
          <w:tcPr>
            <w:tcW w:w="2386" w:type="dxa"/>
            <w:noWrap/>
            <w:hideMark/>
          </w:tcPr>
          <w:p w14:paraId="0333BF0D"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r w:rsidR="00964CC8" w:rsidRPr="00922792" w14:paraId="0A5B0207" w14:textId="77777777">
        <w:trPr>
          <w:trHeight w:val="340"/>
        </w:trPr>
        <w:tc>
          <w:tcPr>
            <w:tcW w:w="6755" w:type="dxa"/>
            <w:noWrap/>
            <w:hideMark/>
          </w:tcPr>
          <w:p w14:paraId="5604CBD0" w14:textId="77777777" w:rsidR="00964CC8" w:rsidRPr="00922792" w:rsidRDefault="00964CC8" w:rsidP="00964CC8">
            <w:pP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Wincent J</w:t>
            </w:r>
          </w:p>
        </w:tc>
        <w:tc>
          <w:tcPr>
            <w:tcW w:w="2386" w:type="dxa"/>
            <w:noWrap/>
            <w:hideMark/>
          </w:tcPr>
          <w:p w14:paraId="110BBCE9" w14:textId="77777777" w:rsidR="00964CC8" w:rsidRPr="00922792" w:rsidRDefault="00964CC8" w:rsidP="00964CC8">
            <w:pPr>
              <w:jc w:val="center"/>
              <w:rPr>
                <w:rFonts w:ascii="Times New Roman" w:eastAsia="Times New Roman" w:hAnsi="Times New Roman" w:cs="Times New Roman"/>
                <w:color w:val="000000"/>
                <w:sz w:val="22"/>
                <w:szCs w:val="22"/>
                <w:lang w:eastAsia="ru-RU"/>
              </w:rPr>
            </w:pPr>
            <w:r w:rsidRPr="00922792">
              <w:rPr>
                <w:rFonts w:ascii="Times New Roman" w:eastAsia="Times New Roman" w:hAnsi="Times New Roman" w:cs="Times New Roman"/>
                <w:color w:val="000000"/>
                <w:sz w:val="22"/>
                <w:szCs w:val="22"/>
                <w:lang w:eastAsia="ru-RU"/>
              </w:rPr>
              <w:t>11</w:t>
            </w:r>
          </w:p>
        </w:tc>
      </w:tr>
    </w:tbl>
    <w:p w14:paraId="43F7F6FD" w14:textId="16314F4F" w:rsidR="009366BC" w:rsidRPr="00922792" w:rsidRDefault="009366BC" w:rsidP="639372C8">
      <w:pPr>
        <w:jc w:val="both"/>
        <w:rPr>
          <w:rFonts w:ascii="Times New Roman" w:hAnsi="Times New Roman" w:cs="Times New Roman"/>
        </w:rPr>
      </w:pPr>
    </w:p>
    <w:p w14:paraId="7E25510E" w14:textId="77777777" w:rsidR="009366BC" w:rsidRPr="00922792" w:rsidRDefault="009366BC" w:rsidP="6C6336C6">
      <w:pPr>
        <w:spacing w:after="0"/>
        <w:jc w:val="both"/>
        <w:rPr>
          <w:rFonts w:ascii="Times New Roman" w:hAnsi="Times New Roman" w:cs="Times New Roman"/>
        </w:rPr>
      </w:pPr>
    </w:p>
    <w:p w14:paraId="63A292D1" w14:textId="2234CE26" w:rsidR="6C6336C6" w:rsidRPr="00922792" w:rsidRDefault="6C6336C6" w:rsidP="6C6336C6">
      <w:pPr>
        <w:spacing w:after="0"/>
        <w:jc w:val="both"/>
        <w:rPr>
          <w:rFonts w:ascii="Times New Roman" w:hAnsi="Times New Roman" w:cs="Times New Roman"/>
        </w:rPr>
      </w:pPr>
    </w:p>
    <w:p w14:paraId="50DF2D47" w14:textId="7D5CA0EB" w:rsidR="6C6336C6" w:rsidRPr="00922792" w:rsidRDefault="6C6336C6" w:rsidP="6C6336C6">
      <w:pPr>
        <w:spacing w:after="0"/>
        <w:jc w:val="both"/>
        <w:rPr>
          <w:rFonts w:ascii="Times New Roman" w:hAnsi="Times New Roman" w:cs="Times New Roman"/>
        </w:rPr>
      </w:pPr>
    </w:p>
    <w:p w14:paraId="1084AF7E" w14:textId="4C3B500C" w:rsidR="6C6336C6" w:rsidRPr="00922792" w:rsidRDefault="6C6336C6" w:rsidP="6C6336C6">
      <w:pPr>
        <w:spacing w:after="0"/>
        <w:jc w:val="both"/>
        <w:rPr>
          <w:rFonts w:ascii="Times New Roman" w:hAnsi="Times New Roman" w:cs="Times New Roman"/>
        </w:rPr>
      </w:pPr>
    </w:p>
    <w:p w14:paraId="1F45B66E" w14:textId="35D2D46D" w:rsidR="6C6336C6" w:rsidRPr="00922792" w:rsidRDefault="6C6336C6" w:rsidP="6C6336C6">
      <w:pPr>
        <w:spacing w:after="0"/>
        <w:jc w:val="both"/>
        <w:rPr>
          <w:rFonts w:ascii="Times New Roman" w:hAnsi="Times New Roman" w:cs="Times New Roman"/>
        </w:rPr>
      </w:pPr>
    </w:p>
    <w:p w14:paraId="20B69FB8" w14:textId="5590316C" w:rsidR="6C6336C6" w:rsidRPr="00922792" w:rsidRDefault="6C6336C6" w:rsidP="6C6336C6">
      <w:pPr>
        <w:spacing w:after="0"/>
        <w:jc w:val="both"/>
        <w:rPr>
          <w:rFonts w:ascii="Times New Roman" w:hAnsi="Times New Roman" w:cs="Times New Roman"/>
        </w:rPr>
      </w:pPr>
    </w:p>
    <w:p w14:paraId="205B7AF1" w14:textId="7C09D2FC" w:rsidR="6C6336C6" w:rsidRPr="00922792" w:rsidRDefault="6C6336C6" w:rsidP="6C6336C6">
      <w:pPr>
        <w:spacing w:after="0"/>
        <w:jc w:val="both"/>
        <w:rPr>
          <w:rFonts w:ascii="Times New Roman" w:hAnsi="Times New Roman" w:cs="Times New Roman"/>
        </w:rPr>
      </w:pPr>
    </w:p>
    <w:p w14:paraId="5E83805F" w14:textId="3CF72681" w:rsidR="6C6336C6" w:rsidRPr="00922792" w:rsidRDefault="6C6336C6" w:rsidP="6C6336C6">
      <w:pPr>
        <w:spacing w:after="0"/>
        <w:jc w:val="both"/>
        <w:rPr>
          <w:rFonts w:ascii="Times New Roman" w:hAnsi="Times New Roman" w:cs="Times New Roman"/>
        </w:rPr>
      </w:pPr>
    </w:p>
    <w:p w14:paraId="65D3F546" w14:textId="2649049B" w:rsidR="6C6336C6" w:rsidRPr="00922792" w:rsidRDefault="6C6336C6" w:rsidP="6C6336C6">
      <w:pPr>
        <w:spacing w:after="0"/>
        <w:jc w:val="both"/>
        <w:rPr>
          <w:rFonts w:ascii="Times New Roman" w:hAnsi="Times New Roman" w:cs="Times New Roman"/>
        </w:rPr>
      </w:pPr>
    </w:p>
    <w:p w14:paraId="6A712B91" w14:textId="69F3C025" w:rsidR="6C6336C6" w:rsidRPr="00922792" w:rsidRDefault="6C6336C6" w:rsidP="6C6336C6">
      <w:pPr>
        <w:spacing w:after="0"/>
        <w:jc w:val="both"/>
        <w:rPr>
          <w:rFonts w:ascii="Times New Roman" w:hAnsi="Times New Roman" w:cs="Times New Roman"/>
        </w:rPr>
      </w:pPr>
    </w:p>
    <w:p w14:paraId="7B4C3046" w14:textId="02F3E9B3" w:rsidR="6C6336C6" w:rsidRPr="00922792" w:rsidRDefault="6C6336C6" w:rsidP="6C6336C6">
      <w:pPr>
        <w:spacing w:after="0"/>
        <w:jc w:val="both"/>
        <w:rPr>
          <w:rFonts w:ascii="Times New Roman" w:hAnsi="Times New Roman" w:cs="Times New Roman"/>
        </w:rPr>
      </w:pPr>
    </w:p>
    <w:p w14:paraId="616DA9AC" w14:textId="4DEF6C09" w:rsidR="6C6336C6" w:rsidRPr="00922792" w:rsidRDefault="6C6336C6" w:rsidP="6C6336C6">
      <w:pPr>
        <w:spacing w:after="0"/>
        <w:jc w:val="both"/>
        <w:rPr>
          <w:rFonts w:ascii="Times New Roman" w:hAnsi="Times New Roman" w:cs="Times New Roman"/>
        </w:rPr>
      </w:pPr>
    </w:p>
    <w:p w14:paraId="107C4BFF" w14:textId="5112DECE" w:rsidR="6C6336C6" w:rsidRPr="00922792" w:rsidRDefault="6C6336C6" w:rsidP="6C6336C6">
      <w:pPr>
        <w:spacing w:after="0"/>
        <w:jc w:val="both"/>
        <w:rPr>
          <w:rFonts w:ascii="Times New Roman" w:hAnsi="Times New Roman" w:cs="Times New Roman"/>
        </w:rPr>
      </w:pPr>
    </w:p>
    <w:p w14:paraId="36EDE088" w14:textId="74134523" w:rsidR="6C6336C6" w:rsidRPr="00922792" w:rsidRDefault="6C6336C6" w:rsidP="6C6336C6">
      <w:pPr>
        <w:spacing w:after="0"/>
        <w:jc w:val="both"/>
        <w:rPr>
          <w:rFonts w:ascii="Times New Roman" w:hAnsi="Times New Roman" w:cs="Times New Roman"/>
        </w:rPr>
      </w:pPr>
    </w:p>
    <w:p w14:paraId="2E9C6F85" w14:textId="77777777" w:rsidR="003E2218" w:rsidRPr="00922792" w:rsidRDefault="003E2218" w:rsidP="6C6336C6">
      <w:pPr>
        <w:spacing w:after="0"/>
        <w:jc w:val="both"/>
        <w:rPr>
          <w:rFonts w:ascii="Times New Roman" w:hAnsi="Times New Roman" w:cs="Times New Roman"/>
        </w:rPr>
      </w:pPr>
    </w:p>
    <w:p w14:paraId="3880D85C" w14:textId="21D0C08E" w:rsidR="6C6336C6" w:rsidRPr="00922792" w:rsidRDefault="6C6336C6" w:rsidP="6C6336C6">
      <w:pPr>
        <w:spacing w:after="0"/>
        <w:jc w:val="both"/>
        <w:rPr>
          <w:rFonts w:ascii="Times New Roman" w:hAnsi="Times New Roman" w:cs="Times New Roman"/>
        </w:rPr>
      </w:pPr>
    </w:p>
    <w:p w14:paraId="35A6576C" w14:textId="6642DEF3" w:rsidR="00922792" w:rsidRPr="00922792" w:rsidRDefault="00922792" w:rsidP="00922792">
      <w:pPr>
        <w:spacing w:after="0" w:line="360" w:lineRule="auto"/>
        <w:jc w:val="center"/>
        <w:rPr>
          <w:rFonts w:ascii="Times New Roman" w:hAnsi="Times New Roman" w:cs="Times New Roman"/>
          <w:b/>
          <w:bCs/>
          <w:lang w:val="en-GB"/>
        </w:rPr>
      </w:pPr>
      <w:r w:rsidRPr="00922792">
        <w:rPr>
          <w:rFonts w:ascii="Times New Roman" w:hAnsi="Times New Roman" w:cs="Times New Roman"/>
          <w:b/>
          <w:bCs/>
          <w:lang w:val="en-GB"/>
        </w:rPr>
        <w:lastRenderedPageBreak/>
        <w:t>Web Appendix C. Themes analysis by phase</w:t>
      </w:r>
    </w:p>
    <w:p w14:paraId="700C3BC5" w14:textId="5A98DEC0" w:rsidR="00922792" w:rsidRPr="00922792" w:rsidRDefault="00922792" w:rsidP="00922792">
      <w:pPr>
        <w:spacing w:after="0" w:line="360" w:lineRule="auto"/>
        <w:jc w:val="both"/>
        <w:rPr>
          <w:rFonts w:ascii="Times New Roman" w:hAnsi="Times New Roman" w:cs="Times New Roman"/>
          <w:lang w:val="en-GB"/>
        </w:rPr>
      </w:pPr>
      <w:r w:rsidRPr="00922792">
        <w:rPr>
          <w:rFonts w:ascii="Times New Roman" w:hAnsi="Times New Roman" w:cs="Times New Roman"/>
          <w:lang w:val="en-GB"/>
        </w:rPr>
        <w:t>After outlining the main phases of the research evolution in Section 4.2 and discussing the main literature sub-domains in Sections 5, we conducted an additional themes analysis to explore more deeply the intersection between temporal dynamics and these sub-domains.</w:t>
      </w:r>
    </w:p>
    <w:p w14:paraId="205DEF00" w14:textId="77777777" w:rsidR="00922792" w:rsidRPr="00922792" w:rsidRDefault="00922792" w:rsidP="00922792">
      <w:pPr>
        <w:spacing w:after="0" w:line="360" w:lineRule="auto"/>
        <w:jc w:val="both"/>
        <w:rPr>
          <w:rFonts w:ascii="Times New Roman" w:hAnsi="Times New Roman" w:cs="Times New Roman"/>
          <w:lang w:val="en-GB"/>
        </w:rPr>
      </w:pPr>
    </w:p>
    <w:p w14:paraId="4EA6A558" w14:textId="77777777" w:rsidR="00922792" w:rsidRPr="00922792" w:rsidRDefault="00922792" w:rsidP="00922792">
      <w:pPr>
        <w:spacing w:after="0" w:line="360" w:lineRule="auto"/>
        <w:jc w:val="both"/>
        <w:rPr>
          <w:rFonts w:ascii="Times New Roman" w:hAnsi="Times New Roman" w:cs="Times New Roman"/>
          <w:lang w:val="en-GB"/>
        </w:rPr>
      </w:pPr>
      <w:r w:rsidRPr="00922792">
        <w:rPr>
          <w:rFonts w:ascii="Times New Roman" w:hAnsi="Times New Roman" w:cs="Times New Roman"/>
          <w:lang w:val="en-GB"/>
        </w:rPr>
        <w:t>First, we grouped articles according to the phases identified in our earlier analysis.</w:t>
      </w:r>
    </w:p>
    <w:p w14:paraId="59755358" w14:textId="6A2212B5" w:rsidR="00922792" w:rsidRPr="00922792" w:rsidRDefault="00922792" w:rsidP="00922792">
      <w:pPr>
        <w:spacing w:after="0" w:line="360" w:lineRule="auto"/>
        <w:jc w:val="both"/>
        <w:rPr>
          <w:rFonts w:ascii="Times New Roman" w:hAnsi="Times New Roman" w:cs="Times New Roman"/>
          <w:lang w:val="en-GB"/>
        </w:rPr>
      </w:pPr>
      <w:r w:rsidRPr="00922792">
        <w:rPr>
          <w:rFonts w:ascii="Times New Roman" w:hAnsi="Times New Roman" w:cs="Times New Roman"/>
          <w:lang w:val="en-GB"/>
        </w:rPr>
        <w:t>Second, we organized the research across the temporal phases. To do so, we performed a themes analysis which resulted in the outputs shown in Figures 1–3 below.</w:t>
      </w:r>
    </w:p>
    <w:p w14:paraId="72B80F31" w14:textId="77777777" w:rsidR="00FB6A58" w:rsidRPr="00922792" w:rsidRDefault="00FB6A58" w:rsidP="00E3157C">
      <w:pPr>
        <w:spacing w:after="0" w:line="360" w:lineRule="auto"/>
        <w:rPr>
          <w:rFonts w:ascii="Times New Roman" w:eastAsia="Times New Roman" w:hAnsi="Times New Roman" w:cs="Times New Roman"/>
          <w:kern w:val="0"/>
          <w:lang w:val="en-GB" w:eastAsia="ru-RU"/>
          <w14:ligatures w14:val="none"/>
        </w:rPr>
      </w:pPr>
    </w:p>
    <w:p w14:paraId="081EA6C2" w14:textId="77777777" w:rsidR="008E7268" w:rsidRPr="00652185" w:rsidRDefault="008E7268" w:rsidP="00C46C78">
      <w:pPr>
        <w:spacing w:after="0" w:line="360" w:lineRule="auto"/>
        <w:jc w:val="center"/>
        <w:rPr>
          <w:rFonts w:ascii="Times New Roman" w:eastAsia="Times New Roman" w:hAnsi="Times New Roman" w:cs="Times New Roman"/>
          <w:kern w:val="0"/>
          <w:lang w:val="en-US" w:eastAsia="ru-RU"/>
          <w14:ligatures w14:val="none"/>
        </w:rPr>
      </w:pPr>
      <w:r w:rsidRPr="00652185">
        <w:rPr>
          <w:rFonts w:ascii="Times New Roman" w:eastAsia="Times New Roman" w:hAnsi="Times New Roman" w:cs="Times New Roman"/>
          <w:kern w:val="0"/>
          <w:lang w:val="en-US" w:eastAsia="ru-RU"/>
          <w14:ligatures w14:val="none"/>
        </w:rPr>
        <w:t>Figure 1. Themes emerging from Phase 1.</w:t>
      </w:r>
    </w:p>
    <w:p w14:paraId="1AF002CC" w14:textId="77777777" w:rsidR="008E7268" w:rsidRPr="00652185" w:rsidRDefault="008E7268" w:rsidP="008E7268">
      <w:pPr>
        <w:jc w:val="center"/>
        <w:rPr>
          <w:rFonts w:ascii="Times New Roman" w:hAnsi="Times New Roman" w:cs="Times New Roman"/>
          <w:lang w:val="en-US"/>
        </w:rPr>
      </w:pPr>
      <w:r w:rsidRPr="00652185">
        <w:rPr>
          <w:rFonts w:ascii="Times New Roman" w:hAnsi="Times New Roman" w:cs="Times New Roman"/>
          <w:noProof/>
          <w:shd w:val="clear" w:color="auto" w:fill="FFFF00"/>
          <w:lang w:val="en-US"/>
        </w:rPr>
        <w:drawing>
          <wp:inline distT="0" distB="0" distL="0" distR="0" wp14:anchorId="550F34D8" wp14:editId="08EC1DF6">
            <wp:extent cx="2368296" cy="4638941"/>
            <wp:effectExtent l="0" t="0" r="0" b="0"/>
            <wp:docPr id="2114932647" name="Picture 1" descr="Several circles with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932647" name="Picture 1" descr="Several circles with words&#10;&#10;Description automatically generated with medium confidence"/>
                    <pic:cNvPicPr/>
                  </pic:nvPicPr>
                  <pic:blipFill rotWithShape="1">
                    <a:blip r:embed="rId5" cstate="print">
                      <a:extLst>
                        <a:ext uri="{28A0092B-C50C-407E-A947-70E740481C1C}">
                          <a14:useLocalDpi xmlns:a14="http://schemas.microsoft.com/office/drawing/2010/main" val="0"/>
                        </a:ext>
                      </a:extLst>
                    </a:blip>
                    <a:srcRect r="48947"/>
                    <a:stretch/>
                  </pic:blipFill>
                  <pic:spPr bwMode="auto">
                    <a:xfrm>
                      <a:off x="0" y="0"/>
                      <a:ext cx="2373240" cy="4648625"/>
                    </a:xfrm>
                    <a:prstGeom prst="rect">
                      <a:avLst/>
                    </a:prstGeom>
                    <a:ln>
                      <a:noFill/>
                    </a:ln>
                    <a:extLst>
                      <a:ext uri="{53640926-AAD7-44D8-BBD7-CCE9431645EC}">
                        <a14:shadowObscured xmlns:a14="http://schemas.microsoft.com/office/drawing/2010/main"/>
                      </a:ext>
                    </a:extLst>
                  </pic:spPr>
                </pic:pic>
              </a:graphicData>
            </a:graphic>
          </wp:inline>
        </w:drawing>
      </w:r>
    </w:p>
    <w:p w14:paraId="04A806EF" w14:textId="77777777" w:rsidR="008E7268" w:rsidRPr="00652185" w:rsidRDefault="008E7268" w:rsidP="008E7268">
      <w:pPr>
        <w:jc w:val="center"/>
        <w:rPr>
          <w:rFonts w:ascii="Times New Roman" w:eastAsia="Times New Roman" w:hAnsi="Times New Roman" w:cs="Times New Roman"/>
          <w:kern w:val="0"/>
          <w:lang w:val="en-US" w:eastAsia="ru-RU"/>
          <w14:ligatures w14:val="none"/>
        </w:rPr>
      </w:pPr>
    </w:p>
    <w:p w14:paraId="3D1EA27E" w14:textId="77777777" w:rsidR="008E7268" w:rsidRPr="00652185" w:rsidRDefault="008E7268" w:rsidP="008E7268">
      <w:pPr>
        <w:jc w:val="center"/>
        <w:rPr>
          <w:rFonts w:ascii="Times New Roman" w:eastAsia="Times New Roman" w:hAnsi="Times New Roman" w:cs="Times New Roman"/>
          <w:kern w:val="0"/>
          <w:lang w:val="en-US" w:eastAsia="ru-RU"/>
          <w14:ligatures w14:val="none"/>
        </w:rPr>
      </w:pPr>
    </w:p>
    <w:p w14:paraId="5B4C80EE" w14:textId="77777777" w:rsidR="008E7268" w:rsidRPr="00652185" w:rsidRDefault="008E7268" w:rsidP="008E7268">
      <w:pPr>
        <w:jc w:val="center"/>
        <w:rPr>
          <w:rFonts w:ascii="Times New Roman" w:eastAsia="Times New Roman" w:hAnsi="Times New Roman" w:cs="Times New Roman"/>
          <w:kern w:val="0"/>
          <w:lang w:val="en-US" w:eastAsia="ru-RU"/>
          <w14:ligatures w14:val="none"/>
        </w:rPr>
      </w:pPr>
    </w:p>
    <w:p w14:paraId="4DEF9968" w14:textId="77777777" w:rsidR="008E7268" w:rsidRPr="00652185" w:rsidRDefault="008E7268" w:rsidP="00FB6A58">
      <w:pPr>
        <w:rPr>
          <w:rFonts w:ascii="Times New Roman" w:eastAsia="Times New Roman" w:hAnsi="Times New Roman" w:cs="Times New Roman"/>
          <w:kern w:val="0"/>
          <w:lang w:val="en-US" w:eastAsia="ru-RU"/>
          <w14:ligatures w14:val="none"/>
        </w:rPr>
      </w:pPr>
    </w:p>
    <w:p w14:paraId="15D17D03" w14:textId="77777777" w:rsidR="00E3157C" w:rsidRPr="00652185" w:rsidRDefault="00E3157C" w:rsidP="00FB6A58">
      <w:pPr>
        <w:rPr>
          <w:rFonts w:ascii="Times New Roman" w:eastAsia="Times New Roman" w:hAnsi="Times New Roman" w:cs="Times New Roman"/>
          <w:kern w:val="0"/>
          <w:lang w:val="en-US" w:eastAsia="ru-RU"/>
          <w14:ligatures w14:val="none"/>
        </w:rPr>
      </w:pPr>
    </w:p>
    <w:p w14:paraId="7BDD085D" w14:textId="77777777" w:rsidR="008E7268" w:rsidRPr="00652185" w:rsidRDefault="008E7268" w:rsidP="008E7268">
      <w:pPr>
        <w:jc w:val="center"/>
        <w:rPr>
          <w:rFonts w:ascii="Times New Roman" w:eastAsia="Times New Roman" w:hAnsi="Times New Roman" w:cs="Times New Roman"/>
          <w:kern w:val="0"/>
          <w:lang w:val="en-US" w:eastAsia="ru-RU"/>
          <w14:ligatures w14:val="none"/>
        </w:rPr>
      </w:pPr>
      <w:r w:rsidRPr="00652185">
        <w:rPr>
          <w:rFonts w:ascii="Times New Roman" w:eastAsia="Times New Roman" w:hAnsi="Times New Roman" w:cs="Times New Roman"/>
          <w:kern w:val="0"/>
          <w:lang w:val="en-US" w:eastAsia="ru-RU"/>
          <w14:ligatures w14:val="none"/>
        </w:rPr>
        <w:lastRenderedPageBreak/>
        <w:t>Figure 2. Themes emerging from Phase 2.</w:t>
      </w:r>
    </w:p>
    <w:p w14:paraId="6996D2F7" w14:textId="77777777" w:rsidR="008E7268" w:rsidRPr="00652185" w:rsidRDefault="008E7268" w:rsidP="008E7268">
      <w:pPr>
        <w:spacing w:after="0" w:line="360" w:lineRule="auto"/>
        <w:jc w:val="center"/>
        <w:rPr>
          <w:rFonts w:ascii="Times New Roman" w:eastAsia="Times New Roman" w:hAnsi="Times New Roman" w:cs="Times New Roman"/>
          <w:kern w:val="0"/>
          <w:lang w:val="en-US" w:eastAsia="ru-RU"/>
          <w14:ligatures w14:val="none"/>
        </w:rPr>
      </w:pPr>
      <w:r w:rsidRPr="00652185">
        <w:rPr>
          <w:noProof/>
        </w:rPr>
        <w:drawing>
          <wp:inline distT="0" distB="0" distL="0" distR="0" wp14:anchorId="7F691186" wp14:editId="7CD2337E">
            <wp:extent cx="4068000" cy="3553560"/>
            <wp:effectExtent l="0" t="0" r="0" b="0"/>
            <wp:docPr id="2026520160" name="Picture 4" descr="A diagram of a diagram of a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6">
                      <a:extLst>
                        <a:ext uri="{28A0092B-C50C-407E-A947-70E740481C1C}">
                          <a14:useLocalDpi xmlns:a14="http://schemas.microsoft.com/office/drawing/2010/main" val="0"/>
                        </a:ext>
                      </a:extLst>
                    </a:blip>
                    <a:srcRect b="12646"/>
                    <a:stretch>
                      <a:fillRect/>
                    </a:stretch>
                  </pic:blipFill>
                  <pic:spPr>
                    <a:xfrm>
                      <a:off x="0" y="0"/>
                      <a:ext cx="4068000" cy="3553560"/>
                    </a:xfrm>
                    <a:prstGeom prst="rect">
                      <a:avLst/>
                    </a:prstGeom>
                  </pic:spPr>
                </pic:pic>
              </a:graphicData>
            </a:graphic>
          </wp:inline>
        </w:drawing>
      </w:r>
    </w:p>
    <w:p w14:paraId="424797B6" w14:textId="77777777" w:rsidR="00FB6A58" w:rsidRPr="00652185" w:rsidRDefault="00FB6A58" w:rsidP="0067530F">
      <w:pPr>
        <w:spacing w:after="0" w:line="360" w:lineRule="auto"/>
        <w:jc w:val="center"/>
        <w:rPr>
          <w:rFonts w:ascii="Times New Roman" w:eastAsia="Times New Roman" w:hAnsi="Times New Roman" w:cs="Times New Roman"/>
          <w:kern w:val="0"/>
          <w:lang w:val="en-US" w:eastAsia="ru-RU"/>
          <w14:ligatures w14:val="none"/>
        </w:rPr>
      </w:pPr>
    </w:p>
    <w:p w14:paraId="3149309E" w14:textId="77777777" w:rsidR="0067530F" w:rsidRPr="00922792" w:rsidRDefault="0067530F" w:rsidP="0067530F">
      <w:pPr>
        <w:spacing w:after="0" w:line="360" w:lineRule="auto"/>
        <w:jc w:val="center"/>
        <w:rPr>
          <w:rFonts w:ascii="Times New Roman" w:eastAsia="Times New Roman" w:hAnsi="Times New Roman" w:cs="Times New Roman"/>
          <w:kern w:val="0"/>
          <w:lang w:val="en-US" w:eastAsia="ru-RU"/>
          <w14:ligatures w14:val="none"/>
        </w:rPr>
      </w:pPr>
      <w:r w:rsidRPr="00652185">
        <w:rPr>
          <w:rFonts w:ascii="Times New Roman" w:eastAsia="Times New Roman" w:hAnsi="Times New Roman" w:cs="Times New Roman"/>
          <w:kern w:val="0"/>
          <w:lang w:val="en-US" w:eastAsia="ru-RU"/>
          <w14:ligatures w14:val="none"/>
        </w:rPr>
        <w:t>Figure 3. Themes emerging from Phase 3.</w:t>
      </w:r>
    </w:p>
    <w:p w14:paraId="497CCEA5" w14:textId="50381191" w:rsidR="003A444D" w:rsidRPr="00922792" w:rsidRDefault="0067530F" w:rsidP="00FB6A58">
      <w:pPr>
        <w:spacing w:after="0" w:line="360" w:lineRule="auto"/>
        <w:jc w:val="center"/>
        <w:rPr>
          <w:rFonts w:ascii="Times New Roman" w:hAnsi="Times New Roman" w:cs="Times New Roman"/>
          <w:lang w:val="en-GB"/>
        </w:rPr>
      </w:pPr>
      <w:r w:rsidRPr="00922792">
        <w:rPr>
          <w:noProof/>
        </w:rPr>
        <w:drawing>
          <wp:inline distT="0" distB="0" distL="0" distR="0" wp14:anchorId="6A15C154" wp14:editId="5FA697C5">
            <wp:extent cx="4140000" cy="4140000"/>
            <wp:effectExtent l="0" t="0" r="635" b="635"/>
            <wp:docPr id="1722669130" name="Picture 3" descr="A diagram of different colored circl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a:extLst>
                        <a:ext uri="{28A0092B-C50C-407E-A947-70E740481C1C}">
                          <a14:useLocalDpi xmlns:a14="http://schemas.microsoft.com/office/drawing/2010/main" val="0"/>
                        </a:ext>
                      </a:extLst>
                    </a:blip>
                    <a:stretch>
                      <a:fillRect/>
                    </a:stretch>
                  </pic:blipFill>
                  <pic:spPr>
                    <a:xfrm>
                      <a:off x="0" y="0"/>
                      <a:ext cx="4140000" cy="4140000"/>
                    </a:xfrm>
                    <a:prstGeom prst="rect">
                      <a:avLst/>
                    </a:prstGeom>
                  </pic:spPr>
                </pic:pic>
              </a:graphicData>
            </a:graphic>
          </wp:inline>
        </w:drawing>
      </w:r>
    </w:p>
    <w:p w14:paraId="1183D284" w14:textId="47837687" w:rsidR="0067530F" w:rsidRPr="00922792" w:rsidRDefault="5E3CFCFC" w:rsidP="26DA5BD1">
      <w:pPr>
        <w:spacing w:after="0" w:line="360" w:lineRule="auto"/>
        <w:jc w:val="both"/>
        <w:rPr>
          <w:rFonts w:ascii="Times New Roman" w:hAnsi="Times New Roman" w:cs="Times New Roman"/>
          <w:lang w:val="en-GB"/>
        </w:rPr>
      </w:pPr>
      <w:r w:rsidRPr="00922792">
        <w:rPr>
          <w:rFonts w:ascii="Times New Roman" w:eastAsia="Times New Roman" w:hAnsi="Times New Roman" w:cs="Times New Roman"/>
          <w:lang w:val="en-GB"/>
        </w:rPr>
        <w:lastRenderedPageBreak/>
        <w:t xml:space="preserve">Theme categories were then derived from the terms associated with each theme, as identified by the software, and from the content of the papers. We refined the software output by removing cognates (e.g., sustainability/sustainable; entrepreneurship/entrepreneurial/entrepreneur) to enhance precision. </w:t>
      </w:r>
      <w:r w:rsidR="760DE054" w:rsidRPr="00922792">
        <w:rPr>
          <w:rFonts w:ascii="Times New Roman" w:eastAsia="Times New Roman" w:hAnsi="Times New Roman" w:cs="Times New Roman"/>
          <w:lang w:val="en-GB"/>
        </w:rPr>
        <w:t>Key terms</w:t>
      </w:r>
      <w:r w:rsidR="0033383E" w:rsidRPr="00922792">
        <w:rPr>
          <w:rFonts w:ascii="Times New Roman" w:eastAsia="Times New Roman" w:hAnsi="Times New Roman" w:cs="Times New Roman"/>
          <w:lang w:val="en-GB"/>
        </w:rPr>
        <w:t xml:space="preserve"> </w:t>
      </w:r>
      <w:r w:rsidR="760DE054" w:rsidRPr="00922792">
        <w:rPr>
          <w:rFonts w:ascii="Times New Roman" w:eastAsia="Times New Roman" w:hAnsi="Times New Roman" w:cs="Times New Roman"/>
          <w:lang w:val="en-GB"/>
        </w:rPr>
        <w:t>—</w:t>
      </w:r>
      <w:r w:rsidR="0033383E" w:rsidRPr="00922792">
        <w:rPr>
          <w:rFonts w:ascii="Times New Roman" w:eastAsia="Times New Roman" w:hAnsi="Times New Roman" w:cs="Times New Roman"/>
          <w:lang w:val="en-GB"/>
        </w:rPr>
        <w:t xml:space="preserve"> </w:t>
      </w:r>
      <w:r w:rsidR="760DE054" w:rsidRPr="00922792">
        <w:rPr>
          <w:rFonts w:ascii="Times New Roman" w:eastAsia="Times New Roman" w:hAnsi="Times New Roman" w:cs="Times New Roman"/>
          <w:lang w:val="en-GB"/>
        </w:rPr>
        <w:t>also provided by the software</w:t>
      </w:r>
      <w:r w:rsidR="0033383E" w:rsidRPr="00922792">
        <w:rPr>
          <w:rFonts w:ascii="Times New Roman" w:eastAsia="Times New Roman" w:hAnsi="Times New Roman" w:cs="Times New Roman"/>
          <w:lang w:val="en-GB"/>
        </w:rPr>
        <w:t xml:space="preserve"> </w:t>
      </w:r>
      <w:r w:rsidR="760DE054" w:rsidRPr="00922792">
        <w:rPr>
          <w:rFonts w:ascii="Times New Roman" w:eastAsia="Times New Roman" w:hAnsi="Times New Roman" w:cs="Times New Roman"/>
          <w:lang w:val="en-GB"/>
        </w:rPr>
        <w:t>—</w:t>
      </w:r>
      <w:r w:rsidR="0033383E" w:rsidRPr="00922792">
        <w:rPr>
          <w:rFonts w:ascii="Times New Roman" w:eastAsia="Times New Roman" w:hAnsi="Times New Roman" w:cs="Times New Roman"/>
          <w:lang w:val="en-GB"/>
        </w:rPr>
        <w:t xml:space="preserve"> </w:t>
      </w:r>
      <w:r w:rsidR="760DE054" w:rsidRPr="00922792">
        <w:rPr>
          <w:rFonts w:ascii="Times New Roman" w:eastAsia="Times New Roman" w:hAnsi="Times New Roman" w:cs="Times New Roman"/>
          <w:lang w:val="en-GB"/>
        </w:rPr>
        <w:t xml:space="preserve">were identified as core concepts related to each theme. Finally, the selection of references was based on both the software's suggestions and our domain expertise. The results are presented in Table 1. </w:t>
      </w:r>
    </w:p>
    <w:p w14:paraId="3C4E4991" w14:textId="187E9CD3" w:rsidR="26DA5BD1" w:rsidRPr="00922792" w:rsidRDefault="26DA5BD1" w:rsidP="26DA5BD1">
      <w:pPr>
        <w:spacing w:after="0" w:line="360" w:lineRule="auto"/>
        <w:jc w:val="both"/>
        <w:rPr>
          <w:rFonts w:ascii="Times New Roman" w:eastAsia="Times New Roman" w:hAnsi="Times New Roman" w:cs="Times New Roman"/>
          <w:lang w:val="en-GB"/>
        </w:rPr>
      </w:pPr>
    </w:p>
    <w:p w14:paraId="092FCFFF" w14:textId="77777777" w:rsidR="0067530F" w:rsidRPr="00922792" w:rsidRDefault="0067530F" w:rsidP="0067530F">
      <w:pPr>
        <w:rPr>
          <w:rFonts w:ascii="Times New Roman" w:hAnsi="Times New Roman" w:cs="Times New Roman"/>
          <w:lang w:val="en-US"/>
        </w:rPr>
      </w:pPr>
      <w:r w:rsidRPr="00922792">
        <w:rPr>
          <w:rFonts w:ascii="Times New Roman" w:hAnsi="Times New Roman" w:cs="Times New Roman"/>
          <w:lang w:val="en-US"/>
        </w:rPr>
        <w:t>Table 1. Research across the temporal phases</w:t>
      </w:r>
    </w:p>
    <w:tbl>
      <w:tblPr>
        <w:tblStyle w:val="TableGrid"/>
        <w:tblW w:w="5000" w:type="pct"/>
        <w:tblLook w:val="04A0" w:firstRow="1" w:lastRow="0" w:firstColumn="1" w:lastColumn="0" w:noHBand="0" w:noVBand="1"/>
      </w:tblPr>
      <w:tblGrid>
        <w:gridCol w:w="972"/>
        <w:gridCol w:w="2395"/>
        <w:gridCol w:w="3076"/>
        <w:gridCol w:w="2573"/>
      </w:tblGrid>
      <w:tr w:rsidR="0067530F" w:rsidRPr="00922792" w14:paraId="72A96926" w14:textId="77777777">
        <w:trPr>
          <w:trHeight w:val="300"/>
        </w:trPr>
        <w:tc>
          <w:tcPr>
            <w:tcW w:w="539" w:type="pct"/>
            <w:hideMark/>
          </w:tcPr>
          <w:p w14:paraId="0A4B2C67" w14:textId="77777777" w:rsidR="0067530F" w:rsidRPr="00922792" w:rsidRDefault="0067530F">
            <w:pPr>
              <w:rPr>
                <w:rFonts w:ascii="Times New Roman" w:hAnsi="Times New Roman" w:cs="Times New Roman"/>
                <w:b/>
                <w:bCs/>
                <w:sz w:val="22"/>
                <w:szCs w:val="22"/>
              </w:rPr>
            </w:pPr>
            <w:r w:rsidRPr="00922792">
              <w:rPr>
                <w:rFonts w:ascii="Times New Roman" w:hAnsi="Times New Roman" w:cs="Times New Roman"/>
                <w:b/>
                <w:bCs/>
                <w:sz w:val="22"/>
                <w:szCs w:val="22"/>
              </w:rPr>
              <w:t>Phase</w:t>
            </w:r>
          </w:p>
        </w:tc>
        <w:tc>
          <w:tcPr>
            <w:tcW w:w="1328" w:type="pct"/>
            <w:hideMark/>
          </w:tcPr>
          <w:p w14:paraId="00F318D4" w14:textId="77777777" w:rsidR="0067530F" w:rsidRPr="00922792" w:rsidRDefault="0067530F">
            <w:pPr>
              <w:rPr>
                <w:rFonts w:ascii="Times New Roman" w:hAnsi="Times New Roman" w:cs="Times New Roman"/>
                <w:b/>
                <w:bCs/>
                <w:sz w:val="22"/>
                <w:szCs w:val="22"/>
              </w:rPr>
            </w:pPr>
            <w:r w:rsidRPr="00922792">
              <w:rPr>
                <w:rFonts w:ascii="Times New Roman" w:hAnsi="Times New Roman" w:cs="Times New Roman"/>
                <w:b/>
                <w:bCs/>
                <w:sz w:val="22"/>
                <w:szCs w:val="22"/>
              </w:rPr>
              <w:t>Theme Category</w:t>
            </w:r>
          </w:p>
        </w:tc>
        <w:tc>
          <w:tcPr>
            <w:tcW w:w="1706" w:type="pct"/>
            <w:hideMark/>
          </w:tcPr>
          <w:p w14:paraId="090C3358" w14:textId="77777777" w:rsidR="0067530F" w:rsidRPr="00922792" w:rsidRDefault="0067530F">
            <w:pPr>
              <w:rPr>
                <w:rFonts w:ascii="Times New Roman" w:hAnsi="Times New Roman" w:cs="Times New Roman"/>
                <w:b/>
                <w:bCs/>
                <w:sz w:val="22"/>
                <w:szCs w:val="22"/>
              </w:rPr>
            </w:pPr>
            <w:r w:rsidRPr="00922792">
              <w:rPr>
                <w:rFonts w:ascii="Times New Roman" w:hAnsi="Times New Roman" w:cs="Times New Roman"/>
                <w:b/>
                <w:bCs/>
                <w:sz w:val="22"/>
                <w:szCs w:val="22"/>
              </w:rPr>
              <w:t>Key-terms</w:t>
            </w:r>
          </w:p>
        </w:tc>
        <w:tc>
          <w:tcPr>
            <w:tcW w:w="1427" w:type="pct"/>
            <w:hideMark/>
          </w:tcPr>
          <w:p w14:paraId="341A5E88" w14:textId="77777777" w:rsidR="0067530F" w:rsidRPr="00922792" w:rsidRDefault="0067530F">
            <w:pPr>
              <w:rPr>
                <w:rFonts w:ascii="Times New Roman" w:hAnsi="Times New Roman" w:cs="Times New Roman"/>
                <w:b/>
                <w:bCs/>
                <w:sz w:val="22"/>
                <w:szCs w:val="22"/>
              </w:rPr>
            </w:pPr>
            <w:r w:rsidRPr="00922792">
              <w:rPr>
                <w:rFonts w:ascii="Times New Roman" w:hAnsi="Times New Roman" w:cs="Times New Roman"/>
                <w:b/>
                <w:bCs/>
                <w:sz w:val="22"/>
                <w:szCs w:val="22"/>
              </w:rPr>
              <w:t>Selected References</w:t>
            </w:r>
          </w:p>
        </w:tc>
      </w:tr>
      <w:tr w:rsidR="0067530F" w:rsidRPr="00922792" w14:paraId="1731FB10" w14:textId="77777777">
        <w:trPr>
          <w:trHeight w:val="300"/>
        </w:trPr>
        <w:tc>
          <w:tcPr>
            <w:tcW w:w="539" w:type="pct"/>
            <w:hideMark/>
          </w:tcPr>
          <w:p w14:paraId="6833C1EA"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1</w:t>
            </w:r>
          </w:p>
        </w:tc>
        <w:tc>
          <w:tcPr>
            <w:tcW w:w="1328" w:type="pct"/>
            <w:hideMark/>
          </w:tcPr>
          <w:p w14:paraId="24A30DD8" w14:textId="77777777" w:rsidR="0067530F" w:rsidRPr="00922792" w:rsidRDefault="0067530F">
            <w:pPr>
              <w:rPr>
                <w:rFonts w:ascii="Times New Roman" w:hAnsi="Times New Roman" w:cs="Times New Roman"/>
                <w:sz w:val="22"/>
                <w:szCs w:val="22"/>
              </w:rPr>
            </w:pPr>
            <w:r w:rsidRPr="00922792">
              <w:rPr>
                <w:rFonts w:ascii="Times New Roman" w:eastAsia="Times New Roman" w:hAnsi="Times New Roman" w:cs="Times New Roman"/>
                <w:sz w:val="22"/>
                <w:szCs w:val="22"/>
                <w:lang w:eastAsia="ru-RU"/>
              </w:rPr>
              <w:t>Natural Ecosystems and Resource Management Networks</w:t>
            </w:r>
          </w:p>
        </w:tc>
        <w:tc>
          <w:tcPr>
            <w:tcW w:w="1706" w:type="pct"/>
            <w:hideMark/>
          </w:tcPr>
          <w:p w14:paraId="1E56D729"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ecosystem, management, resources, network, processes, sustainable, ecological, products, economic, environment, local</w:t>
            </w:r>
          </w:p>
        </w:tc>
        <w:tc>
          <w:tcPr>
            <w:tcW w:w="1427" w:type="pct"/>
            <w:hideMark/>
          </w:tcPr>
          <w:p w14:paraId="04890282"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Desrochers, 2002; Nielsen, 2007; Manring, 2007</w:t>
            </w:r>
            <w:r w:rsidRPr="00922792">
              <w:rPr>
                <w:rFonts w:ascii="Times New Roman" w:hAnsi="Times New Roman" w:cs="Times New Roman"/>
                <w:b/>
                <w:bCs/>
                <w:sz w:val="22"/>
                <w:szCs w:val="22"/>
              </w:rPr>
              <w:t xml:space="preserve"> </w:t>
            </w:r>
          </w:p>
        </w:tc>
      </w:tr>
      <w:tr w:rsidR="0067530F" w:rsidRPr="00922792" w14:paraId="02376F82" w14:textId="77777777">
        <w:trPr>
          <w:trHeight w:val="300"/>
        </w:trPr>
        <w:tc>
          <w:tcPr>
            <w:tcW w:w="539" w:type="pct"/>
            <w:hideMark/>
          </w:tcPr>
          <w:p w14:paraId="73795360"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1</w:t>
            </w:r>
          </w:p>
        </w:tc>
        <w:tc>
          <w:tcPr>
            <w:tcW w:w="1328" w:type="pct"/>
            <w:hideMark/>
          </w:tcPr>
          <w:p w14:paraId="10807D6B" w14:textId="77777777" w:rsidR="0067530F" w:rsidRPr="00922792" w:rsidRDefault="0067530F">
            <w:pPr>
              <w:rPr>
                <w:rFonts w:ascii="Times New Roman" w:hAnsi="Times New Roman" w:cs="Times New Roman"/>
                <w:sz w:val="22"/>
                <w:szCs w:val="22"/>
              </w:rPr>
            </w:pPr>
            <w:r w:rsidRPr="00922792">
              <w:rPr>
                <w:rFonts w:ascii="Times New Roman" w:eastAsia="Times New Roman" w:hAnsi="Times New Roman" w:cs="Times New Roman"/>
                <w:sz w:val="22"/>
                <w:szCs w:val="22"/>
                <w:lang w:eastAsia="ru-RU"/>
              </w:rPr>
              <w:t>Urban and Industrial Symbiotic Systems</w:t>
            </w:r>
          </w:p>
        </w:tc>
        <w:tc>
          <w:tcPr>
            <w:tcW w:w="1706" w:type="pct"/>
            <w:hideMark/>
          </w:tcPr>
          <w:p w14:paraId="2C5828F2"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industrial, systems, waste, material, energy, development, natural, parks, companies, ecology, industry, production, urban</w:t>
            </w:r>
          </w:p>
        </w:tc>
        <w:tc>
          <w:tcPr>
            <w:tcW w:w="1427" w:type="pct"/>
            <w:hideMark/>
          </w:tcPr>
          <w:p w14:paraId="4D2792CC"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Leduc &amp; Van Kann, 2013; Yang &amp; Lay, 2004; Zamorano et al., 2011</w:t>
            </w:r>
          </w:p>
        </w:tc>
      </w:tr>
      <w:tr w:rsidR="0067530F" w:rsidRPr="00652185" w14:paraId="6F931D72" w14:textId="77777777">
        <w:trPr>
          <w:trHeight w:val="300"/>
        </w:trPr>
        <w:tc>
          <w:tcPr>
            <w:tcW w:w="539" w:type="pct"/>
            <w:hideMark/>
          </w:tcPr>
          <w:p w14:paraId="23BD8813"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1</w:t>
            </w:r>
          </w:p>
        </w:tc>
        <w:tc>
          <w:tcPr>
            <w:tcW w:w="1328" w:type="pct"/>
            <w:hideMark/>
          </w:tcPr>
          <w:p w14:paraId="3919FD13"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Inter-Stakeholder Collaboration for Sustainability</w:t>
            </w:r>
          </w:p>
        </w:tc>
        <w:tc>
          <w:tcPr>
            <w:tcW w:w="1706" w:type="pct"/>
            <w:hideMark/>
          </w:tcPr>
          <w:p w14:paraId="350E86EA"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sustainability, stakeholder, strategies, business, practices, market, firms, social</w:t>
            </w:r>
          </w:p>
        </w:tc>
        <w:tc>
          <w:tcPr>
            <w:tcW w:w="1427" w:type="pct"/>
            <w:hideMark/>
          </w:tcPr>
          <w:p w14:paraId="095A7DA7"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Heuer, 2011; Sharma &amp; Henriques, 2005; Stead &amp; Stead, 2013</w:t>
            </w:r>
          </w:p>
        </w:tc>
      </w:tr>
      <w:tr w:rsidR="0067530F" w:rsidRPr="00922792" w14:paraId="750BD7AA" w14:textId="77777777">
        <w:trPr>
          <w:trHeight w:val="300"/>
        </w:trPr>
        <w:tc>
          <w:tcPr>
            <w:tcW w:w="539" w:type="pct"/>
          </w:tcPr>
          <w:p w14:paraId="79DD9DF0"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tcPr>
          <w:p w14:paraId="46010662"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Urban and Industrial Symbiotic Systems</w:t>
            </w:r>
          </w:p>
        </w:tc>
        <w:tc>
          <w:tcPr>
            <w:tcW w:w="1706" w:type="pct"/>
          </w:tcPr>
          <w:p w14:paraId="305EC3BB"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industrial, local, regional, symbiosis, ecology, time, China, water</w:t>
            </w:r>
          </w:p>
        </w:tc>
        <w:tc>
          <w:tcPr>
            <w:tcW w:w="1427" w:type="pct"/>
          </w:tcPr>
          <w:p w14:paraId="3E87A683" w14:textId="77777777" w:rsidR="0067530F" w:rsidRPr="00922792" w:rsidRDefault="0067530F">
            <w:pPr>
              <w:rPr>
                <w:rFonts w:ascii="Times New Roman" w:hAnsi="Times New Roman" w:cs="Times New Roman"/>
                <w:sz w:val="22"/>
                <w:szCs w:val="22"/>
                <w:lang w:val="it-IT"/>
              </w:rPr>
            </w:pPr>
            <w:proofErr w:type="spellStart"/>
            <w:r w:rsidRPr="00922792">
              <w:rPr>
                <w:rFonts w:ascii="Times New Roman" w:hAnsi="Times New Roman" w:cs="Times New Roman"/>
                <w:sz w:val="22"/>
                <w:szCs w:val="22"/>
                <w:lang w:val="it-IT"/>
              </w:rPr>
              <w:t>Susur</w:t>
            </w:r>
            <w:proofErr w:type="spellEnd"/>
            <w:r w:rsidRPr="00922792">
              <w:rPr>
                <w:rFonts w:ascii="Times New Roman" w:hAnsi="Times New Roman" w:cs="Times New Roman"/>
                <w:sz w:val="22"/>
                <w:szCs w:val="22"/>
                <w:lang w:val="it-IT"/>
              </w:rPr>
              <w:t xml:space="preserve"> et al., 2019; Shi &amp; Li, 2019; </w:t>
            </w:r>
            <w:proofErr w:type="spellStart"/>
            <w:r w:rsidRPr="00922792">
              <w:rPr>
                <w:rFonts w:ascii="Times New Roman" w:hAnsi="Times New Roman" w:cs="Times New Roman"/>
                <w:sz w:val="22"/>
                <w:szCs w:val="22"/>
                <w:lang w:val="it-IT"/>
              </w:rPr>
              <w:t>Zaoual</w:t>
            </w:r>
            <w:proofErr w:type="spellEnd"/>
            <w:r w:rsidRPr="00922792">
              <w:rPr>
                <w:rFonts w:ascii="Times New Roman" w:hAnsi="Times New Roman" w:cs="Times New Roman"/>
                <w:sz w:val="22"/>
                <w:szCs w:val="22"/>
                <w:lang w:val="it-IT"/>
              </w:rPr>
              <w:t xml:space="preserve"> &amp; </w:t>
            </w:r>
            <w:proofErr w:type="spellStart"/>
            <w:r w:rsidRPr="00922792">
              <w:rPr>
                <w:rFonts w:ascii="Times New Roman" w:hAnsi="Times New Roman" w:cs="Times New Roman"/>
                <w:sz w:val="22"/>
                <w:szCs w:val="22"/>
                <w:lang w:val="it-IT"/>
              </w:rPr>
              <w:t>Lecocq</w:t>
            </w:r>
            <w:proofErr w:type="spellEnd"/>
            <w:r w:rsidRPr="00922792">
              <w:rPr>
                <w:rFonts w:ascii="Times New Roman" w:hAnsi="Times New Roman" w:cs="Times New Roman"/>
                <w:sz w:val="22"/>
                <w:szCs w:val="22"/>
                <w:lang w:val="it-IT"/>
              </w:rPr>
              <w:t>, 2018</w:t>
            </w:r>
          </w:p>
        </w:tc>
      </w:tr>
      <w:tr w:rsidR="0067530F" w:rsidRPr="00922792" w14:paraId="73DBE023" w14:textId="77777777">
        <w:trPr>
          <w:trHeight w:val="300"/>
        </w:trPr>
        <w:tc>
          <w:tcPr>
            <w:tcW w:w="539" w:type="pct"/>
          </w:tcPr>
          <w:p w14:paraId="625D7A0F"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tcPr>
          <w:p w14:paraId="37208178"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Circular Resource Management</w:t>
            </w:r>
          </w:p>
        </w:tc>
        <w:tc>
          <w:tcPr>
            <w:tcW w:w="1706" w:type="pct"/>
          </w:tcPr>
          <w:p w14:paraId="7513A145"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circular, economy, companies, supply, material, design, waste management</w:t>
            </w:r>
          </w:p>
        </w:tc>
        <w:tc>
          <w:tcPr>
            <w:tcW w:w="1427" w:type="pct"/>
          </w:tcPr>
          <w:p w14:paraId="0D1EDB9D"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 xml:space="preserve">Batista et al., 2019; </w:t>
            </w:r>
            <w:proofErr w:type="spellStart"/>
            <w:r w:rsidRPr="00922792">
              <w:rPr>
                <w:rFonts w:ascii="Times New Roman" w:hAnsi="Times New Roman" w:cs="Times New Roman"/>
                <w:sz w:val="22"/>
                <w:szCs w:val="22"/>
                <w:lang w:val="it-IT"/>
              </w:rPr>
              <w:t>Whicher</w:t>
            </w:r>
            <w:proofErr w:type="spellEnd"/>
            <w:r w:rsidRPr="00922792">
              <w:rPr>
                <w:rFonts w:ascii="Times New Roman" w:hAnsi="Times New Roman" w:cs="Times New Roman"/>
                <w:sz w:val="22"/>
                <w:szCs w:val="22"/>
                <w:lang w:val="it-IT"/>
              </w:rPr>
              <w:t xml:space="preserve"> et al., 2018; Zucchella &amp; Previtali, 2019</w:t>
            </w:r>
          </w:p>
        </w:tc>
      </w:tr>
      <w:tr w:rsidR="0067530F" w:rsidRPr="00922792" w14:paraId="5790B48E" w14:textId="77777777">
        <w:trPr>
          <w:trHeight w:val="300"/>
        </w:trPr>
        <w:tc>
          <w:tcPr>
            <w:tcW w:w="539" w:type="pct"/>
            <w:hideMark/>
          </w:tcPr>
          <w:p w14:paraId="55329134"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hideMark/>
          </w:tcPr>
          <w:p w14:paraId="0FF966B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 xml:space="preserve">Collective Value Creation </w:t>
            </w:r>
          </w:p>
          <w:p w14:paraId="6DE62064" w14:textId="77777777" w:rsidR="0067530F" w:rsidRPr="00922792" w:rsidRDefault="0067530F">
            <w:pPr>
              <w:rPr>
                <w:rFonts w:ascii="Times New Roman" w:hAnsi="Times New Roman" w:cs="Times New Roman"/>
                <w:sz w:val="22"/>
                <w:szCs w:val="22"/>
              </w:rPr>
            </w:pPr>
          </w:p>
        </w:tc>
        <w:tc>
          <w:tcPr>
            <w:tcW w:w="1706" w:type="pct"/>
            <w:hideMark/>
          </w:tcPr>
          <w:p w14:paraId="3075991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ecosystem, business model, value, system, sustainable, development, product, process, service, resources, actors, creation</w:t>
            </w:r>
          </w:p>
        </w:tc>
        <w:tc>
          <w:tcPr>
            <w:tcW w:w="1427" w:type="pct"/>
            <w:hideMark/>
          </w:tcPr>
          <w:p w14:paraId="2A7EA51B" w14:textId="77777777" w:rsidR="0067530F" w:rsidRPr="00922792" w:rsidRDefault="0067530F">
            <w:pPr>
              <w:rPr>
                <w:rFonts w:ascii="Times New Roman" w:hAnsi="Times New Roman" w:cs="Times New Roman"/>
                <w:sz w:val="22"/>
                <w:szCs w:val="22"/>
                <w:lang w:val="it-IT"/>
              </w:rPr>
            </w:pPr>
            <w:proofErr w:type="spellStart"/>
            <w:r w:rsidRPr="00922792">
              <w:rPr>
                <w:rFonts w:ascii="Times New Roman" w:hAnsi="Times New Roman" w:cs="Times New Roman"/>
                <w:sz w:val="22"/>
                <w:szCs w:val="22"/>
                <w:lang w:val="it-IT"/>
              </w:rPr>
              <w:t>Matinheikki</w:t>
            </w:r>
            <w:proofErr w:type="spellEnd"/>
            <w:r w:rsidRPr="00922792">
              <w:rPr>
                <w:rFonts w:ascii="Times New Roman" w:hAnsi="Times New Roman" w:cs="Times New Roman"/>
                <w:sz w:val="22"/>
                <w:szCs w:val="22"/>
                <w:lang w:val="it-IT"/>
              </w:rPr>
              <w:t xml:space="preserve"> et al., 2017; </w:t>
            </w:r>
            <w:proofErr w:type="spellStart"/>
            <w:r w:rsidRPr="00922792">
              <w:rPr>
                <w:rFonts w:ascii="Times New Roman" w:hAnsi="Times New Roman" w:cs="Times New Roman"/>
                <w:sz w:val="22"/>
                <w:szCs w:val="22"/>
                <w:lang w:val="it-IT"/>
              </w:rPr>
              <w:t>Matthies</w:t>
            </w:r>
            <w:proofErr w:type="spellEnd"/>
            <w:r w:rsidRPr="00922792">
              <w:rPr>
                <w:rFonts w:ascii="Times New Roman" w:hAnsi="Times New Roman" w:cs="Times New Roman"/>
                <w:sz w:val="22"/>
                <w:szCs w:val="22"/>
                <w:lang w:val="it-IT"/>
              </w:rPr>
              <w:t xml:space="preserve"> et al., 2016; </w:t>
            </w:r>
            <w:proofErr w:type="spellStart"/>
            <w:r w:rsidRPr="00922792">
              <w:rPr>
                <w:rFonts w:ascii="Times New Roman" w:hAnsi="Times New Roman" w:cs="Times New Roman"/>
                <w:sz w:val="22"/>
                <w:szCs w:val="22"/>
                <w:lang w:val="it-IT"/>
              </w:rPr>
              <w:t>Trischler</w:t>
            </w:r>
            <w:proofErr w:type="spellEnd"/>
            <w:r w:rsidRPr="00922792">
              <w:rPr>
                <w:rFonts w:ascii="Times New Roman" w:hAnsi="Times New Roman" w:cs="Times New Roman"/>
                <w:sz w:val="22"/>
                <w:szCs w:val="22"/>
                <w:lang w:val="it-IT"/>
              </w:rPr>
              <w:t xml:space="preserve"> et al., 2020</w:t>
            </w:r>
          </w:p>
        </w:tc>
      </w:tr>
      <w:tr w:rsidR="0067530F" w:rsidRPr="00922792" w14:paraId="2927AA41" w14:textId="77777777">
        <w:trPr>
          <w:trHeight w:val="300"/>
        </w:trPr>
        <w:tc>
          <w:tcPr>
            <w:tcW w:w="539" w:type="pct"/>
          </w:tcPr>
          <w:p w14:paraId="656B8AD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tcPr>
          <w:p w14:paraId="69B96EF5"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Platform Solutions for Sustainability Partnerships</w:t>
            </w:r>
          </w:p>
        </w:tc>
        <w:tc>
          <w:tcPr>
            <w:tcW w:w="1706" w:type="pct"/>
          </w:tcPr>
          <w:p w14:paraId="09E2909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partners, platform, strategy, manufacturing</w:t>
            </w:r>
          </w:p>
        </w:tc>
        <w:tc>
          <w:tcPr>
            <w:tcW w:w="1427" w:type="pct"/>
          </w:tcPr>
          <w:p w14:paraId="53D18D54"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Ding et al., 2019; Konietzko et al., 2020; Wei et al., 2020</w:t>
            </w:r>
          </w:p>
        </w:tc>
      </w:tr>
      <w:tr w:rsidR="0067530F" w:rsidRPr="00922792" w14:paraId="215E1F05" w14:textId="77777777">
        <w:trPr>
          <w:trHeight w:val="300"/>
        </w:trPr>
        <w:tc>
          <w:tcPr>
            <w:tcW w:w="539" w:type="pct"/>
          </w:tcPr>
          <w:p w14:paraId="71BB582D"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tcPr>
          <w:p w14:paraId="3B32AB03" w14:textId="77777777" w:rsidR="0067530F" w:rsidRPr="00922792" w:rsidRDefault="0067530F">
            <w:pPr>
              <w:rPr>
                <w:rFonts w:ascii="Times New Roman" w:hAnsi="Times New Roman" w:cs="Times New Roman"/>
                <w:sz w:val="22"/>
                <w:szCs w:val="22"/>
                <w:lang w:val="en-GB"/>
              </w:rPr>
            </w:pPr>
            <w:r w:rsidRPr="00922792">
              <w:rPr>
                <w:rFonts w:ascii="Times New Roman" w:hAnsi="Times New Roman" w:cs="Times New Roman"/>
                <w:sz w:val="22"/>
                <w:szCs w:val="22"/>
                <w:lang w:val="en-GB"/>
              </w:rPr>
              <w:t>Dynamics between Firms and Knowledge Sharing for Innovation</w:t>
            </w:r>
          </w:p>
        </w:tc>
        <w:tc>
          <w:tcPr>
            <w:tcW w:w="1706" w:type="pct"/>
          </w:tcPr>
          <w:p w14:paraId="21D764E3"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innovation, technology, firms, knowledge, sharing, enterprises</w:t>
            </w:r>
          </w:p>
        </w:tc>
        <w:tc>
          <w:tcPr>
            <w:tcW w:w="1427" w:type="pct"/>
          </w:tcPr>
          <w:p w14:paraId="5F46274A"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 xml:space="preserve">Madsen, 2020; </w:t>
            </w:r>
            <w:proofErr w:type="spellStart"/>
            <w:r w:rsidRPr="00922792">
              <w:rPr>
                <w:rFonts w:ascii="Times New Roman" w:hAnsi="Times New Roman" w:cs="Times New Roman"/>
                <w:sz w:val="22"/>
                <w:szCs w:val="22"/>
              </w:rPr>
              <w:t>Planko</w:t>
            </w:r>
            <w:proofErr w:type="spellEnd"/>
            <w:r w:rsidRPr="00922792">
              <w:rPr>
                <w:rFonts w:ascii="Times New Roman" w:hAnsi="Times New Roman" w:cs="Times New Roman"/>
                <w:sz w:val="22"/>
                <w:szCs w:val="22"/>
              </w:rPr>
              <w:t xml:space="preserve"> et al., 2019; Romanelli 2018</w:t>
            </w:r>
          </w:p>
        </w:tc>
      </w:tr>
      <w:tr w:rsidR="0067530F" w:rsidRPr="00922792" w14:paraId="2028FB29" w14:textId="77777777">
        <w:trPr>
          <w:trHeight w:val="300"/>
        </w:trPr>
        <w:tc>
          <w:tcPr>
            <w:tcW w:w="539" w:type="pct"/>
            <w:hideMark/>
          </w:tcPr>
          <w:p w14:paraId="32D8D43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hideMark/>
          </w:tcPr>
          <w:p w14:paraId="4351195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 xml:space="preserve">Support for </w:t>
            </w:r>
            <w:proofErr w:type="gramStart"/>
            <w:r w:rsidRPr="00922792">
              <w:rPr>
                <w:rFonts w:ascii="Times New Roman" w:hAnsi="Times New Roman" w:cs="Times New Roman"/>
                <w:sz w:val="22"/>
                <w:szCs w:val="22"/>
              </w:rPr>
              <w:t>Socially-Oriented</w:t>
            </w:r>
            <w:proofErr w:type="gramEnd"/>
            <w:r w:rsidRPr="00922792">
              <w:rPr>
                <w:rFonts w:ascii="Times New Roman" w:hAnsi="Times New Roman" w:cs="Times New Roman"/>
                <w:sz w:val="22"/>
                <w:szCs w:val="22"/>
              </w:rPr>
              <w:t xml:space="preserve"> Firms</w:t>
            </w:r>
          </w:p>
        </w:tc>
        <w:tc>
          <w:tcPr>
            <w:tcW w:w="1706" w:type="pct"/>
            <w:hideMark/>
          </w:tcPr>
          <w:p w14:paraId="19451723"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social, network, environmental, sustainability, economic, support, role</w:t>
            </w:r>
          </w:p>
        </w:tc>
        <w:tc>
          <w:tcPr>
            <w:tcW w:w="1427" w:type="pct"/>
            <w:hideMark/>
          </w:tcPr>
          <w:p w14:paraId="0A9563F9"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 xml:space="preserve">Bank et al., 2017; </w:t>
            </w:r>
            <w:proofErr w:type="spellStart"/>
            <w:r w:rsidRPr="00922792">
              <w:rPr>
                <w:rFonts w:ascii="Times New Roman" w:hAnsi="Times New Roman" w:cs="Times New Roman"/>
                <w:sz w:val="22"/>
                <w:szCs w:val="22"/>
              </w:rPr>
              <w:t>Bozhikin</w:t>
            </w:r>
            <w:proofErr w:type="spellEnd"/>
            <w:r w:rsidRPr="00922792">
              <w:rPr>
                <w:rFonts w:ascii="Times New Roman" w:hAnsi="Times New Roman" w:cs="Times New Roman"/>
                <w:sz w:val="22"/>
                <w:szCs w:val="22"/>
              </w:rPr>
              <w:t xml:space="preserve"> et al., 2019; Theodoraki et al., 2018</w:t>
            </w:r>
          </w:p>
        </w:tc>
      </w:tr>
      <w:tr w:rsidR="0067530F" w:rsidRPr="00922792" w14:paraId="523890FC" w14:textId="77777777">
        <w:trPr>
          <w:trHeight w:val="300"/>
        </w:trPr>
        <w:tc>
          <w:tcPr>
            <w:tcW w:w="539" w:type="pct"/>
            <w:hideMark/>
          </w:tcPr>
          <w:p w14:paraId="5F38141B"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2</w:t>
            </w:r>
          </w:p>
        </w:tc>
        <w:tc>
          <w:tcPr>
            <w:tcW w:w="1328" w:type="pct"/>
            <w:hideMark/>
          </w:tcPr>
          <w:p w14:paraId="05684334"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Policy Frameworks for Social Entrepreneurship</w:t>
            </w:r>
          </w:p>
        </w:tc>
        <w:tc>
          <w:tcPr>
            <w:tcW w:w="1706" w:type="pct"/>
            <w:hideMark/>
          </w:tcPr>
          <w:p w14:paraId="0BE6CAE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entrepreneurship, social, entrepreneurs, role, policy, capital</w:t>
            </w:r>
          </w:p>
        </w:tc>
        <w:tc>
          <w:tcPr>
            <w:tcW w:w="1427" w:type="pct"/>
            <w:hideMark/>
          </w:tcPr>
          <w:p w14:paraId="3001DAED"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Martinez‐Fierro et al, 2020; Lamine et al., 2018; Tiba et al., 2020</w:t>
            </w:r>
          </w:p>
        </w:tc>
      </w:tr>
      <w:tr w:rsidR="0067530F" w:rsidRPr="00922792" w14:paraId="40251EE2" w14:textId="77777777">
        <w:trPr>
          <w:trHeight w:val="300"/>
        </w:trPr>
        <w:tc>
          <w:tcPr>
            <w:tcW w:w="539" w:type="pct"/>
          </w:tcPr>
          <w:p w14:paraId="5F1EFA0C"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426B8AC8"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Capabilities for Sustainable Urban Innovation</w:t>
            </w:r>
          </w:p>
        </w:tc>
        <w:tc>
          <w:tcPr>
            <w:tcW w:w="1706" w:type="pct"/>
          </w:tcPr>
          <w:p w14:paraId="32B7EE2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innovation, firms, strategy, capabilities, urban, partners, smart, green</w:t>
            </w:r>
          </w:p>
        </w:tc>
        <w:tc>
          <w:tcPr>
            <w:tcW w:w="1427" w:type="pct"/>
          </w:tcPr>
          <w:p w14:paraId="553728CD"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Linde et al., 2021; Parente et al., 2021; Santa-Maria et al., 2022</w:t>
            </w:r>
          </w:p>
        </w:tc>
      </w:tr>
      <w:tr w:rsidR="0067530F" w:rsidRPr="00922792" w14:paraId="4E52D624" w14:textId="77777777">
        <w:trPr>
          <w:trHeight w:val="300"/>
        </w:trPr>
        <w:tc>
          <w:tcPr>
            <w:tcW w:w="539" w:type="pct"/>
          </w:tcPr>
          <w:p w14:paraId="6B1E98D8"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lastRenderedPageBreak/>
              <w:t>3</w:t>
            </w:r>
          </w:p>
        </w:tc>
        <w:tc>
          <w:tcPr>
            <w:tcW w:w="1328" w:type="pct"/>
          </w:tcPr>
          <w:p w14:paraId="0FDA8105"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Circular Resource Management</w:t>
            </w:r>
          </w:p>
        </w:tc>
        <w:tc>
          <w:tcPr>
            <w:tcW w:w="1706" w:type="pct"/>
          </w:tcPr>
          <w:p w14:paraId="4C945BAE"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circular, CE, waste, supply, material, production, construction</w:t>
            </w:r>
          </w:p>
        </w:tc>
        <w:tc>
          <w:tcPr>
            <w:tcW w:w="1427" w:type="pct"/>
          </w:tcPr>
          <w:p w14:paraId="728E0B42"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 xml:space="preserve">Valve et al., 2021; Zerbino et al., 2021; </w:t>
            </w:r>
            <w:proofErr w:type="spellStart"/>
            <w:r w:rsidRPr="00922792">
              <w:rPr>
                <w:rFonts w:ascii="Times New Roman" w:hAnsi="Times New Roman" w:cs="Times New Roman"/>
                <w:sz w:val="22"/>
                <w:szCs w:val="22"/>
                <w:lang w:val="it-IT"/>
              </w:rPr>
              <w:t>Yu</w:t>
            </w:r>
            <w:proofErr w:type="spellEnd"/>
            <w:r w:rsidRPr="00922792">
              <w:rPr>
                <w:rFonts w:ascii="Times New Roman" w:hAnsi="Times New Roman" w:cs="Times New Roman"/>
                <w:sz w:val="22"/>
                <w:szCs w:val="22"/>
                <w:lang w:val="it-IT"/>
              </w:rPr>
              <w:t xml:space="preserve"> et al., 2022</w:t>
            </w:r>
          </w:p>
        </w:tc>
      </w:tr>
      <w:tr w:rsidR="0067530F" w:rsidRPr="00922792" w14:paraId="27544C1D" w14:textId="77777777">
        <w:trPr>
          <w:trHeight w:val="300"/>
        </w:trPr>
        <w:tc>
          <w:tcPr>
            <w:tcW w:w="539" w:type="pct"/>
          </w:tcPr>
          <w:p w14:paraId="5AEE03F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781AC8E2"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Opportunities and Challenges in Building Future Economic Systems</w:t>
            </w:r>
          </w:p>
        </w:tc>
        <w:tc>
          <w:tcPr>
            <w:tcW w:w="1706" w:type="pct"/>
          </w:tcPr>
          <w:p w14:paraId="3699821C"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economy, system, practices, opportunities, public, market, future, design, challenges, work, food</w:t>
            </w:r>
          </w:p>
        </w:tc>
        <w:tc>
          <w:tcPr>
            <w:tcW w:w="1427" w:type="pct"/>
          </w:tcPr>
          <w:p w14:paraId="3A213753"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 xml:space="preserve">Averina et al., 2022; </w:t>
            </w:r>
            <w:proofErr w:type="spellStart"/>
            <w:r w:rsidRPr="00922792">
              <w:rPr>
                <w:rFonts w:ascii="Times New Roman" w:hAnsi="Times New Roman" w:cs="Times New Roman"/>
                <w:sz w:val="22"/>
                <w:szCs w:val="22"/>
                <w:lang w:val="it-IT"/>
              </w:rPr>
              <w:t>Chirumalla</w:t>
            </w:r>
            <w:proofErr w:type="spellEnd"/>
            <w:r w:rsidRPr="00922792">
              <w:rPr>
                <w:rFonts w:ascii="Times New Roman" w:hAnsi="Times New Roman" w:cs="Times New Roman"/>
                <w:sz w:val="22"/>
                <w:szCs w:val="22"/>
                <w:lang w:val="it-IT"/>
              </w:rPr>
              <w:t xml:space="preserve"> et al., 2022; Moggi &amp; </w:t>
            </w:r>
            <w:proofErr w:type="spellStart"/>
            <w:r w:rsidRPr="00922792">
              <w:rPr>
                <w:rFonts w:ascii="Times New Roman" w:hAnsi="Times New Roman" w:cs="Times New Roman"/>
                <w:sz w:val="22"/>
                <w:szCs w:val="22"/>
                <w:lang w:val="it-IT"/>
              </w:rPr>
              <w:t>Dameri</w:t>
            </w:r>
            <w:proofErr w:type="spellEnd"/>
            <w:r w:rsidRPr="00922792">
              <w:rPr>
                <w:rFonts w:ascii="Times New Roman" w:hAnsi="Times New Roman" w:cs="Times New Roman"/>
                <w:sz w:val="22"/>
                <w:szCs w:val="22"/>
                <w:lang w:val="it-IT"/>
              </w:rPr>
              <w:t>, 2021</w:t>
            </w:r>
          </w:p>
        </w:tc>
      </w:tr>
      <w:tr w:rsidR="0067530F" w:rsidRPr="00922792" w14:paraId="69A1306A" w14:textId="77777777">
        <w:trPr>
          <w:trHeight w:val="300"/>
        </w:trPr>
        <w:tc>
          <w:tcPr>
            <w:tcW w:w="539" w:type="pct"/>
          </w:tcPr>
          <w:p w14:paraId="67F8A9A8"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499189EB"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Collective Value Creation</w:t>
            </w:r>
          </w:p>
        </w:tc>
        <w:tc>
          <w:tcPr>
            <w:tcW w:w="1706" w:type="pct"/>
          </w:tcPr>
          <w:p w14:paraId="6F64C7D2"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business, model, value, stakeholders, process, resources, environmental, creation, management, technology, companies</w:t>
            </w:r>
          </w:p>
        </w:tc>
        <w:tc>
          <w:tcPr>
            <w:tcW w:w="1427" w:type="pct"/>
          </w:tcPr>
          <w:p w14:paraId="0852C020"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 xml:space="preserve">Boldrini &amp; </w:t>
            </w:r>
            <w:proofErr w:type="spellStart"/>
            <w:r w:rsidRPr="00922792">
              <w:rPr>
                <w:rFonts w:ascii="Times New Roman" w:hAnsi="Times New Roman" w:cs="Times New Roman"/>
                <w:sz w:val="22"/>
                <w:szCs w:val="22"/>
              </w:rPr>
              <w:t>Antheaume</w:t>
            </w:r>
            <w:proofErr w:type="spellEnd"/>
            <w:r w:rsidRPr="00922792">
              <w:rPr>
                <w:rFonts w:ascii="Times New Roman" w:hAnsi="Times New Roman" w:cs="Times New Roman"/>
                <w:sz w:val="22"/>
                <w:szCs w:val="22"/>
              </w:rPr>
              <w:t xml:space="preserve">, 2021; Bonfanti et al., 2023; </w:t>
            </w:r>
            <w:proofErr w:type="spellStart"/>
            <w:r w:rsidRPr="00922792">
              <w:rPr>
                <w:rFonts w:ascii="Times New Roman" w:hAnsi="Times New Roman" w:cs="Times New Roman"/>
                <w:sz w:val="22"/>
                <w:szCs w:val="22"/>
              </w:rPr>
              <w:t>Tapaninaho</w:t>
            </w:r>
            <w:proofErr w:type="spellEnd"/>
            <w:r w:rsidRPr="00922792">
              <w:rPr>
                <w:rFonts w:ascii="Times New Roman" w:hAnsi="Times New Roman" w:cs="Times New Roman"/>
                <w:sz w:val="22"/>
                <w:szCs w:val="22"/>
              </w:rPr>
              <w:t xml:space="preserve"> &amp; Heikkinen, 2022</w:t>
            </w:r>
          </w:p>
        </w:tc>
      </w:tr>
      <w:tr w:rsidR="0067530F" w:rsidRPr="00652185" w14:paraId="215B3E6A" w14:textId="77777777">
        <w:trPr>
          <w:trHeight w:val="300"/>
        </w:trPr>
        <w:tc>
          <w:tcPr>
            <w:tcW w:w="539" w:type="pct"/>
          </w:tcPr>
          <w:p w14:paraId="67CB3377"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798237B7"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Performance of Sustainable Ventures</w:t>
            </w:r>
          </w:p>
        </w:tc>
        <w:tc>
          <w:tcPr>
            <w:tcW w:w="1706" w:type="pct"/>
          </w:tcPr>
          <w:p w14:paraId="13A05F5E"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effect, collaboration, partners, green, open, performance, ventures</w:t>
            </w:r>
          </w:p>
        </w:tc>
        <w:tc>
          <w:tcPr>
            <w:tcW w:w="1427" w:type="pct"/>
          </w:tcPr>
          <w:p w14:paraId="0A77649B"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Acebo et al., 2021; Kroh, 2021; Lee &amp; Roh, 2023</w:t>
            </w:r>
          </w:p>
        </w:tc>
      </w:tr>
      <w:tr w:rsidR="0067530F" w:rsidRPr="00922792" w14:paraId="48CBB54C" w14:textId="77777777">
        <w:trPr>
          <w:trHeight w:val="300"/>
        </w:trPr>
        <w:tc>
          <w:tcPr>
            <w:tcW w:w="539" w:type="pct"/>
          </w:tcPr>
          <w:p w14:paraId="44763383"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05A2FB9D"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Sustainable Development Through Knowledge Sharing and Collaboration</w:t>
            </w:r>
          </w:p>
        </w:tc>
        <w:tc>
          <w:tcPr>
            <w:tcW w:w="1706" w:type="pct"/>
          </w:tcPr>
          <w:p w14:paraId="589B736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ecosystem, sustainability, social, sustainable development, actors, economic, support, activities, sharing, knowledge, role, organizations</w:t>
            </w:r>
          </w:p>
        </w:tc>
        <w:tc>
          <w:tcPr>
            <w:tcW w:w="1427" w:type="pct"/>
          </w:tcPr>
          <w:p w14:paraId="5EA70730"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 xml:space="preserve">Bertello et al., 2022; Ho &amp; Yoon, 2022; </w:t>
            </w:r>
            <w:proofErr w:type="spellStart"/>
            <w:r w:rsidRPr="00922792">
              <w:rPr>
                <w:rFonts w:ascii="Times New Roman" w:hAnsi="Times New Roman" w:cs="Times New Roman"/>
                <w:sz w:val="22"/>
                <w:szCs w:val="22"/>
                <w:lang w:val="it-IT"/>
              </w:rPr>
              <w:t>Kanda</w:t>
            </w:r>
            <w:proofErr w:type="spellEnd"/>
            <w:r w:rsidRPr="00922792">
              <w:rPr>
                <w:rFonts w:ascii="Times New Roman" w:hAnsi="Times New Roman" w:cs="Times New Roman"/>
                <w:sz w:val="22"/>
                <w:szCs w:val="22"/>
                <w:lang w:val="it-IT"/>
              </w:rPr>
              <w:t xml:space="preserve"> et al., 2021</w:t>
            </w:r>
          </w:p>
        </w:tc>
      </w:tr>
      <w:tr w:rsidR="0067530F" w:rsidRPr="00922792" w14:paraId="04D46C01" w14:textId="77777777">
        <w:trPr>
          <w:trHeight w:val="300"/>
        </w:trPr>
        <w:tc>
          <w:tcPr>
            <w:tcW w:w="539" w:type="pct"/>
          </w:tcPr>
          <w:p w14:paraId="49F6FDEC"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2378345B"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Regional Sustainability Through Social Entrepreneurial Ventures</w:t>
            </w:r>
          </w:p>
        </w:tc>
        <w:tc>
          <w:tcPr>
            <w:tcW w:w="1706" w:type="pct"/>
          </w:tcPr>
          <w:p w14:paraId="557D56EE"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entrepreneurial, ventures, sustainable, regional, factors, social</w:t>
            </w:r>
          </w:p>
        </w:tc>
        <w:tc>
          <w:tcPr>
            <w:tcW w:w="1427" w:type="pct"/>
          </w:tcPr>
          <w:p w14:paraId="447CDA6D"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Bischoff, 2021; O'Shea et al., 2021; Wagner et al., 2021</w:t>
            </w:r>
          </w:p>
        </w:tc>
      </w:tr>
      <w:tr w:rsidR="0067530F" w:rsidRPr="00922792" w14:paraId="57FB4380" w14:textId="77777777">
        <w:trPr>
          <w:trHeight w:val="300"/>
        </w:trPr>
        <w:tc>
          <w:tcPr>
            <w:tcW w:w="539" w:type="pct"/>
          </w:tcPr>
          <w:p w14:paraId="6440251F"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3</w:t>
            </w:r>
          </w:p>
        </w:tc>
        <w:tc>
          <w:tcPr>
            <w:tcW w:w="1328" w:type="pct"/>
          </w:tcPr>
          <w:p w14:paraId="0BDD1066"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Cross-Country Collaboration for Global Goals Achievement</w:t>
            </w:r>
          </w:p>
        </w:tc>
        <w:tc>
          <w:tcPr>
            <w:tcW w:w="1706" w:type="pct"/>
          </w:tcPr>
          <w:p w14:paraId="3ACACF61" w14:textId="77777777" w:rsidR="0067530F" w:rsidRPr="00922792" w:rsidRDefault="0067530F">
            <w:pPr>
              <w:rPr>
                <w:rFonts w:ascii="Times New Roman" w:hAnsi="Times New Roman" w:cs="Times New Roman"/>
                <w:sz w:val="22"/>
                <w:szCs w:val="22"/>
              </w:rPr>
            </w:pPr>
            <w:r w:rsidRPr="00922792">
              <w:rPr>
                <w:rFonts w:ascii="Times New Roman" w:hAnsi="Times New Roman" w:cs="Times New Roman"/>
                <w:sz w:val="22"/>
                <w:szCs w:val="22"/>
              </w:rPr>
              <w:t>countries, sector, global, institutional, practices</w:t>
            </w:r>
          </w:p>
        </w:tc>
        <w:tc>
          <w:tcPr>
            <w:tcW w:w="1427" w:type="pct"/>
          </w:tcPr>
          <w:p w14:paraId="11828A2B" w14:textId="77777777" w:rsidR="0067530F" w:rsidRPr="00922792" w:rsidRDefault="0067530F">
            <w:pPr>
              <w:rPr>
                <w:rFonts w:ascii="Times New Roman" w:hAnsi="Times New Roman" w:cs="Times New Roman"/>
                <w:sz w:val="22"/>
                <w:szCs w:val="22"/>
                <w:lang w:val="it-IT"/>
              </w:rPr>
            </w:pPr>
            <w:r w:rsidRPr="00922792">
              <w:rPr>
                <w:rFonts w:ascii="Times New Roman" w:hAnsi="Times New Roman" w:cs="Times New Roman"/>
                <w:sz w:val="22"/>
                <w:szCs w:val="22"/>
                <w:lang w:val="it-IT"/>
              </w:rPr>
              <w:t xml:space="preserve">Canestrino et al., 2023; George 2021; </w:t>
            </w:r>
            <w:proofErr w:type="spellStart"/>
            <w:r w:rsidRPr="00922792">
              <w:rPr>
                <w:rFonts w:ascii="Times New Roman" w:hAnsi="Times New Roman" w:cs="Times New Roman"/>
                <w:sz w:val="22"/>
                <w:szCs w:val="22"/>
                <w:lang w:val="it-IT"/>
              </w:rPr>
              <w:t>Sebhatu</w:t>
            </w:r>
            <w:proofErr w:type="spellEnd"/>
            <w:r w:rsidRPr="00922792">
              <w:rPr>
                <w:rFonts w:ascii="Times New Roman" w:hAnsi="Times New Roman" w:cs="Times New Roman"/>
                <w:sz w:val="22"/>
                <w:szCs w:val="22"/>
                <w:lang w:val="it-IT"/>
              </w:rPr>
              <w:t xml:space="preserve"> &amp; </w:t>
            </w:r>
            <w:proofErr w:type="spellStart"/>
            <w:r w:rsidRPr="00922792">
              <w:rPr>
                <w:rFonts w:ascii="Times New Roman" w:hAnsi="Times New Roman" w:cs="Times New Roman"/>
                <w:sz w:val="22"/>
                <w:szCs w:val="22"/>
                <w:lang w:val="it-IT"/>
              </w:rPr>
              <w:t>Enquist</w:t>
            </w:r>
            <w:proofErr w:type="spellEnd"/>
            <w:r w:rsidRPr="00922792">
              <w:rPr>
                <w:rFonts w:ascii="Times New Roman" w:hAnsi="Times New Roman" w:cs="Times New Roman"/>
                <w:sz w:val="22"/>
                <w:szCs w:val="22"/>
                <w:lang w:val="it-IT"/>
              </w:rPr>
              <w:t>, 2022</w:t>
            </w:r>
          </w:p>
        </w:tc>
      </w:tr>
    </w:tbl>
    <w:p w14:paraId="0402F57A" w14:textId="7673603F" w:rsidR="00865A51" w:rsidRPr="00652185" w:rsidRDefault="00865A51" w:rsidP="3417F187">
      <w:pPr>
        <w:spacing w:after="0" w:line="360" w:lineRule="auto"/>
        <w:jc w:val="both"/>
        <w:rPr>
          <w:rFonts w:ascii="Times New Roman" w:hAnsi="Times New Roman" w:cs="Times New Roman"/>
          <w:shd w:val="clear" w:color="auto" w:fill="FFFF00"/>
        </w:rPr>
      </w:pPr>
    </w:p>
    <w:p w14:paraId="1269DC7E" w14:textId="07878EE0" w:rsidR="00922792" w:rsidRPr="00922792" w:rsidRDefault="00922792" w:rsidP="3417F187">
      <w:pPr>
        <w:spacing w:after="0" w:line="360" w:lineRule="auto"/>
        <w:jc w:val="both"/>
        <w:rPr>
          <w:rFonts w:ascii="Times New Roman" w:hAnsi="Times New Roman" w:cs="Times New Roman"/>
          <w:lang w:val="en-GB"/>
        </w:rPr>
      </w:pPr>
      <w:r w:rsidRPr="00922792">
        <w:rPr>
          <w:rFonts w:ascii="Times New Roman" w:hAnsi="Times New Roman" w:cs="Times New Roman"/>
          <w:lang w:val="en-GB"/>
        </w:rPr>
        <w:t>Third, we examined how the theme categories relate to each sub-domain. During the themes analysis setup in the software, we assigned a “tag” to each article folder, with each folder representing a specific literature sub-domain. In the resulting output (Figures 1–3), the proximity of a term to a folder tag indicates a strong conceptual association with that sub-domain. To validate these associations, we analysed the terms linked to each folder tag, along with their corresponding co-counts and likelihoods. Moreover, while defining theme categories, key-terms, and selected references, we closely examined the content of the underlying articles to ensure alignment with the themes labels and to verify their relevance for specific literature sub-domains. Although a theme category may include articles from various sub-domains, there is always a dominant sub-domain within that category (i.e., most of the articles belong to the same sub-domain). This rigorous procedure, combined with our comprehensive understanding of the articles, ensured a minimally biased analysis.</w:t>
      </w:r>
    </w:p>
    <w:p w14:paraId="624B30F4" w14:textId="3ACDD292" w:rsidR="00922792" w:rsidRPr="00922792" w:rsidRDefault="00922792" w:rsidP="6C6336C6">
      <w:pPr>
        <w:spacing w:after="0" w:line="360" w:lineRule="auto"/>
        <w:jc w:val="both"/>
        <w:rPr>
          <w:rFonts w:ascii="Times New Roman" w:hAnsi="Times New Roman" w:cs="Times New Roman"/>
          <w:kern w:val="0"/>
          <w:lang w:val="en-US"/>
          <w14:ligatures w14:val="none"/>
        </w:rPr>
      </w:pPr>
      <w:r w:rsidRPr="00922792">
        <w:rPr>
          <w:rFonts w:ascii="Times New Roman" w:hAnsi="Times New Roman" w:cs="Times New Roman"/>
          <w:kern w:val="0"/>
          <w:lang w:val="en-US"/>
          <w14:ligatures w14:val="none"/>
        </w:rPr>
        <w:t xml:space="preserve">This process yielded a set of clearly defined theme categories and their connections to specific literature sub-domains. The final output of this analysis is presented in Figure 9 in the main text. Inter-theme connections were established through qualitative content analysis of the </w:t>
      </w:r>
      <w:r w:rsidRPr="00922792">
        <w:rPr>
          <w:rFonts w:ascii="Times New Roman" w:hAnsi="Times New Roman" w:cs="Times New Roman"/>
          <w:kern w:val="0"/>
          <w:lang w:val="en-US"/>
          <w14:ligatures w14:val="none"/>
        </w:rPr>
        <w:lastRenderedPageBreak/>
        <w:t>relevant articles, allowing us to map the conceptual structure of the literature with greater granularity.</w:t>
      </w:r>
    </w:p>
    <w:p w14:paraId="05261973" w14:textId="306F2409" w:rsidR="00A23A99" w:rsidRPr="00922792" w:rsidRDefault="39B25352"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In what follows</w:t>
      </w:r>
      <w:r w:rsidR="00746FA7" w:rsidRPr="00922792">
        <w:rPr>
          <w:rFonts w:ascii="Times New Roman" w:eastAsia="Times New Roman" w:hAnsi="Times New Roman" w:cs="Times New Roman"/>
          <w:kern w:val="0"/>
          <w:lang w:val="en-US" w:eastAsia="ru-RU"/>
          <w14:ligatures w14:val="none"/>
        </w:rPr>
        <w:t>, we briefly discuss the content of each theme category across the different research phases</w:t>
      </w:r>
      <w:r w:rsidR="3A89A9F7" w:rsidRPr="00922792">
        <w:rPr>
          <w:rFonts w:ascii="Times New Roman" w:eastAsia="Times New Roman" w:hAnsi="Times New Roman" w:cs="Times New Roman"/>
          <w:kern w:val="0"/>
          <w:lang w:val="en-US" w:eastAsia="ru-RU"/>
          <w14:ligatures w14:val="none"/>
        </w:rPr>
        <w:t xml:space="preserve"> as presented in Table 1</w:t>
      </w:r>
      <w:r w:rsidR="00715BE1" w:rsidRPr="00922792">
        <w:rPr>
          <w:rFonts w:ascii="Times New Roman" w:eastAsia="Times New Roman" w:hAnsi="Times New Roman" w:cs="Times New Roman"/>
          <w:kern w:val="0"/>
          <w:lang w:val="en-US" w:eastAsia="ru-RU"/>
          <w14:ligatures w14:val="none"/>
        </w:rPr>
        <w:t>.</w:t>
      </w:r>
    </w:p>
    <w:p w14:paraId="6AC9677D" w14:textId="70B99B21" w:rsidR="000F3561" w:rsidRPr="00922792" w:rsidRDefault="000F3561" w:rsidP="6C6336C6">
      <w:pPr>
        <w:spacing w:after="0" w:line="360" w:lineRule="auto"/>
        <w:jc w:val="both"/>
        <w:rPr>
          <w:rFonts w:ascii="Times New Roman" w:eastAsia="Times New Roman" w:hAnsi="Times New Roman" w:cs="Times New Roman"/>
          <w:b/>
          <w:bCs/>
          <w:kern w:val="0"/>
          <w:lang w:val="en-US" w:eastAsia="ru-RU"/>
          <w14:ligatures w14:val="none"/>
        </w:rPr>
      </w:pPr>
      <w:r w:rsidRPr="00922792">
        <w:rPr>
          <w:rFonts w:ascii="Times New Roman" w:eastAsia="Times New Roman" w:hAnsi="Times New Roman" w:cs="Times New Roman"/>
          <w:b/>
          <w:bCs/>
          <w:kern w:val="0"/>
          <w:lang w:val="en-US" w:eastAsia="ru-RU"/>
          <w14:ligatures w14:val="none"/>
        </w:rPr>
        <w:t>Phase 1</w:t>
      </w:r>
    </w:p>
    <w:p w14:paraId="4B940E43"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The first phase, foundational in nature, is structured around the following three theme categories:</w:t>
      </w:r>
    </w:p>
    <w:p w14:paraId="09F3F0E4"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1) </w:t>
      </w:r>
      <w:r w:rsidRPr="00922792">
        <w:rPr>
          <w:rFonts w:ascii="Times New Roman" w:eastAsia="Times New Roman" w:hAnsi="Times New Roman" w:cs="Times New Roman"/>
          <w:i/>
          <w:iCs/>
          <w:kern w:val="0"/>
          <w:lang w:val="en-US" w:eastAsia="ru-RU"/>
          <w14:ligatures w14:val="none"/>
        </w:rPr>
        <w:t>Natural Ecosystems and Resource Management Networks</w:t>
      </w:r>
      <w:r w:rsidRPr="00922792">
        <w:rPr>
          <w:rFonts w:ascii="Times New Roman" w:eastAsia="Times New Roman" w:hAnsi="Times New Roman" w:cs="Times New Roman"/>
          <w:kern w:val="0"/>
          <w:lang w:val="en-US" w:eastAsia="ru-RU"/>
          <w14:ligatures w14:val="none"/>
        </w:rPr>
        <w:t>: The concept of ecosystems in managerial literature stems from studies of natural ecosystems (Nielsen, 2007). Early research introduced the idea of firms interconnected through resource recovery links, highlighting collaborative relationships to enhance sustainability (Desrochers, 2002; Manring, 2007).</w:t>
      </w:r>
    </w:p>
    <w:p w14:paraId="6E6D186B"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2) </w:t>
      </w:r>
      <w:r w:rsidRPr="00922792">
        <w:rPr>
          <w:rFonts w:ascii="Times New Roman" w:eastAsia="Times New Roman" w:hAnsi="Times New Roman" w:cs="Times New Roman"/>
          <w:i/>
          <w:iCs/>
          <w:kern w:val="0"/>
          <w:lang w:val="en-US" w:eastAsia="ru-RU"/>
          <w14:ligatures w14:val="none"/>
        </w:rPr>
        <w:t>Urban and Industrial Symbiotic Systems</w:t>
      </w:r>
      <w:r w:rsidRPr="00922792">
        <w:rPr>
          <w:rFonts w:ascii="Times New Roman" w:eastAsia="Times New Roman" w:hAnsi="Times New Roman" w:cs="Times New Roman"/>
          <w:kern w:val="0"/>
          <w:lang w:val="en-US" w:eastAsia="ru-RU"/>
          <w14:ligatures w14:val="none"/>
        </w:rPr>
        <w:t>: Building on the idea of recycling firm linkages, this theme explores the application of these principles in local contexts. It emphasizes creating interconnected systems where materials, energy, and by-products are exchanged and reused across industrial and urban settings (Yang and Lay, 2004). Strategies such as eco-industrial parks and integrated urban planning are proposed to bridge industrial and natural environments (Leduc and Van Kann, 2013; Zamorano et al., 2011).</w:t>
      </w:r>
    </w:p>
    <w:p w14:paraId="6A4EA68C"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3) </w:t>
      </w:r>
      <w:r w:rsidRPr="00922792">
        <w:rPr>
          <w:rFonts w:ascii="Times New Roman" w:eastAsia="Times New Roman" w:hAnsi="Times New Roman" w:cs="Times New Roman"/>
          <w:i/>
          <w:iCs/>
          <w:kern w:val="0"/>
          <w:lang w:val="en-US" w:eastAsia="ru-RU"/>
          <w14:ligatures w14:val="none"/>
        </w:rPr>
        <w:t>Inter-Stakeholder Collaboration for Sustainability</w:t>
      </w:r>
      <w:r w:rsidRPr="00922792">
        <w:rPr>
          <w:rFonts w:ascii="Times New Roman" w:eastAsia="Times New Roman" w:hAnsi="Times New Roman" w:cs="Times New Roman"/>
          <w:kern w:val="0"/>
          <w:lang w:val="en-US" w:eastAsia="ru-RU"/>
          <w14:ligatures w14:val="none"/>
        </w:rPr>
        <w:t>: This theme takes a broader perspective, focusing on cooperation among businesses, governments, non-profits, and local communities to address sustainability challenges (Sharma and Henriques, 2005). Scholars emphasize the importance of trust, shared goals, and innovative governance structures to overcome power imbalances and conflicting priorities, fostering collective action for sustainable development across sectors and national borders (Heuer, 2011; Stead and Stead, 2013).</w:t>
      </w:r>
    </w:p>
    <w:p w14:paraId="6658356E" w14:textId="77777777" w:rsidR="000F3561" w:rsidRPr="00922792" w:rsidRDefault="000F3561" w:rsidP="6C6336C6">
      <w:pPr>
        <w:spacing w:after="0" w:line="360" w:lineRule="auto"/>
        <w:jc w:val="both"/>
        <w:rPr>
          <w:rFonts w:ascii="Times New Roman" w:eastAsia="Times New Roman" w:hAnsi="Times New Roman" w:cs="Times New Roman"/>
          <w:b/>
          <w:bCs/>
          <w:kern w:val="0"/>
          <w:lang w:val="en-US" w:eastAsia="ru-RU"/>
          <w14:ligatures w14:val="none"/>
        </w:rPr>
      </w:pPr>
      <w:r w:rsidRPr="00922792">
        <w:rPr>
          <w:rFonts w:ascii="Times New Roman" w:eastAsia="Times New Roman" w:hAnsi="Times New Roman" w:cs="Times New Roman"/>
          <w:b/>
          <w:bCs/>
          <w:kern w:val="0"/>
          <w:lang w:val="en-US" w:eastAsia="ru-RU"/>
          <w14:ligatures w14:val="none"/>
        </w:rPr>
        <w:t>Phase 2</w:t>
      </w:r>
    </w:p>
    <w:p w14:paraId="61069E5E"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lang w:val="en-US" w:eastAsia="ru-RU"/>
        </w:rPr>
        <w:t>The second phase builds on the foundational principles of the first, emphasizing systemic strategies for sustainability through innovation, collaboration, and institutional transformation. This phase comprises</w:t>
      </w:r>
      <w:r w:rsidRPr="00922792">
        <w:rPr>
          <w:rFonts w:ascii="Times New Roman" w:eastAsia="Times New Roman" w:hAnsi="Times New Roman" w:cs="Times New Roman"/>
          <w:kern w:val="0"/>
          <w:lang w:val="en-US" w:eastAsia="ru-RU"/>
          <w14:ligatures w14:val="none"/>
        </w:rPr>
        <w:t xml:space="preserve"> the following seven theme categories:</w:t>
      </w:r>
    </w:p>
    <w:p w14:paraId="55F65B15"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1) </w:t>
      </w:r>
      <w:r w:rsidRPr="00922792">
        <w:rPr>
          <w:rFonts w:ascii="Times New Roman" w:eastAsia="Times New Roman" w:hAnsi="Times New Roman" w:cs="Times New Roman"/>
          <w:i/>
          <w:iCs/>
          <w:kern w:val="0"/>
          <w:lang w:val="en-US" w:eastAsia="ru-RU"/>
          <w14:ligatures w14:val="none"/>
        </w:rPr>
        <w:t>Urban and Industrial Symbiotic Systems</w:t>
      </w:r>
      <w:r w:rsidRPr="00922792">
        <w:rPr>
          <w:rFonts w:ascii="Times New Roman" w:eastAsia="Times New Roman" w:hAnsi="Times New Roman" w:cs="Times New Roman"/>
          <w:kern w:val="0"/>
          <w:lang w:val="en-US" w:eastAsia="ru-RU"/>
          <w14:ligatures w14:val="none"/>
        </w:rPr>
        <w:t xml:space="preserve">: This theme builds on topics developed in the first phase but </w:t>
      </w:r>
      <w:r w:rsidRPr="00922792">
        <w:rPr>
          <w:rFonts w:ascii="Times New Roman" w:eastAsia="Times New Roman" w:hAnsi="Times New Roman" w:cs="Times New Roman"/>
          <w:kern w:val="0"/>
          <w:lang w:val="en-GB" w:eastAsia="ru-RU"/>
          <w14:ligatures w14:val="none"/>
        </w:rPr>
        <w:t>shifts the focus toward</w:t>
      </w:r>
      <w:r w:rsidRPr="00922792">
        <w:rPr>
          <w:rFonts w:ascii="Times New Roman" w:eastAsia="Times New Roman" w:hAnsi="Times New Roman" w:cs="Times New Roman"/>
          <w:kern w:val="0"/>
          <w:lang w:val="en-US" w:eastAsia="ru-RU"/>
          <w14:ligatures w14:val="none"/>
        </w:rPr>
        <w:t xml:space="preserve"> regulatory, organizational, and operational barriers. It emphasizes shared governance, resilient networks, and technical and social learning to </w:t>
      </w:r>
      <w:r w:rsidRPr="00922792">
        <w:rPr>
          <w:rFonts w:ascii="Times New Roman" w:eastAsia="Times New Roman" w:hAnsi="Times New Roman" w:cs="Times New Roman"/>
          <w:lang w:val="en-GB" w:eastAsia="ru-RU"/>
        </w:rPr>
        <w:t xml:space="preserve">scale these systems (Shi et al., 2019; </w:t>
      </w:r>
      <w:proofErr w:type="spellStart"/>
      <w:r w:rsidRPr="00922792">
        <w:rPr>
          <w:rFonts w:ascii="Times New Roman" w:eastAsia="Times New Roman" w:hAnsi="Times New Roman" w:cs="Times New Roman"/>
          <w:lang w:val="en-GB" w:eastAsia="ru-RU"/>
        </w:rPr>
        <w:t>Zaoual</w:t>
      </w:r>
      <w:proofErr w:type="spellEnd"/>
      <w:r w:rsidRPr="00922792">
        <w:rPr>
          <w:rFonts w:ascii="Times New Roman" w:eastAsia="Times New Roman" w:hAnsi="Times New Roman" w:cs="Times New Roman"/>
          <w:lang w:val="en-GB" w:eastAsia="ru-RU"/>
        </w:rPr>
        <w:t xml:space="preserve"> and Lecocq, 2018). By fostering innovation within urban-industrial ecosystems, symbiotic practices not only close resource loops but also drive regional sustainability and economic development (</w:t>
      </w:r>
      <w:proofErr w:type="spellStart"/>
      <w:r w:rsidRPr="00922792">
        <w:rPr>
          <w:rFonts w:ascii="Times New Roman" w:eastAsia="Times New Roman" w:hAnsi="Times New Roman" w:cs="Times New Roman"/>
          <w:lang w:val="en-GB" w:eastAsia="ru-RU"/>
        </w:rPr>
        <w:t>Susur</w:t>
      </w:r>
      <w:proofErr w:type="spellEnd"/>
      <w:r w:rsidRPr="00922792">
        <w:rPr>
          <w:rFonts w:ascii="Times New Roman" w:eastAsia="Times New Roman" w:hAnsi="Times New Roman" w:cs="Times New Roman"/>
          <w:kern w:val="0"/>
          <w:lang w:val="en-GB" w:eastAsia="ru-RU"/>
          <w14:ligatures w14:val="none"/>
        </w:rPr>
        <w:t xml:space="preserve"> et al., 2019).</w:t>
      </w:r>
    </w:p>
    <w:p w14:paraId="671113C9"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lastRenderedPageBreak/>
        <w:t xml:space="preserve">2) </w:t>
      </w:r>
      <w:r w:rsidRPr="00922792">
        <w:rPr>
          <w:rFonts w:ascii="Times New Roman" w:eastAsia="Times New Roman" w:hAnsi="Times New Roman" w:cs="Times New Roman"/>
          <w:i/>
          <w:iCs/>
          <w:kern w:val="0"/>
          <w:lang w:val="en-US" w:eastAsia="ru-RU"/>
          <w14:ligatures w14:val="none"/>
        </w:rPr>
        <w:t>Circular Resource Management</w:t>
      </w:r>
      <w:r w:rsidRPr="00922792">
        <w:rPr>
          <w:rFonts w:ascii="Times New Roman" w:eastAsia="Times New Roman" w:hAnsi="Times New Roman" w:cs="Times New Roman"/>
          <w:lang w:val="en-US" w:eastAsia="ru-RU"/>
        </w:rPr>
        <w:t xml:space="preserve">: This theme focuses on circular supply chains, innovative business models, and ecosystems that close resource loops (Batista et al., 2019). It emphasizes waste reduction, lifecycle extension, and upcycling, supported by policy frameworks, technological advancements, and stakeholder collaboration to drive systemic change toward circular models (Whicher et al., 2018; </w:t>
      </w:r>
      <w:proofErr w:type="spellStart"/>
      <w:r w:rsidRPr="00922792">
        <w:rPr>
          <w:rFonts w:ascii="Times New Roman" w:eastAsia="Times New Roman" w:hAnsi="Times New Roman" w:cs="Times New Roman"/>
          <w:lang w:val="en-US" w:eastAsia="ru-RU"/>
        </w:rPr>
        <w:t>Zucchella</w:t>
      </w:r>
      <w:proofErr w:type="spellEnd"/>
      <w:r w:rsidRPr="00922792">
        <w:rPr>
          <w:rFonts w:ascii="Times New Roman" w:eastAsia="Times New Roman" w:hAnsi="Times New Roman" w:cs="Times New Roman"/>
          <w:lang w:val="en-US" w:eastAsia="ru-RU"/>
        </w:rPr>
        <w:t xml:space="preserve"> and </w:t>
      </w:r>
      <w:proofErr w:type="spellStart"/>
      <w:r w:rsidRPr="00922792">
        <w:rPr>
          <w:rFonts w:ascii="Times New Roman" w:eastAsia="Times New Roman" w:hAnsi="Times New Roman" w:cs="Times New Roman"/>
          <w:lang w:val="en-US" w:eastAsia="ru-RU"/>
        </w:rPr>
        <w:t>Previtali</w:t>
      </w:r>
      <w:proofErr w:type="spellEnd"/>
      <w:r w:rsidRPr="00922792">
        <w:rPr>
          <w:rFonts w:ascii="Times New Roman" w:eastAsia="Times New Roman" w:hAnsi="Times New Roman" w:cs="Times New Roman"/>
          <w:kern w:val="0"/>
          <w:lang w:val="en-US" w:eastAsia="ru-RU"/>
          <w14:ligatures w14:val="none"/>
        </w:rPr>
        <w:t>, 2019).</w:t>
      </w:r>
    </w:p>
    <w:p w14:paraId="1530FA16"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3) </w:t>
      </w:r>
      <w:r w:rsidRPr="00922792">
        <w:rPr>
          <w:rFonts w:ascii="Times New Roman" w:eastAsia="Times New Roman" w:hAnsi="Times New Roman" w:cs="Times New Roman"/>
          <w:i/>
          <w:iCs/>
          <w:kern w:val="0"/>
          <w:lang w:val="en-US" w:eastAsia="ru-RU"/>
          <w14:ligatures w14:val="none"/>
        </w:rPr>
        <w:t>Collective Value Creation</w:t>
      </w:r>
      <w:r w:rsidRPr="00922792">
        <w:rPr>
          <w:rFonts w:ascii="Times New Roman" w:eastAsia="Times New Roman" w:hAnsi="Times New Roman" w:cs="Times New Roman"/>
          <w:lang w:val="en-US" w:eastAsia="ru-RU"/>
        </w:rPr>
        <w:t>: This theme redefines value creation as a shared, co-creative process, that enables businesses, communities, and ecosystems to deliver societal and environmental benefits while reducing material consumption (</w:t>
      </w:r>
      <w:proofErr w:type="spellStart"/>
      <w:r w:rsidRPr="00922792">
        <w:rPr>
          <w:rFonts w:ascii="Times New Roman" w:eastAsia="Times New Roman" w:hAnsi="Times New Roman" w:cs="Times New Roman"/>
          <w:lang w:val="en-US" w:eastAsia="ru-RU"/>
        </w:rPr>
        <w:t>Matinheikki</w:t>
      </w:r>
      <w:proofErr w:type="spellEnd"/>
      <w:r w:rsidRPr="00922792">
        <w:rPr>
          <w:rFonts w:ascii="Times New Roman" w:eastAsia="Times New Roman" w:hAnsi="Times New Roman" w:cs="Times New Roman"/>
          <w:lang w:val="en-US" w:eastAsia="ru-RU"/>
        </w:rPr>
        <w:t xml:space="preserve"> et al., 2017). By leveraging</w:t>
      </w:r>
      <w:r w:rsidRPr="00922792">
        <w:rPr>
          <w:rFonts w:ascii="Times New Roman" w:eastAsia="Times New Roman" w:hAnsi="Times New Roman" w:cs="Times New Roman"/>
          <w:kern w:val="0"/>
          <w:lang w:val="en-US" w:eastAsia="ru-RU"/>
          <w14:ligatures w14:val="none"/>
        </w:rPr>
        <w:t xml:space="preserve"> ecosystem approaches and service-dominant logic, </w:t>
      </w:r>
      <w:r w:rsidRPr="00922792">
        <w:rPr>
          <w:rFonts w:ascii="Times New Roman" w:eastAsia="Times New Roman" w:hAnsi="Times New Roman" w:cs="Times New Roman"/>
          <w:kern w:val="0"/>
          <w:lang w:val="en-GB" w:eastAsia="ru-RU"/>
          <w14:ligatures w14:val="none"/>
        </w:rPr>
        <w:t xml:space="preserve">collective value creation </w:t>
      </w:r>
      <w:r w:rsidRPr="00922792">
        <w:rPr>
          <w:rFonts w:ascii="Times New Roman" w:eastAsia="Times New Roman" w:hAnsi="Times New Roman" w:cs="Times New Roman"/>
          <w:kern w:val="0"/>
          <w:lang w:val="en-US" w:eastAsia="ru-RU"/>
          <w14:ligatures w14:val="none"/>
        </w:rPr>
        <w:t>fosters innovation, systemic cooperation, and resource efficiency (Matthies et al., 2016; Trischler et al., 2020).</w:t>
      </w:r>
    </w:p>
    <w:p w14:paraId="12F6DF55"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4) </w:t>
      </w:r>
      <w:r w:rsidRPr="00922792">
        <w:rPr>
          <w:rFonts w:ascii="Times New Roman" w:eastAsia="Times New Roman" w:hAnsi="Times New Roman" w:cs="Times New Roman"/>
          <w:i/>
          <w:iCs/>
          <w:kern w:val="0"/>
          <w:lang w:val="en-US" w:eastAsia="ru-RU"/>
          <w14:ligatures w14:val="none"/>
        </w:rPr>
        <w:t>Platform Solutions for Sustainability Partnerships</w:t>
      </w:r>
      <w:r w:rsidRPr="00922792">
        <w:rPr>
          <w:rFonts w:ascii="Times New Roman" w:eastAsia="Times New Roman" w:hAnsi="Times New Roman" w:cs="Times New Roman"/>
          <w:kern w:val="0"/>
          <w:lang w:val="en-US" w:eastAsia="ru-RU"/>
          <w14:ligatures w14:val="none"/>
        </w:rPr>
        <w:t>: This theme examines platforms as integrative mechanisms that coordinate resources, services, and technologies among stakeholders (</w:t>
      </w:r>
      <w:r w:rsidRPr="00922792">
        <w:rPr>
          <w:rFonts w:ascii="Times New Roman" w:eastAsia="Times New Roman" w:hAnsi="Times New Roman" w:cs="Times New Roman"/>
          <w:kern w:val="0"/>
          <w:lang w:val="en-GB" w:eastAsia="ru-RU"/>
          <w14:ligatures w14:val="none"/>
        </w:rPr>
        <w:t>Wei et al., 2020</w:t>
      </w:r>
      <w:r w:rsidRPr="00922792">
        <w:rPr>
          <w:rFonts w:ascii="Times New Roman" w:eastAsia="Times New Roman" w:hAnsi="Times New Roman" w:cs="Times New Roman"/>
          <w:lang w:val="en-US" w:eastAsia="ru-RU"/>
        </w:rPr>
        <w:t xml:space="preserve">). Platforms foster experimentation, co-creation, and modular innovation, enabling scalable solutions and supporting </w:t>
      </w:r>
      <w:proofErr w:type="spellStart"/>
      <w:r w:rsidRPr="00922792">
        <w:rPr>
          <w:rFonts w:ascii="Times New Roman" w:eastAsia="Times New Roman" w:hAnsi="Times New Roman" w:cs="Times New Roman"/>
          <w:lang w:val="en-US" w:eastAsia="ru-RU"/>
        </w:rPr>
        <w:t>servitization</w:t>
      </w:r>
      <w:proofErr w:type="spellEnd"/>
      <w:r w:rsidRPr="00922792">
        <w:rPr>
          <w:rFonts w:ascii="Times New Roman" w:eastAsia="Times New Roman" w:hAnsi="Times New Roman" w:cs="Times New Roman"/>
          <w:kern w:val="0"/>
          <w:lang w:val="en-US" w:eastAsia="ru-RU"/>
          <w14:ligatures w14:val="none"/>
        </w:rPr>
        <w:t xml:space="preserve"> and circular practices (Ding et al., 2019; Konietzko et al., 2020).</w:t>
      </w:r>
    </w:p>
    <w:p w14:paraId="23E28258"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5) </w:t>
      </w:r>
      <w:r w:rsidRPr="00922792">
        <w:rPr>
          <w:rFonts w:ascii="Times New Roman" w:eastAsia="Times New Roman" w:hAnsi="Times New Roman" w:cs="Times New Roman"/>
          <w:i/>
          <w:iCs/>
          <w:kern w:val="0"/>
          <w:lang w:val="en-US" w:eastAsia="ru-RU"/>
          <w14:ligatures w14:val="none"/>
        </w:rPr>
        <w:t>Dynamics Between Firms and Knowledge Sharing for Innovation</w:t>
      </w:r>
      <w:r w:rsidRPr="00922792">
        <w:rPr>
          <w:rFonts w:ascii="Times New Roman" w:eastAsia="Times New Roman" w:hAnsi="Times New Roman" w:cs="Times New Roman"/>
          <w:lang w:val="en-US" w:eastAsia="ru-RU"/>
        </w:rPr>
        <w:t xml:space="preserve">: This theme explores the complexities of collaboration in innovation ecosystems. It highlights the role of digital tools and technologies in facilitating knowledge sharing while addressing challenges such as knowledge leakage and power imbalances in competitive environments (Madsen, 2020; </w:t>
      </w:r>
      <w:proofErr w:type="spellStart"/>
      <w:r w:rsidRPr="00922792">
        <w:rPr>
          <w:rFonts w:ascii="Times New Roman" w:eastAsia="Times New Roman" w:hAnsi="Times New Roman" w:cs="Times New Roman"/>
          <w:lang w:val="en-US" w:eastAsia="ru-RU"/>
        </w:rPr>
        <w:t>Planko</w:t>
      </w:r>
      <w:proofErr w:type="spellEnd"/>
      <w:r w:rsidRPr="00922792">
        <w:rPr>
          <w:rFonts w:ascii="Times New Roman" w:eastAsia="Times New Roman" w:hAnsi="Times New Roman" w:cs="Times New Roman"/>
          <w:kern w:val="0"/>
          <w:lang w:val="en-US" w:eastAsia="ru-RU"/>
          <w14:ligatures w14:val="none"/>
        </w:rPr>
        <w:t xml:space="preserve"> et al., 2019; Romanelli, 2018).</w:t>
      </w:r>
    </w:p>
    <w:p w14:paraId="43AF21DE"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6) </w:t>
      </w:r>
      <w:r w:rsidRPr="00922792">
        <w:rPr>
          <w:rFonts w:ascii="Times New Roman" w:eastAsia="Times New Roman" w:hAnsi="Times New Roman" w:cs="Times New Roman"/>
          <w:i/>
          <w:iCs/>
          <w:kern w:val="0"/>
          <w:lang w:val="en-US" w:eastAsia="ru-RU"/>
          <w14:ligatures w14:val="none"/>
        </w:rPr>
        <w:t xml:space="preserve">Support for </w:t>
      </w:r>
      <w:proofErr w:type="gramStart"/>
      <w:r w:rsidRPr="00922792">
        <w:rPr>
          <w:rFonts w:ascii="Times New Roman" w:eastAsia="Times New Roman" w:hAnsi="Times New Roman" w:cs="Times New Roman"/>
          <w:i/>
          <w:iCs/>
          <w:kern w:val="0"/>
          <w:lang w:val="en-US" w:eastAsia="ru-RU"/>
          <w14:ligatures w14:val="none"/>
        </w:rPr>
        <w:t>Socially-Oriented</w:t>
      </w:r>
      <w:proofErr w:type="gramEnd"/>
      <w:r w:rsidRPr="00922792">
        <w:rPr>
          <w:rFonts w:ascii="Times New Roman" w:eastAsia="Times New Roman" w:hAnsi="Times New Roman" w:cs="Times New Roman"/>
          <w:i/>
          <w:iCs/>
          <w:kern w:val="0"/>
          <w:lang w:val="en-US" w:eastAsia="ru-RU"/>
          <w14:ligatures w14:val="none"/>
        </w:rPr>
        <w:t xml:space="preserve"> Firms</w:t>
      </w:r>
      <w:r w:rsidRPr="00922792">
        <w:rPr>
          <w:rFonts w:ascii="Times New Roman" w:eastAsia="Times New Roman" w:hAnsi="Times New Roman" w:cs="Times New Roman"/>
          <w:lang w:val="en-US" w:eastAsia="ru-RU"/>
        </w:rPr>
        <w:t xml:space="preserve">: This theme highlights the role of incubators, mentorship programs, and resource networks in fostering </w:t>
      </w:r>
      <w:proofErr w:type="gramStart"/>
      <w:r w:rsidRPr="00922792">
        <w:rPr>
          <w:rFonts w:ascii="Times New Roman" w:eastAsia="Times New Roman" w:hAnsi="Times New Roman" w:cs="Times New Roman"/>
          <w:lang w:val="en-US" w:eastAsia="ru-RU"/>
        </w:rPr>
        <w:t>socially-driven</w:t>
      </w:r>
      <w:proofErr w:type="gramEnd"/>
      <w:r w:rsidRPr="00922792">
        <w:rPr>
          <w:rFonts w:ascii="Times New Roman" w:eastAsia="Times New Roman" w:hAnsi="Times New Roman" w:cs="Times New Roman"/>
          <w:lang w:val="en-US" w:eastAsia="ru-RU"/>
        </w:rPr>
        <w:t xml:space="preserve"> ventures (Bank et al., 2017; Theodoraki et al., 2018). Collaborative ecosystems involving governments, universities, and business networks provide essential resources to support these ventures’ growth and innovation (</w:t>
      </w:r>
      <w:proofErr w:type="spellStart"/>
      <w:r w:rsidRPr="00922792">
        <w:rPr>
          <w:rFonts w:ascii="Times New Roman" w:eastAsia="Times New Roman" w:hAnsi="Times New Roman" w:cs="Times New Roman"/>
          <w:lang w:val="en-US" w:eastAsia="ru-RU"/>
        </w:rPr>
        <w:t>Bozhikin</w:t>
      </w:r>
      <w:proofErr w:type="spellEnd"/>
      <w:r w:rsidRPr="00922792">
        <w:rPr>
          <w:rFonts w:ascii="Times New Roman" w:eastAsia="Times New Roman" w:hAnsi="Times New Roman" w:cs="Times New Roman"/>
          <w:kern w:val="0"/>
          <w:lang w:val="en-US" w:eastAsia="ru-RU"/>
          <w14:ligatures w14:val="none"/>
        </w:rPr>
        <w:t xml:space="preserve"> et al., 2019).</w:t>
      </w:r>
    </w:p>
    <w:p w14:paraId="30B30875" w14:textId="77777777" w:rsidR="000F3561" w:rsidRPr="00922792" w:rsidRDefault="000F3561" w:rsidP="6C6336C6">
      <w:pPr>
        <w:spacing w:after="0" w:line="360" w:lineRule="auto"/>
        <w:jc w:val="both"/>
        <w:rPr>
          <w:rFonts w:ascii="Times New Roman" w:eastAsia="Times New Roman" w:hAnsi="Times New Roman" w:cs="Times New Roman"/>
          <w:kern w:val="0"/>
          <w:lang w:val="en-GB" w:eastAsia="ru-RU"/>
          <w14:ligatures w14:val="none"/>
        </w:rPr>
      </w:pPr>
      <w:r w:rsidRPr="00922792">
        <w:rPr>
          <w:rFonts w:ascii="Times New Roman" w:eastAsia="Times New Roman" w:hAnsi="Times New Roman" w:cs="Times New Roman"/>
          <w:kern w:val="0"/>
          <w:lang w:val="en-US" w:eastAsia="ru-RU"/>
          <w14:ligatures w14:val="none"/>
        </w:rPr>
        <w:t xml:space="preserve">7) </w:t>
      </w:r>
      <w:r w:rsidRPr="00922792">
        <w:rPr>
          <w:rFonts w:ascii="Times New Roman" w:eastAsia="Times New Roman" w:hAnsi="Times New Roman" w:cs="Times New Roman"/>
          <w:i/>
          <w:iCs/>
          <w:kern w:val="0"/>
          <w:lang w:val="en-US" w:eastAsia="ru-RU"/>
          <w14:ligatures w14:val="none"/>
        </w:rPr>
        <w:t>Policy Frameworks for Social Entrepreneurship</w:t>
      </w:r>
      <w:r w:rsidRPr="00922792">
        <w:rPr>
          <w:rFonts w:ascii="Times New Roman" w:eastAsia="Times New Roman" w:hAnsi="Times New Roman" w:cs="Times New Roman"/>
          <w:kern w:val="0"/>
          <w:lang w:val="en-US" w:eastAsia="ru-RU"/>
          <w14:ligatures w14:val="none"/>
        </w:rPr>
        <w:t xml:space="preserve">: This theme explores the role of policies and financial mechanisms in scaling </w:t>
      </w:r>
      <w:proofErr w:type="gramStart"/>
      <w:r w:rsidRPr="00922792">
        <w:rPr>
          <w:rFonts w:ascii="Times New Roman" w:eastAsia="Times New Roman" w:hAnsi="Times New Roman" w:cs="Times New Roman"/>
          <w:kern w:val="0"/>
          <w:lang w:val="en-US" w:eastAsia="ru-RU"/>
          <w14:ligatures w14:val="none"/>
        </w:rPr>
        <w:t>socially-oriented</w:t>
      </w:r>
      <w:proofErr w:type="gramEnd"/>
      <w:r w:rsidRPr="00922792">
        <w:rPr>
          <w:rFonts w:ascii="Times New Roman" w:eastAsia="Times New Roman" w:hAnsi="Times New Roman" w:cs="Times New Roman"/>
          <w:lang w:val="en-US" w:eastAsia="ru-RU"/>
        </w:rPr>
        <w:t xml:space="preserve"> enterprises. By aligning policies with regional contexts and facilitating</w:t>
      </w:r>
      <w:r w:rsidRPr="00922792">
        <w:rPr>
          <w:rFonts w:ascii="Times New Roman" w:eastAsia="Times New Roman" w:hAnsi="Times New Roman" w:cs="Times New Roman"/>
          <w:kern w:val="0"/>
          <w:lang w:val="en-US" w:eastAsia="ru-RU"/>
          <w14:ligatures w14:val="none"/>
        </w:rPr>
        <w:t xml:space="preserve"> partnerships, these frameworks reduce administrative burdens, attract resources, and enable sustainable development (Lamine et al., 2018; Martínez-Fierro et al., 2020; Tiba et al., 2020).</w:t>
      </w:r>
    </w:p>
    <w:p w14:paraId="5F583CEE" w14:textId="77777777" w:rsidR="000F3561" w:rsidRPr="00922792" w:rsidRDefault="000F3561" w:rsidP="6C6336C6">
      <w:pPr>
        <w:spacing w:after="0" w:line="360" w:lineRule="auto"/>
        <w:jc w:val="both"/>
        <w:rPr>
          <w:rFonts w:ascii="Times New Roman" w:eastAsia="Times New Roman" w:hAnsi="Times New Roman" w:cs="Times New Roman"/>
          <w:b/>
          <w:bCs/>
          <w:kern w:val="0"/>
          <w:lang w:val="en-US" w:eastAsia="ru-RU"/>
          <w14:ligatures w14:val="none"/>
        </w:rPr>
      </w:pPr>
      <w:r w:rsidRPr="00922792">
        <w:rPr>
          <w:rFonts w:ascii="Times New Roman" w:eastAsia="Times New Roman" w:hAnsi="Times New Roman" w:cs="Times New Roman"/>
          <w:b/>
          <w:bCs/>
          <w:kern w:val="0"/>
          <w:lang w:val="en-US" w:eastAsia="ru-RU"/>
          <w14:ligatures w14:val="none"/>
        </w:rPr>
        <w:t>Phase 3</w:t>
      </w:r>
    </w:p>
    <w:p w14:paraId="57265ACA"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lang w:val="en-US" w:eastAsia="ru-RU"/>
        </w:rPr>
        <w:lastRenderedPageBreak/>
        <w:t>The third phase adopts a more granular perspective, delving into specific and operational topics related to knowledge and capabilities, opportunities and challenges of the ecosystem approach, and performance outcomes. This phase comprises</w:t>
      </w:r>
      <w:r w:rsidRPr="00922792">
        <w:rPr>
          <w:rFonts w:ascii="Times New Roman" w:eastAsia="Times New Roman" w:hAnsi="Times New Roman" w:cs="Times New Roman"/>
          <w:kern w:val="0"/>
          <w:lang w:val="en-US" w:eastAsia="ru-RU"/>
          <w14:ligatures w14:val="none"/>
        </w:rPr>
        <w:t xml:space="preserve"> the following eight theme categories:</w:t>
      </w:r>
    </w:p>
    <w:p w14:paraId="7575D989"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1) </w:t>
      </w:r>
      <w:r w:rsidRPr="00922792">
        <w:rPr>
          <w:rFonts w:ascii="Times New Roman" w:eastAsia="Times New Roman" w:hAnsi="Times New Roman" w:cs="Times New Roman"/>
          <w:i/>
          <w:iCs/>
          <w:kern w:val="0"/>
          <w:lang w:val="en-US" w:eastAsia="ru-RU"/>
          <w14:ligatures w14:val="none"/>
        </w:rPr>
        <w:t>Capabilities for Sustainable Urban Innovation</w:t>
      </w:r>
      <w:r w:rsidRPr="00922792">
        <w:rPr>
          <w:rFonts w:ascii="Times New Roman" w:eastAsia="Times New Roman" w:hAnsi="Times New Roman" w:cs="Times New Roman"/>
          <w:kern w:val="0"/>
          <w:lang w:val="en-US" w:eastAsia="ru-RU"/>
          <w14:ligatures w14:val="none"/>
        </w:rPr>
        <w:t>: This theme focuses on the dynamic and innovation capabilities needed to build and orchestrate ecosystems that support sustainable and smart solutions in urban contexts (Linde et al., 2021; Parente et al., 2021; Santa-Maria et al., 2022).</w:t>
      </w:r>
    </w:p>
    <w:p w14:paraId="45275B06"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2) </w:t>
      </w:r>
      <w:r w:rsidRPr="00922792">
        <w:rPr>
          <w:rFonts w:ascii="Times New Roman" w:eastAsia="Times New Roman" w:hAnsi="Times New Roman" w:cs="Times New Roman"/>
          <w:i/>
          <w:iCs/>
          <w:kern w:val="0"/>
          <w:lang w:val="en-US" w:eastAsia="ru-RU"/>
          <w14:ligatures w14:val="none"/>
        </w:rPr>
        <w:t>Circular Resource Management</w:t>
      </w:r>
      <w:r w:rsidRPr="00922792">
        <w:rPr>
          <w:rFonts w:ascii="Times New Roman" w:eastAsia="Times New Roman" w:hAnsi="Times New Roman" w:cs="Times New Roman"/>
          <w:lang w:val="en-US" w:eastAsia="ru-RU"/>
        </w:rPr>
        <w:t>: This theme, emerged</w:t>
      </w:r>
      <w:r w:rsidRPr="00922792">
        <w:rPr>
          <w:rFonts w:ascii="Times New Roman" w:eastAsia="Times New Roman" w:hAnsi="Times New Roman" w:cs="Times New Roman"/>
          <w:kern w:val="0"/>
          <w:lang w:val="en-US" w:eastAsia="ru-RU"/>
          <w14:ligatures w14:val="none"/>
        </w:rPr>
        <w:t xml:space="preserve"> in the second phase, here explores roles, business models, and tools for collective circular value creation, focusing on resource recovery and material flow optimization </w:t>
      </w:r>
      <w:r w:rsidRPr="00922792">
        <w:rPr>
          <w:rFonts w:ascii="Times New Roman" w:eastAsia="Times New Roman" w:hAnsi="Times New Roman" w:cs="Times New Roman"/>
          <w:kern w:val="0"/>
          <w:lang w:val="en-GB" w:eastAsia="ru-RU"/>
          <w14:ligatures w14:val="none"/>
        </w:rPr>
        <w:t>(Valve et al., 2021</w:t>
      </w:r>
      <w:r w:rsidRPr="00922792">
        <w:rPr>
          <w:rFonts w:ascii="Times New Roman" w:eastAsia="Times New Roman" w:hAnsi="Times New Roman" w:cs="Times New Roman"/>
          <w:lang w:val="en-US" w:eastAsia="ru-RU"/>
        </w:rPr>
        <w:t xml:space="preserve">; </w:t>
      </w:r>
      <w:proofErr w:type="spellStart"/>
      <w:r w:rsidRPr="00922792">
        <w:rPr>
          <w:rFonts w:ascii="Times New Roman" w:eastAsia="Times New Roman" w:hAnsi="Times New Roman" w:cs="Times New Roman"/>
          <w:lang w:val="en-US" w:eastAsia="ru-RU"/>
        </w:rPr>
        <w:t>Zerbino</w:t>
      </w:r>
      <w:proofErr w:type="spellEnd"/>
      <w:r w:rsidRPr="00922792">
        <w:rPr>
          <w:rFonts w:ascii="Times New Roman" w:eastAsia="Times New Roman" w:hAnsi="Times New Roman" w:cs="Times New Roman"/>
          <w:kern w:val="0"/>
          <w:lang w:val="en-US" w:eastAsia="ru-RU"/>
          <w14:ligatures w14:val="none"/>
        </w:rPr>
        <w:t xml:space="preserve"> et al., 2021</w:t>
      </w:r>
      <w:r w:rsidRPr="00922792">
        <w:rPr>
          <w:rFonts w:ascii="Times New Roman" w:eastAsia="Times New Roman" w:hAnsi="Times New Roman" w:cs="Times New Roman"/>
          <w:kern w:val="0"/>
          <w:lang w:val="en-GB" w:eastAsia="ru-RU"/>
          <w14:ligatures w14:val="none"/>
        </w:rPr>
        <w:t xml:space="preserve">). </w:t>
      </w:r>
      <w:r w:rsidRPr="00922792">
        <w:rPr>
          <w:rFonts w:ascii="Times New Roman" w:eastAsia="Times New Roman" w:hAnsi="Times New Roman" w:cs="Times New Roman"/>
          <w:kern w:val="0"/>
          <w:lang w:val="en-US" w:eastAsia="ru-RU"/>
          <w14:ligatures w14:val="none"/>
        </w:rPr>
        <w:t>Digital decision-support tools are highlighted for improving traceability and collaboration in construction and demolition waste management (Yu et al., 2022).</w:t>
      </w:r>
    </w:p>
    <w:p w14:paraId="11DBD192"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3) </w:t>
      </w:r>
      <w:r w:rsidRPr="00922792">
        <w:rPr>
          <w:rFonts w:ascii="Times New Roman" w:eastAsia="Times New Roman" w:hAnsi="Times New Roman" w:cs="Times New Roman"/>
          <w:i/>
          <w:iCs/>
          <w:kern w:val="0"/>
          <w:lang w:val="en-US" w:eastAsia="ru-RU"/>
          <w14:ligatures w14:val="none"/>
        </w:rPr>
        <w:t>Opportunities and Challenges in Building Future Economic Systems</w:t>
      </w:r>
      <w:r w:rsidRPr="00922792">
        <w:rPr>
          <w:rFonts w:ascii="Times New Roman" w:eastAsia="Times New Roman" w:hAnsi="Times New Roman" w:cs="Times New Roman"/>
          <w:lang w:val="en-US" w:eastAsia="ru-RU"/>
        </w:rPr>
        <w:t>: This theme examines the importance of identifying business opportunities that create multidirectional value for stakeholders (</w:t>
      </w:r>
      <w:proofErr w:type="spellStart"/>
      <w:r w:rsidRPr="00922792">
        <w:rPr>
          <w:rFonts w:ascii="Times New Roman" w:eastAsia="Times New Roman" w:hAnsi="Times New Roman" w:cs="Times New Roman"/>
          <w:lang w:val="en-US" w:eastAsia="ru-RU"/>
        </w:rPr>
        <w:t>Chirumalla</w:t>
      </w:r>
      <w:proofErr w:type="spellEnd"/>
      <w:r w:rsidRPr="00922792">
        <w:rPr>
          <w:rFonts w:ascii="Times New Roman" w:eastAsia="Times New Roman" w:hAnsi="Times New Roman" w:cs="Times New Roman"/>
          <w:lang w:val="en-US" w:eastAsia="ru-RU"/>
        </w:rPr>
        <w:t xml:space="preserve"> et al., 2022). Key dimensions for evaluating sustainability-related opportunities include assessing capabilities, aligning ecosystems, and ensuring value-capture viability to deliver economic and social benefits (</w:t>
      </w:r>
      <w:proofErr w:type="spellStart"/>
      <w:r w:rsidRPr="00922792">
        <w:rPr>
          <w:rFonts w:ascii="Times New Roman" w:eastAsia="Times New Roman" w:hAnsi="Times New Roman" w:cs="Times New Roman"/>
          <w:lang w:val="en-US" w:eastAsia="ru-RU"/>
        </w:rPr>
        <w:t>Averina</w:t>
      </w:r>
      <w:proofErr w:type="spellEnd"/>
      <w:r w:rsidRPr="00922792">
        <w:rPr>
          <w:rFonts w:ascii="Times New Roman" w:eastAsia="Times New Roman" w:hAnsi="Times New Roman" w:cs="Times New Roman"/>
          <w:lang w:val="en-US" w:eastAsia="ru-RU"/>
        </w:rPr>
        <w:t xml:space="preserve"> et al., 2022). Essential conditions for fostering sustainable ecosystems include identifying sustainable opportunities, mobilizing resources, and building mutual trust among stakeholders (Moggi and </w:t>
      </w:r>
      <w:proofErr w:type="spellStart"/>
      <w:r w:rsidRPr="00922792">
        <w:rPr>
          <w:rFonts w:ascii="Times New Roman" w:eastAsia="Times New Roman" w:hAnsi="Times New Roman" w:cs="Times New Roman"/>
          <w:lang w:val="en-US" w:eastAsia="ru-RU"/>
        </w:rPr>
        <w:t>Dameri</w:t>
      </w:r>
      <w:proofErr w:type="spellEnd"/>
      <w:r w:rsidRPr="00922792">
        <w:rPr>
          <w:rFonts w:ascii="Times New Roman" w:eastAsia="Times New Roman" w:hAnsi="Times New Roman" w:cs="Times New Roman"/>
          <w:lang w:val="en-US" w:eastAsia="ru-RU"/>
        </w:rPr>
        <w:t>, 2021; DiVito and Ingen-</w:t>
      </w:r>
      <w:proofErr w:type="spellStart"/>
      <w:r w:rsidRPr="00922792">
        <w:rPr>
          <w:rFonts w:ascii="Times New Roman" w:eastAsia="Times New Roman" w:hAnsi="Times New Roman" w:cs="Times New Roman"/>
          <w:lang w:val="en-US" w:eastAsia="ru-RU"/>
        </w:rPr>
        <w:t>Housz</w:t>
      </w:r>
      <w:proofErr w:type="spellEnd"/>
      <w:r w:rsidRPr="00922792">
        <w:rPr>
          <w:rFonts w:ascii="Times New Roman" w:eastAsia="Times New Roman" w:hAnsi="Times New Roman" w:cs="Times New Roman"/>
          <w:kern w:val="0"/>
          <w:lang w:val="en-US" w:eastAsia="ru-RU"/>
          <w14:ligatures w14:val="none"/>
        </w:rPr>
        <w:t>, 2021).</w:t>
      </w:r>
    </w:p>
    <w:p w14:paraId="39038018"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4) </w:t>
      </w:r>
      <w:r w:rsidRPr="00922792">
        <w:rPr>
          <w:rFonts w:ascii="Times New Roman" w:eastAsia="Times New Roman" w:hAnsi="Times New Roman" w:cs="Times New Roman"/>
          <w:i/>
          <w:iCs/>
          <w:kern w:val="0"/>
          <w:lang w:val="en-US" w:eastAsia="ru-RU"/>
          <w14:ligatures w14:val="none"/>
        </w:rPr>
        <w:t>Collective Value Creation</w:t>
      </w:r>
      <w:r w:rsidRPr="00922792">
        <w:rPr>
          <w:rFonts w:ascii="Times New Roman" w:eastAsia="Times New Roman" w:hAnsi="Times New Roman" w:cs="Times New Roman"/>
          <w:lang w:val="en-US" w:eastAsia="ru-RU"/>
        </w:rPr>
        <w:t xml:space="preserve">: This theme, already developed in the second phase, highlights the importance of aligning stakeholders’ expectations and business models in the joint value creation process to achieve sustainability and circularity (Boldrini and </w:t>
      </w:r>
      <w:proofErr w:type="spellStart"/>
      <w:r w:rsidRPr="00922792">
        <w:rPr>
          <w:rFonts w:ascii="Times New Roman" w:eastAsia="Times New Roman" w:hAnsi="Times New Roman" w:cs="Times New Roman"/>
          <w:lang w:val="en-US" w:eastAsia="ru-RU"/>
        </w:rPr>
        <w:t>Antheaume</w:t>
      </w:r>
      <w:proofErr w:type="spellEnd"/>
      <w:r w:rsidRPr="00922792">
        <w:rPr>
          <w:rFonts w:ascii="Times New Roman" w:eastAsia="Times New Roman" w:hAnsi="Times New Roman" w:cs="Times New Roman"/>
          <w:lang w:val="en-US" w:eastAsia="ru-RU"/>
        </w:rPr>
        <w:t xml:space="preserve">, 2021; </w:t>
      </w:r>
      <w:proofErr w:type="spellStart"/>
      <w:r w:rsidRPr="00922792">
        <w:rPr>
          <w:rFonts w:ascii="Times New Roman" w:eastAsia="Times New Roman" w:hAnsi="Times New Roman" w:cs="Times New Roman"/>
          <w:lang w:val="en-US" w:eastAsia="ru-RU"/>
        </w:rPr>
        <w:t>Tapaninaho</w:t>
      </w:r>
      <w:proofErr w:type="spellEnd"/>
      <w:r w:rsidRPr="00922792">
        <w:rPr>
          <w:rFonts w:ascii="Times New Roman" w:eastAsia="Times New Roman" w:hAnsi="Times New Roman" w:cs="Times New Roman"/>
          <w:kern w:val="0"/>
          <w:lang w:val="en-US" w:eastAsia="ru-RU"/>
          <w14:ligatures w14:val="none"/>
        </w:rPr>
        <w:t xml:space="preserve"> and Heikkinen, 2022). It underscores the collaborative nature of sustainable practices as a crucial dimension for achieving the SDGs (Bonfanti et al., 2023).</w:t>
      </w:r>
    </w:p>
    <w:p w14:paraId="3675D598" w14:textId="567E7C5C"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5) </w:t>
      </w:r>
      <w:r w:rsidRPr="00922792">
        <w:rPr>
          <w:rFonts w:ascii="Times New Roman" w:eastAsia="Times New Roman" w:hAnsi="Times New Roman" w:cs="Times New Roman"/>
          <w:i/>
          <w:iCs/>
          <w:kern w:val="0"/>
          <w:lang w:val="en-US" w:eastAsia="ru-RU"/>
          <w14:ligatures w14:val="none"/>
        </w:rPr>
        <w:t>Performance of Sustainable Ventures</w:t>
      </w:r>
      <w:r w:rsidRPr="00922792">
        <w:rPr>
          <w:rFonts w:ascii="Times New Roman" w:eastAsia="Times New Roman" w:hAnsi="Times New Roman" w:cs="Times New Roman"/>
          <w:lang w:val="en-US" w:eastAsia="ru-RU"/>
        </w:rPr>
        <w:t>: This theme examines the outcomes of collaboration, focusing on how stakeholder interactions shape sustainable performance (Acebo et al., 2021; Kroh, 2021). It highlights that coopetition</w:t>
      </w:r>
      <w:r w:rsidRPr="00922792">
        <w:rPr>
          <w:rFonts w:ascii="Times New Roman" w:eastAsia="Times New Roman" w:hAnsi="Times New Roman" w:cs="Times New Roman"/>
          <w:kern w:val="0"/>
          <w:lang w:val="en-US" w:eastAsia="ru-RU"/>
          <w14:ligatures w14:val="none"/>
        </w:rPr>
        <w:t xml:space="preserve"> – simultaneous cooperation and competition – can yield varying results depending on actors’ capabilities (Lee and Roh, 2023).</w:t>
      </w:r>
    </w:p>
    <w:p w14:paraId="618FEF53" w14:textId="77777777" w:rsidR="000F3561" w:rsidRPr="00922792" w:rsidRDefault="000F3561" w:rsidP="6C6336C6">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6) </w:t>
      </w:r>
      <w:r w:rsidRPr="00922792">
        <w:rPr>
          <w:rFonts w:ascii="Times New Roman" w:eastAsia="Times New Roman" w:hAnsi="Times New Roman" w:cs="Times New Roman"/>
          <w:i/>
          <w:iCs/>
          <w:kern w:val="0"/>
          <w:lang w:val="en-US" w:eastAsia="ru-RU"/>
          <w14:ligatures w14:val="none"/>
        </w:rPr>
        <w:t>Sustainable Development Through Knowledge Sharing and Collaboration</w:t>
      </w:r>
      <w:r w:rsidRPr="00922792">
        <w:rPr>
          <w:rFonts w:ascii="Times New Roman" w:eastAsia="Times New Roman" w:hAnsi="Times New Roman" w:cs="Times New Roman"/>
          <w:kern w:val="0"/>
          <w:lang w:val="en-US" w:eastAsia="ru-RU"/>
          <w14:ligatures w14:val="none"/>
        </w:rPr>
        <w:t xml:space="preserve">: This theme emphasizes the creation of ecosystems where diverse actors co-develop sustainable solutions by sharing knowledge, aligning roles, and coordinating activities to address social and economic challenges (Bertello et al., 2022; Kanda et al., 2021). Intermediaries and digital </w:t>
      </w:r>
      <w:r w:rsidRPr="00922792">
        <w:rPr>
          <w:rFonts w:ascii="Times New Roman" w:eastAsia="Times New Roman" w:hAnsi="Times New Roman" w:cs="Times New Roman"/>
          <w:kern w:val="0"/>
          <w:lang w:val="en-US" w:eastAsia="ru-RU"/>
          <w14:ligatures w14:val="none"/>
        </w:rPr>
        <w:lastRenderedPageBreak/>
        <w:t>platforms play a pivotal role in fostering collaboration, resource integration, and stakeholder engagement to drive systemic innovation and sustainability transitions (Ho and Yoon, 2022).</w:t>
      </w:r>
    </w:p>
    <w:p w14:paraId="69DD2B73" w14:textId="77777777" w:rsidR="000F3561" w:rsidRPr="00922792" w:rsidRDefault="000F3561" w:rsidP="00652185">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7) </w:t>
      </w:r>
      <w:r w:rsidRPr="00922792">
        <w:rPr>
          <w:rFonts w:ascii="Times New Roman" w:eastAsia="Times New Roman" w:hAnsi="Times New Roman" w:cs="Times New Roman"/>
          <w:i/>
          <w:iCs/>
          <w:kern w:val="0"/>
          <w:lang w:val="en-US" w:eastAsia="ru-RU"/>
          <w14:ligatures w14:val="none"/>
        </w:rPr>
        <w:t>Regional Sustainability Through Social Entrepreneurial Ventures</w:t>
      </w:r>
      <w:r w:rsidRPr="00922792">
        <w:rPr>
          <w:rFonts w:ascii="Times New Roman" w:eastAsia="Times New Roman" w:hAnsi="Times New Roman" w:cs="Times New Roman"/>
          <w:lang w:val="en-US" w:eastAsia="ru-RU"/>
        </w:rPr>
        <w:t>: This theme underscores the role of entrepreneurial ecosystems in addressing local challenges by integrating stakeholders and fostering collaboration (Bischoff, 2021; O'Shea et al., 2021). Institutions play a critical role in facilitating</w:t>
      </w:r>
      <w:r w:rsidRPr="00922792">
        <w:rPr>
          <w:rFonts w:ascii="Times New Roman" w:eastAsia="Times New Roman" w:hAnsi="Times New Roman" w:cs="Times New Roman"/>
          <w:kern w:val="0"/>
          <w:lang w:val="en-US" w:eastAsia="ru-RU"/>
          <w14:ligatures w14:val="none"/>
        </w:rPr>
        <w:t xml:space="preserve"> knowledge spillovers, building entrepreneurial capabilities, and supporting venture creation through dedicated programs and partnerships (Wagner et al., 2021).</w:t>
      </w:r>
    </w:p>
    <w:p w14:paraId="26496C6D" w14:textId="281DA3E2" w:rsidR="000F3561" w:rsidRPr="00652185" w:rsidRDefault="000F3561" w:rsidP="00652185">
      <w:pPr>
        <w:spacing w:after="0" w:line="360" w:lineRule="auto"/>
        <w:jc w:val="both"/>
        <w:rPr>
          <w:rFonts w:ascii="Times New Roman" w:eastAsia="Times New Roman" w:hAnsi="Times New Roman" w:cs="Times New Roman"/>
          <w:kern w:val="0"/>
          <w:lang w:val="en-US" w:eastAsia="ru-RU"/>
          <w14:ligatures w14:val="none"/>
        </w:rPr>
      </w:pPr>
      <w:r w:rsidRPr="00922792">
        <w:rPr>
          <w:rFonts w:ascii="Times New Roman" w:eastAsia="Times New Roman" w:hAnsi="Times New Roman" w:cs="Times New Roman"/>
          <w:kern w:val="0"/>
          <w:lang w:val="en-US" w:eastAsia="ru-RU"/>
          <w14:ligatures w14:val="none"/>
        </w:rPr>
        <w:t xml:space="preserve">8) </w:t>
      </w:r>
      <w:r w:rsidRPr="00922792">
        <w:rPr>
          <w:rFonts w:ascii="Times New Roman" w:eastAsia="Times New Roman" w:hAnsi="Times New Roman" w:cs="Times New Roman"/>
          <w:i/>
          <w:iCs/>
          <w:kern w:val="0"/>
          <w:lang w:val="en-US" w:eastAsia="ru-RU"/>
          <w14:ligatures w14:val="none"/>
        </w:rPr>
        <w:t>Cross-Country Collaboration for Global Goal Achievement</w:t>
      </w:r>
      <w:r w:rsidRPr="00922792">
        <w:rPr>
          <w:rFonts w:ascii="Times New Roman" w:eastAsia="Times New Roman" w:hAnsi="Times New Roman" w:cs="Times New Roman"/>
          <w:lang w:val="en-US" w:eastAsia="ru-RU"/>
        </w:rPr>
        <w:t xml:space="preserve">: This theme emphasizes the importance of cross-border partnerships that align public and private sector efforts to tackle global challenges and support the United Nations SDGs (Sebhatu and Enquist, 2022). Digital </w:t>
      </w:r>
      <w:r w:rsidRPr="00652185">
        <w:rPr>
          <w:rFonts w:ascii="Times New Roman" w:eastAsia="Times New Roman" w:hAnsi="Times New Roman" w:cs="Times New Roman"/>
          <w:lang w:val="en-US" w:eastAsia="ru-RU"/>
        </w:rPr>
        <w:t>innovations enable collaboration across geographic and institutional boundaries, promoting knowledge sharing and coordinated action (George et al., 2021). The success of sustainable initiatives depends on shared values, local adaptation, and effective governance structures (</w:t>
      </w:r>
      <w:proofErr w:type="spellStart"/>
      <w:r w:rsidRPr="00652185">
        <w:rPr>
          <w:rFonts w:ascii="Times New Roman" w:eastAsia="Times New Roman" w:hAnsi="Times New Roman" w:cs="Times New Roman"/>
          <w:lang w:val="en-US" w:eastAsia="ru-RU"/>
        </w:rPr>
        <w:t>Canestrino</w:t>
      </w:r>
      <w:proofErr w:type="spellEnd"/>
      <w:r w:rsidRPr="00652185">
        <w:rPr>
          <w:rFonts w:ascii="Times New Roman" w:eastAsia="Times New Roman" w:hAnsi="Times New Roman" w:cs="Times New Roman"/>
          <w:kern w:val="0"/>
          <w:lang w:val="en-US" w:eastAsia="ru-RU"/>
          <w14:ligatures w14:val="none"/>
        </w:rPr>
        <w:t xml:space="preserve"> et al., 2023).</w:t>
      </w:r>
    </w:p>
    <w:p w14:paraId="6D0E6D86" w14:textId="77777777" w:rsidR="00652185" w:rsidRPr="00652185" w:rsidRDefault="00652185" w:rsidP="00652185">
      <w:pPr>
        <w:spacing w:after="0" w:line="360" w:lineRule="auto"/>
        <w:jc w:val="both"/>
        <w:rPr>
          <w:rFonts w:ascii="Times New Roman" w:eastAsia="Times New Roman" w:hAnsi="Times New Roman" w:cs="Times New Roman"/>
          <w:kern w:val="0"/>
          <w:lang w:val="en-US" w:eastAsia="ru-RU"/>
          <w14:ligatures w14:val="none"/>
        </w:rPr>
      </w:pPr>
    </w:p>
    <w:p w14:paraId="76066ABB" w14:textId="77777777" w:rsidR="00652185" w:rsidRPr="00652185" w:rsidRDefault="00652185" w:rsidP="00652185">
      <w:pPr>
        <w:spacing w:after="0" w:line="360" w:lineRule="auto"/>
        <w:jc w:val="center"/>
        <w:rPr>
          <w:rFonts w:ascii="Times New Roman" w:eastAsia="Times New Roman" w:hAnsi="Times New Roman" w:cs="Times New Roman"/>
          <w:b/>
          <w:bCs/>
          <w:kern w:val="0"/>
          <w:lang w:val="en-US" w:eastAsia="ru-RU"/>
          <w14:ligatures w14:val="none"/>
        </w:rPr>
      </w:pPr>
    </w:p>
    <w:p w14:paraId="093785C9" w14:textId="15E0A38B" w:rsidR="00652185" w:rsidRPr="00652185" w:rsidRDefault="00652185" w:rsidP="00652185">
      <w:pPr>
        <w:spacing w:after="0" w:line="360" w:lineRule="auto"/>
        <w:jc w:val="center"/>
        <w:rPr>
          <w:rFonts w:ascii="Times New Roman" w:eastAsia="Times New Roman" w:hAnsi="Times New Roman" w:cs="Times New Roman"/>
          <w:b/>
          <w:bCs/>
          <w:kern w:val="0"/>
          <w:lang w:val="en-US" w:eastAsia="ru-RU"/>
          <w14:ligatures w14:val="none"/>
        </w:rPr>
      </w:pPr>
      <w:r w:rsidRPr="00652185">
        <w:rPr>
          <w:rFonts w:ascii="Times New Roman" w:eastAsia="Times New Roman" w:hAnsi="Times New Roman" w:cs="Times New Roman"/>
          <w:b/>
          <w:bCs/>
          <w:kern w:val="0"/>
          <w:lang w:val="en-US" w:eastAsia="ru-RU"/>
          <w14:ligatures w14:val="none"/>
        </w:rPr>
        <w:t>Additional references</w:t>
      </w:r>
    </w:p>
    <w:p w14:paraId="166BEAA1" w14:textId="77777777" w:rsidR="00652185" w:rsidRPr="00652185" w:rsidRDefault="00652185" w:rsidP="00652185">
      <w:pPr>
        <w:spacing w:after="0" w:line="360" w:lineRule="auto"/>
        <w:ind w:left="567" w:hanging="567"/>
        <w:jc w:val="both"/>
        <w:rPr>
          <w:rFonts w:ascii="Times New Roman" w:eastAsia="Times New Roman" w:hAnsi="Times New Roman" w:cs="Times New Roman"/>
          <w:kern w:val="0"/>
          <w:lang w:val="en-US" w:eastAsia="ru-RU"/>
          <w14:ligatures w14:val="none"/>
        </w:rPr>
      </w:pPr>
      <w:proofErr w:type="spellStart"/>
      <w:r w:rsidRPr="00652185">
        <w:rPr>
          <w:rFonts w:ascii="Times New Roman" w:eastAsia="Times New Roman" w:hAnsi="Times New Roman" w:cs="Times New Roman"/>
          <w:kern w:val="0"/>
          <w:lang w:eastAsia="ru-RU"/>
          <w14:ligatures w14:val="none"/>
        </w:rPr>
        <w:t>DiVito</w:t>
      </w:r>
      <w:proofErr w:type="spellEnd"/>
      <w:r w:rsidRPr="00652185">
        <w:rPr>
          <w:rFonts w:ascii="Times New Roman" w:eastAsia="Times New Roman" w:hAnsi="Times New Roman" w:cs="Times New Roman"/>
          <w:kern w:val="0"/>
          <w:lang w:eastAsia="ru-RU"/>
          <w14:ligatures w14:val="none"/>
        </w:rPr>
        <w:t xml:space="preserve">, L., &amp; </w:t>
      </w:r>
      <w:proofErr w:type="spellStart"/>
      <w:r w:rsidRPr="00652185">
        <w:rPr>
          <w:rFonts w:ascii="Times New Roman" w:eastAsia="Times New Roman" w:hAnsi="Times New Roman" w:cs="Times New Roman"/>
          <w:kern w:val="0"/>
          <w:lang w:eastAsia="ru-RU"/>
          <w14:ligatures w14:val="none"/>
        </w:rPr>
        <w:t>Ingen-Housz</w:t>
      </w:r>
      <w:proofErr w:type="spellEnd"/>
      <w:r w:rsidRPr="00652185">
        <w:rPr>
          <w:rFonts w:ascii="Times New Roman" w:eastAsia="Times New Roman" w:hAnsi="Times New Roman" w:cs="Times New Roman"/>
          <w:kern w:val="0"/>
          <w:lang w:eastAsia="ru-RU"/>
          <w14:ligatures w14:val="none"/>
        </w:rPr>
        <w:t xml:space="preserve">, Z. (2021). </w:t>
      </w:r>
      <w:r w:rsidRPr="00652185">
        <w:rPr>
          <w:rFonts w:ascii="Times New Roman" w:eastAsia="Times New Roman" w:hAnsi="Times New Roman" w:cs="Times New Roman"/>
          <w:kern w:val="0"/>
          <w:lang w:val="en-US" w:eastAsia="ru-RU"/>
          <w14:ligatures w14:val="none"/>
        </w:rPr>
        <w:t>From individual sustainability orientations to collective sustainability innovation and sustainable entrepreneurial ecosystems. Small Business Economics, 56, 1057–1072. doi:10.1007/s11187-019-00254-6</w:t>
      </w:r>
    </w:p>
    <w:p w14:paraId="4514D896" w14:textId="7643A088" w:rsidR="00652185" w:rsidRPr="00652185" w:rsidRDefault="00652185" w:rsidP="00652185">
      <w:pPr>
        <w:spacing w:after="0" w:line="360" w:lineRule="auto"/>
        <w:ind w:left="567" w:hanging="567"/>
        <w:jc w:val="both"/>
        <w:rPr>
          <w:rFonts w:ascii="Times New Roman" w:eastAsia="Times New Roman" w:hAnsi="Times New Roman" w:cs="Times New Roman"/>
          <w:kern w:val="0"/>
          <w:lang w:val="en-US" w:eastAsia="ru-RU"/>
          <w14:ligatures w14:val="none"/>
        </w:rPr>
      </w:pPr>
      <w:r w:rsidRPr="006105C9">
        <w:rPr>
          <w:rFonts w:ascii="Times New Roman" w:eastAsia="Times New Roman" w:hAnsi="Times New Roman" w:cs="Times New Roman"/>
          <w:kern w:val="0"/>
          <w:lang w:eastAsia="ru-RU"/>
          <w14:ligatures w14:val="none"/>
        </w:rPr>
        <w:t>Parente, R., Melo, M., Andrews, D., Kumaraswamy, A., &amp;</w:t>
      </w:r>
      <w:r w:rsidR="006105C9" w:rsidRPr="006105C9">
        <w:rPr>
          <w:rFonts w:ascii="Times New Roman" w:eastAsia="Times New Roman" w:hAnsi="Times New Roman" w:cs="Times New Roman"/>
          <w:kern w:val="0"/>
          <w:lang w:eastAsia="ru-RU"/>
          <w14:ligatures w14:val="none"/>
        </w:rPr>
        <w:t xml:space="preserve"> </w:t>
      </w:r>
      <w:r w:rsidRPr="006105C9">
        <w:rPr>
          <w:rFonts w:ascii="Times New Roman" w:eastAsia="Times New Roman" w:hAnsi="Times New Roman" w:cs="Times New Roman"/>
          <w:kern w:val="0"/>
          <w:lang w:eastAsia="ru-RU"/>
          <w14:ligatures w14:val="none"/>
        </w:rPr>
        <w:t xml:space="preserve">Vasconcelos, F. (2021). </w:t>
      </w:r>
      <w:r w:rsidRPr="00652185">
        <w:rPr>
          <w:rFonts w:ascii="Times New Roman" w:eastAsia="Times New Roman" w:hAnsi="Times New Roman" w:cs="Times New Roman"/>
          <w:kern w:val="0"/>
          <w:lang w:val="en-US" w:eastAsia="ru-RU"/>
          <w14:ligatures w14:val="none"/>
        </w:rPr>
        <w:t>Public sector organizations and agricultural catch-up dilemma in emerging markets: The orchestrating role of Embrapa in Brazil. Journal of International Business Studies, 52, 646-670. doi:10.1057/s41267-020-00325-x</w:t>
      </w:r>
    </w:p>
    <w:p w14:paraId="55DAA8AE" w14:textId="29A77445" w:rsidR="00652185" w:rsidRPr="00652185" w:rsidRDefault="00652185" w:rsidP="00652185">
      <w:pPr>
        <w:spacing w:after="0" w:line="360" w:lineRule="auto"/>
        <w:ind w:left="567" w:hanging="567"/>
        <w:jc w:val="both"/>
        <w:rPr>
          <w:rFonts w:ascii="Times New Roman" w:eastAsia="Times New Roman" w:hAnsi="Times New Roman" w:cs="Times New Roman"/>
          <w:kern w:val="0"/>
          <w:lang w:val="en-US" w:eastAsia="ru-RU"/>
          <w14:ligatures w14:val="none"/>
        </w:rPr>
      </w:pPr>
      <w:r w:rsidRPr="00652185">
        <w:rPr>
          <w:rFonts w:ascii="Times New Roman" w:eastAsia="Times New Roman" w:hAnsi="Times New Roman" w:cs="Times New Roman"/>
          <w:kern w:val="0"/>
          <w:lang w:val="en-US" w:eastAsia="ru-RU"/>
          <w14:ligatures w14:val="none"/>
        </w:rPr>
        <w:t>Romanelli, M. (2018). Towards sustainable ecosystems. Systems Research and Behavioral Science, 35(4), 417-426 doi:10.1002/sres.2541</w:t>
      </w:r>
    </w:p>
    <w:sectPr w:rsidR="00652185" w:rsidRPr="006521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41D88"/>
    <w:multiLevelType w:val="hybridMultilevel"/>
    <w:tmpl w:val="419A0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51435D"/>
    <w:multiLevelType w:val="multilevel"/>
    <w:tmpl w:val="F8C07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01031070">
    <w:abstractNumId w:val="0"/>
  </w:num>
  <w:num w:numId="2" w16cid:durableId="3911226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126"/>
    <w:rsid w:val="00020C32"/>
    <w:rsid w:val="000302EE"/>
    <w:rsid w:val="00074CE2"/>
    <w:rsid w:val="000B4BBD"/>
    <w:rsid w:val="000D23FF"/>
    <w:rsid w:val="000F00DA"/>
    <w:rsid w:val="000F3561"/>
    <w:rsid w:val="00125AD5"/>
    <w:rsid w:val="001455A5"/>
    <w:rsid w:val="00146985"/>
    <w:rsid w:val="001F0631"/>
    <w:rsid w:val="0020248C"/>
    <w:rsid w:val="00215EEE"/>
    <w:rsid w:val="00221F56"/>
    <w:rsid w:val="002227F7"/>
    <w:rsid w:val="002335E6"/>
    <w:rsid w:val="00235215"/>
    <w:rsid w:val="002A1216"/>
    <w:rsid w:val="002C2C81"/>
    <w:rsid w:val="002D27A3"/>
    <w:rsid w:val="002D35ED"/>
    <w:rsid w:val="002E48AD"/>
    <w:rsid w:val="002E54A3"/>
    <w:rsid w:val="0030235A"/>
    <w:rsid w:val="00311EBC"/>
    <w:rsid w:val="0031437D"/>
    <w:rsid w:val="0033383E"/>
    <w:rsid w:val="00333F1A"/>
    <w:rsid w:val="003A03BA"/>
    <w:rsid w:val="003A444D"/>
    <w:rsid w:val="003B38AC"/>
    <w:rsid w:val="003C2470"/>
    <w:rsid w:val="003D89C0"/>
    <w:rsid w:val="003E2218"/>
    <w:rsid w:val="003E3C07"/>
    <w:rsid w:val="003F108C"/>
    <w:rsid w:val="00403B23"/>
    <w:rsid w:val="00403FE6"/>
    <w:rsid w:val="00431B6C"/>
    <w:rsid w:val="004726AC"/>
    <w:rsid w:val="0049250F"/>
    <w:rsid w:val="00497A95"/>
    <w:rsid w:val="004C0CE2"/>
    <w:rsid w:val="004E2948"/>
    <w:rsid w:val="004F59D2"/>
    <w:rsid w:val="005207DF"/>
    <w:rsid w:val="00553EAD"/>
    <w:rsid w:val="0056670F"/>
    <w:rsid w:val="00582600"/>
    <w:rsid w:val="00585382"/>
    <w:rsid w:val="005B4278"/>
    <w:rsid w:val="005E4F82"/>
    <w:rsid w:val="006105C9"/>
    <w:rsid w:val="006111D5"/>
    <w:rsid w:val="0063340D"/>
    <w:rsid w:val="006363EF"/>
    <w:rsid w:val="006469EF"/>
    <w:rsid w:val="00652185"/>
    <w:rsid w:val="006548FA"/>
    <w:rsid w:val="006677E4"/>
    <w:rsid w:val="0067530F"/>
    <w:rsid w:val="00676AAE"/>
    <w:rsid w:val="00682A1D"/>
    <w:rsid w:val="00694200"/>
    <w:rsid w:val="006B5FE3"/>
    <w:rsid w:val="006D0126"/>
    <w:rsid w:val="006F1C0B"/>
    <w:rsid w:val="00715BE1"/>
    <w:rsid w:val="0072023A"/>
    <w:rsid w:val="00733B6D"/>
    <w:rsid w:val="00746FA7"/>
    <w:rsid w:val="00761F5A"/>
    <w:rsid w:val="0076E188"/>
    <w:rsid w:val="00777E84"/>
    <w:rsid w:val="00791330"/>
    <w:rsid w:val="007C2CE3"/>
    <w:rsid w:val="007D56B3"/>
    <w:rsid w:val="00807533"/>
    <w:rsid w:val="00810E0B"/>
    <w:rsid w:val="0081717B"/>
    <w:rsid w:val="008279EC"/>
    <w:rsid w:val="008544D3"/>
    <w:rsid w:val="008614AB"/>
    <w:rsid w:val="00865A51"/>
    <w:rsid w:val="00870A3C"/>
    <w:rsid w:val="00877154"/>
    <w:rsid w:val="008778DD"/>
    <w:rsid w:val="008D0ADE"/>
    <w:rsid w:val="008E21B2"/>
    <w:rsid w:val="008E7268"/>
    <w:rsid w:val="008E7FDE"/>
    <w:rsid w:val="008F6138"/>
    <w:rsid w:val="00922792"/>
    <w:rsid w:val="00934913"/>
    <w:rsid w:val="009366BC"/>
    <w:rsid w:val="0095292A"/>
    <w:rsid w:val="00964CC8"/>
    <w:rsid w:val="0096644B"/>
    <w:rsid w:val="00974915"/>
    <w:rsid w:val="009A2D65"/>
    <w:rsid w:val="009B49AD"/>
    <w:rsid w:val="009C2407"/>
    <w:rsid w:val="009F26A0"/>
    <w:rsid w:val="00A23A99"/>
    <w:rsid w:val="00A27E26"/>
    <w:rsid w:val="00A3654F"/>
    <w:rsid w:val="00A42375"/>
    <w:rsid w:val="00A53980"/>
    <w:rsid w:val="00A65B4C"/>
    <w:rsid w:val="00A76E6F"/>
    <w:rsid w:val="00A83170"/>
    <w:rsid w:val="00B462C2"/>
    <w:rsid w:val="00B46A30"/>
    <w:rsid w:val="00B50D3D"/>
    <w:rsid w:val="00B61B43"/>
    <w:rsid w:val="00B722C5"/>
    <w:rsid w:val="00B76BD6"/>
    <w:rsid w:val="00BA05F2"/>
    <w:rsid w:val="00BB3EB2"/>
    <w:rsid w:val="00BD2D95"/>
    <w:rsid w:val="00BD47D6"/>
    <w:rsid w:val="00BD7F9F"/>
    <w:rsid w:val="00C26054"/>
    <w:rsid w:val="00C330D7"/>
    <w:rsid w:val="00C46C78"/>
    <w:rsid w:val="00C55B65"/>
    <w:rsid w:val="00C72781"/>
    <w:rsid w:val="00CA62A3"/>
    <w:rsid w:val="00CF4807"/>
    <w:rsid w:val="00D070CF"/>
    <w:rsid w:val="00D11385"/>
    <w:rsid w:val="00D12B63"/>
    <w:rsid w:val="00D2751A"/>
    <w:rsid w:val="00DB2E5A"/>
    <w:rsid w:val="00DB3197"/>
    <w:rsid w:val="00DB5A84"/>
    <w:rsid w:val="00DB6E97"/>
    <w:rsid w:val="00DF102E"/>
    <w:rsid w:val="00DF7A76"/>
    <w:rsid w:val="00E00D19"/>
    <w:rsid w:val="00E3157C"/>
    <w:rsid w:val="00ED1E51"/>
    <w:rsid w:val="00ED5B3B"/>
    <w:rsid w:val="00EE0B73"/>
    <w:rsid w:val="00EE3A84"/>
    <w:rsid w:val="00F07281"/>
    <w:rsid w:val="00F105EA"/>
    <w:rsid w:val="00F10747"/>
    <w:rsid w:val="00F21D31"/>
    <w:rsid w:val="00F458E4"/>
    <w:rsid w:val="00F535AD"/>
    <w:rsid w:val="00F54BD1"/>
    <w:rsid w:val="00F55275"/>
    <w:rsid w:val="00F85105"/>
    <w:rsid w:val="00F87D75"/>
    <w:rsid w:val="00F91871"/>
    <w:rsid w:val="00FA0AA4"/>
    <w:rsid w:val="00FB6A58"/>
    <w:rsid w:val="00FC60C1"/>
    <w:rsid w:val="00FC6341"/>
    <w:rsid w:val="00FC66ED"/>
    <w:rsid w:val="00FD3E25"/>
    <w:rsid w:val="0376843D"/>
    <w:rsid w:val="046E9AA2"/>
    <w:rsid w:val="04EADB27"/>
    <w:rsid w:val="058BBFBF"/>
    <w:rsid w:val="05E55BA7"/>
    <w:rsid w:val="078BEC73"/>
    <w:rsid w:val="0890F438"/>
    <w:rsid w:val="09394F58"/>
    <w:rsid w:val="09EDE76F"/>
    <w:rsid w:val="0B7968E8"/>
    <w:rsid w:val="0C47D41C"/>
    <w:rsid w:val="0CFB2D21"/>
    <w:rsid w:val="10C910F1"/>
    <w:rsid w:val="10FEA965"/>
    <w:rsid w:val="11A986D6"/>
    <w:rsid w:val="129103A5"/>
    <w:rsid w:val="12BD257F"/>
    <w:rsid w:val="13B2C81B"/>
    <w:rsid w:val="167D80F8"/>
    <w:rsid w:val="194A5B3F"/>
    <w:rsid w:val="1A2410EF"/>
    <w:rsid w:val="1AFD78C1"/>
    <w:rsid w:val="1B29A830"/>
    <w:rsid w:val="1BDAD0C0"/>
    <w:rsid w:val="1C3EEF4B"/>
    <w:rsid w:val="1E15EBA3"/>
    <w:rsid w:val="1FE31675"/>
    <w:rsid w:val="209B4946"/>
    <w:rsid w:val="20E853B9"/>
    <w:rsid w:val="22860A2A"/>
    <w:rsid w:val="2312C880"/>
    <w:rsid w:val="23B91FC3"/>
    <w:rsid w:val="2470B80F"/>
    <w:rsid w:val="25954EAB"/>
    <w:rsid w:val="25B0F114"/>
    <w:rsid w:val="2606B8BB"/>
    <w:rsid w:val="26D134DB"/>
    <w:rsid w:val="26D635FB"/>
    <w:rsid w:val="26DA5BD1"/>
    <w:rsid w:val="274617CB"/>
    <w:rsid w:val="28FFE8B0"/>
    <w:rsid w:val="296FBD84"/>
    <w:rsid w:val="298DBF7A"/>
    <w:rsid w:val="2A866715"/>
    <w:rsid w:val="2C9987FC"/>
    <w:rsid w:val="2CA6FF52"/>
    <w:rsid w:val="2D7E8566"/>
    <w:rsid w:val="2DBA65E9"/>
    <w:rsid w:val="2DCDF9D4"/>
    <w:rsid w:val="2EA9BDFE"/>
    <w:rsid w:val="2EBD6E46"/>
    <w:rsid w:val="2F41544B"/>
    <w:rsid w:val="2FE6BF8F"/>
    <w:rsid w:val="30919674"/>
    <w:rsid w:val="32C2A75D"/>
    <w:rsid w:val="3403323E"/>
    <w:rsid w:val="3417F187"/>
    <w:rsid w:val="362CB999"/>
    <w:rsid w:val="377EBEB5"/>
    <w:rsid w:val="384D3EA0"/>
    <w:rsid w:val="388D9BB9"/>
    <w:rsid w:val="38F5D449"/>
    <w:rsid w:val="39B25352"/>
    <w:rsid w:val="39DFD8D2"/>
    <w:rsid w:val="3A89A9F7"/>
    <w:rsid w:val="3A9B12B2"/>
    <w:rsid w:val="3A9E3818"/>
    <w:rsid w:val="3AB9FB0D"/>
    <w:rsid w:val="3BC12C32"/>
    <w:rsid w:val="3D1435BA"/>
    <w:rsid w:val="3DC8EAB4"/>
    <w:rsid w:val="3DEBFB92"/>
    <w:rsid w:val="3E825DAD"/>
    <w:rsid w:val="3F242323"/>
    <w:rsid w:val="3F3FDE24"/>
    <w:rsid w:val="42E11EC1"/>
    <w:rsid w:val="4338DC52"/>
    <w:rsid w:val="4453AC35"/>
    <w:rsid w:val="44664363"/>
    <w:rsid w:val="4547F07C"/>
    <w:rsid w:val="46D05D41"/>
    <w:rsid w:val="482A8FE4"/>
    <w:rsid w:val="4B578328"/>
    <w:rsid w:val="4B83515C"/>
    <w:rsid w:val="4C4D1AB0"/>
    <w:rsid w:val="4C9DBBA8"/>
    <w:rsid w:val="4D53FF6F"/>
    <w:rsid w:val="4DA88E12"/>
    <w:rsid w:val="4DE2FC4A"/>
    <w:rsid w:val="4E2C394D"/>
    <w:rsid w:val="4F06F42A"/>
    <w:rsid w:val="4FF7D602"/>
    <w:rsid w:val="50192DE0"/>
    <w:rsid w:val="546DF6EB"/>
    <w:rsid w:val="557859B5"/>
    <w:rsid w:val="578A7A5D"/>
    <w:rsid w:val="5914ACAE"/>
    <w:rsid w:val="59DA3301"/>
    <w:rsid w:val="5AE5C75A"/>
    <w:rsid w:val="5CE7C39C"/>
    <w:rsid w:val="5D0066C0"/>
    <w:rsid w:val="5E3CFCFC"/>
    <w:rsid w:val="5F7820A4"/>
    <w:rsid w:val="5F8E906A"/>
    <w:rsid w:val="5FD57F2B"/>
    <w:rsid w:val="60396A7F"/>
    <w:rsid w:val="610EF36C"/>
    <w:rsid w:val="6317848A"/>
    <w:rsid w:val="63302B52"/>
    <w:rsid w:val="635A743E"/>
    <w:rsid w:val="639372C8"/>
    <w:rsid w:val="63983657"/>
    <w:rsid w:val="67877D30"/>
    <w:rsid w:val="6849F24A"/>
    <w:rsid w:val="68910AE9"/>
    <w:rsid w:val="6AE76407"/>
    <w:rsid w:val="6AEED9AF"/>
    <w:rsid w:val="6BC89C99"/>
    <w:rsid w:val="6C6336C6"/>
    <w:rsid w:val="6CBF3981"/>
    <w:rsid w:val="6CF3410D"/>
    <w:rsid w:val="6DDCED40"/>
    <w:rsid w:val="710D71EA"/>
    <w:rsid w:val="72AC0EEE"/>
    <w:rsid w:val="75618915"/>
    <w:rsid w:val="760DE054"/>
    <w:rsid w:val="763D23BF"/>
    <w:rsid w:val="76EE7B72"/>
    <w:rsid w:val="7884E37C"/>
    <w:rsid w:val="79FDD9AA"/>
    <w:rsid w:val="7BA6F25A"/>
    <w:rsid w:val="7C23252B"/>
    <w:rsid w:val="7D53A7CF"/>
    <w:rsid w:val="7F1D2493"/>
    <w:rsid w:val="7F7F2616"/>
    <w:rsid w:val="7FD8D30E"/>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5282D3"/>
  <w15:chartTrackingRefBased/>
  <w15:docId w15:val="{E7EC12A8-407B-4490-ADCD-D03C26AC2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D01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01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01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01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01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01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01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01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01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01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01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01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01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01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01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01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01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0126"/>
    <w:rPr>
      <w:rFonts w:eastAsiaTheme="majorEastAsia" w:cstheme="majorBidi"/>
      <w:color w:val="272727" w:themeColor="text1" w:themeTint="D8"/>
    </w:rPr>
  </w:style>
  <w:style w:type="paragraph" w:styleId="Title">
    <w:name w:val="Title"/>
    <w:basedOn w:val="Normal"/>
    <w:next w:val="Normal"/>
    <w:link w:val="TitleChar"/>
    <w:uiPriority w:val="10"/>
    <w:qFormat/>
    <w:rsid w:val="006D01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01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01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01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0126"/>
    <w:pPr>
      <w:spacing w:before="160"/>
      <w:jc w:val="center"/>
    </w:pPr>
    <w:rPr>
      <w:i/>
      <w:iCs/>
      <w:color w:val="404040" w:themeColor="text1" w:themeTint="BF"/>
    </w:rPr>
  </w:style>
  <w:style w:type="character" w:customStyle="1" w:styleId="QuoteChar">
    <w:name w:val="Quote Char"/>
    <w:basedOn w:val="DefaultParagraphFont"/>
    <w:link w:val="Quote"/>
    <w:uiPriority w:val="29"/>
    <w:rsid w:val="006D0126"/>
    <w:rPr>
      <w:i/>
      <w:iCs/>
      <w:color w:val="404040" w:themeColor="text1" w:themeTint="BF"/>
    </w:rPr>
  </w:style>
  <w:style w:type="paragraph" w:styleId="ListParagraph">
    <w:name w:val="List Paragraph"/>
    <w:basedOn w:val="Normal"/>
    <w:uiPriority w:val="34"/>
    <w:qFormat/>
    <w:rsid w:val="006D0126"/>
    <w:pPr>
      <w:ind w:left="720"/>
      <w:contextualSpacing/>
    </w:pPr>
  </w:style>
  <w:style w:type="character" w:styleId="IntenseEmphasis">
    <w:name w:val="Intense Emphasis"/>
    <w:basedOn w:val="DefaultParagraphFont"/>
    <w:uiPriority w:val="21"/>
    <w:qFormat/>
    <w:rsid w:val="006D0126"/>
    <w:rPr>
      <w:i/>
      <w:iCs/>
      <w:color w:val="0F4761" w:themeColor="accent1" w:themeShade="BF"/>
    </w:rPr>
  </w:style>
  <w:style w:type="paragraph" w:styleId="IntenseQuote">
    <w:name w:val="Intense Quote"/>
    <w:basedOn w:val="Normal"/>
    <w:next w:val="Normal"/>
    <w:link w:val="IntenseQuoteChar"/>
    <w:uiPriority w:val="30"/>
    <w:qFormat/>
    <w:rsid w:val="006D01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0126"/>
    <w:rPr>
      <w:i/>
      <w:iCs/>
      <w:color w:val="0F4761" w:themeColor="accent1" w:themeShade="BF"/>
    </w:rPr>
  </w:style>
  <w:style w:type="character" w:styleId="IntenseReference">
    <w:name w:val="Intense Reference"/>
    <w:basedOn w:val="DefaultParagraphFont"/>
    <w:uiPriority w:val="32"/>
    <w:qFormat/>
    <w:rsid w:val="006D0126"/>
    <w:rPr>
      <w:b/>
      <w:bCs/>
      <w:smallCaps/>
      <w:color w:val="0F4761" w:themeColor="accent1" w:themeShade="BF"/>
      <w:spacing w:val="5"/>
    </w:rPr>
  </w:style>
  <w:style w:type="table" w:styleId="TableGrid">
    <w:name w:val="Table Grid"/>
    <w:basedOn w:val="TableNormal"/>
    <w:uiPriority w:val="39"/>
    <w:rsid w:val="00964CC8"/>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BD2D95"/>
  </w:style>
  <w:style w:type="paragraph" w:styleId="Revision">
    <w:name w:val="Revision"/>
    <w:hidden/>
    <w:uiPriority w:val="99"/>
    <w:semiHidden/>
    <w:rsid w:val="000302EE"/>
    <w:pPr>
      <w:spacing w:after="0" w:line="240" w:lineRule="auto"/>
    </w:p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31984">
      <w:bodyDiv w:val="1"/>
      <w:marLeft w:val="0"/>
      <w:marRight w:val="0"/>
      <w:marTop w:val="0"/>
      <w:marBottom w:val="0"/>
      <w:divBdr>
        <w:top w:val="none" w:sz="0" w:space="0" w:color="auto"/>
        <w:left w:val="none" w:sz="0" w:space="0" w:color="auto"/>
        <w:bottom w:val="none" w:sz="0" w:space="0" w:color="auto"/>
        <w:right w:val="none" w:sz="0" w:space="0" w:color="auto"/>
      </w:divBdr>
      <w:divsChild>
        <w:div w:id="2096632950">
          <w:marLeft w:val="0"/>
          <w:marRight w:val="0"/>
          <w:marTop w:val="0"/>
          <w:marBottom w:val="0"/>
          <w:divBdr>
            <w:top w:val="none" w:sz="0" w:space="0" w:color="auto"/>
            <w:left w:val="none" w:sz="0" w:space="0" w:color="auto"/>
            <w:bottom w:val="none" w:sz="0" w:space="0" w:color="auto"/>
            <w:right w:val="none" w:sz="0" w:space="0" w:color="auto"/>
          </w:divBdr>
          <w:divsChild>
            <w:div w:id="1081486939">
              <w:marLeft w:val="0"/>
              <w:marRight w:val="0"/>
              <w:marTop w:val="0"/>
              <w:marBottom w:val="0"/>
              <w:divBdr>
                <w:top w:val="none" w:sz="0" w:space="0" w:color="auto"/>
                <w:left w:val="none" w:sz="0" w:space="0" w:color="auto"/>
                <w:bottom w:val="none" w:sz="0" w:space="0" w:color="auto"/>
                <w:right w:val="none" w:sz="0" w:space="0" w:color="auto"/>
              </w:divBdr>
              <w:divsChild>
                <w:div w:id="190829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141015">
      <w:bodyDiv w:val="1"/>
      <w:marLeft w:val="0"/>
      <w:marRight w:val="0"/>
      <w:marTop w:val="0"/>
      <w:marBottom w:val="0"/>
      <w:divBdr>
        <w:top w:val="none" w:sz="0" w:space="0" w:color="auto"/>
        <w:left w:val="none" w:sz="0" w:space="0" w:color="auto"/>
        <w:bottom w:val="none" w:sz="0" w:space="0" w:color="auto"/>
        <w:right w:val="none" w:sz="0" w:space="0" w:color="auto"/>
      </w:divBdr>
      <w:divsChild>
        <w:div w:id="624196180">
          <w:marLeft w:val="0"/>
          <w:marRight w:val="0"/>
          <w:marTop w:val="0"/>
          <w:marBottom w:val="0"/>
          <w:divBdr>
            <w:top w:val="none" w:sz="0" w:space="0" w:color="auto"/>
            <w:left w:val="none" w:sz="0" w:space="0" w:color="auto"/>
            <w:bottom w:val="none" w:sz="0" w:space="0" w:color="auto"/>
            <w:right w:val="none" w:sz="0" w:space="0" w:color="auto"/>
          </w:divBdr>
          <w:divsChild>
            <w:div w:id="2122988659">
              <w:marLeft w:val="0"/>
              <w:marRight w:val="0"/>
              <w:marTop w:val="0"/>
              <w:marBottom w:val="0"/>
              <w:divBdr>
                <w:top w:val="none" w:sz="0" w:space="0" w:color="auto"/>
                <w:left w:val="none" w:sz="0" w:space="0" w:color="auto"/>
                <w:bottom w:val="none" w:sz="0" w:space="0" w:color="auto"/>
                <w:right w:val="none" w:sz="0" w:space="0" w:color="auto"/>
              </w:divBdr>
              <w:divsChild>
                <w:div w:id="171411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435663">
      <w:bodyDiv w:val="1"/>
      <w:marLeft w:val="0"/>
      <w:marRight w:val="0"/>
      <w:marTop w:val="0"/>
      <w:marBottom w:val="0"/>
      <w:divBdr>
        <w:top w:val="none" w:sz="0" w:space="0" w:color="auto"/>
        <w:left w:val="none" w:sz="0" w:space="0" w:color="auto"/>
        <w:bottom w:val="none" w:sz="0" w:space="0" w:color="auto"/>
        <w:right w:val="none" w:sz="0" w:space="0" w:color="auto"/>
      </w:divBdr>
      <w:divsChild>
        <w:div w:id="1087385267">
          <w:marLeft w:val="0"/>
          <w:marRight w:val="0"/>
          <w:marTop w:val="0"/>
          <w:marBottom w:val="0"/>
          <w:divBdr>
            <w:top w:val="none" w:sz="0" w:space="0" w:color="auto"/>
            <w:left w:val="none" w:sz="0" w:space="0" w:color="auto"/>
            <w:bottom w:val="none" w:sz="0" w:space="0" w:color="auto"/>
            <w:right w:val="none" w:sz="0" w:space="0" w:color="auto"/>
          </w:divBdr>
          <w:divsChild>
            <w:div w:id="1761491030">
              <w:marLeft w:val="0"/>
              <w:marRight w:val="0"/>
              <w:marTop w:val="0"/>
              <w:marBottom w:val="0"/>
              <w:divBdr>
                <w:top w:val="none" w:sz="0" w:space="0" w:color="auto"/>
                <w:left w:val="none" w:sz="0" w:space="0" w:color="auto"/>
                <w:bottom w:val="none" w:sz="0" w:space="0" w:color="auto"/>
                <w:right w:val="none" w:sz="0" w:space="0" w:color="auto"/>
              </w:divBdr>
              <w:divsChild>
                <w:div w:id="204212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961539">
      <w:bodyDiv w:val="1"/>
      <w:marLeft w:val="0"/>
      <w:marRight w:val="0"/>
      <w:marTop w:val="0"/>
      <w:marBottom w:val="0"/>
      <w:divBdr>
        <w:top w:val="none" w:sz="0" w:space="0" w:color="auto"/>
        <w:left w:val="none" w:sz="0" w:space="0" w:color="auto"/>
        <w:bottom w:val="none" w:sz="0" w:space="0" w:color="auto"/>
        <w:right w:val="none" w:sz="0" w:space="0" w:color="auto"/>
      </w:divBdr>
      <w:divsChild>
        <w:div w:id="722295939">
          <w:marLeft w:val="0"/>
          <w:marRight w:val="0"/>
          <w:marTop w:val="0"/>
          <w:marBottom w:val="0"/>
          <w:divBdr>
            <w:top w:val="none" w:sz="0" w:space="0" w:color="auto"/>
            <w:left w:val="none" w:sz="0" w:space="0" w:color="auto"/>
            <w:bottom w:val="none" w:sz="0" w:space="0" w:color="auto"/>
            <w:right w:val="none" w:sz="0" w:space="0" w:color="auto"/>
          </w:divBdr>
          <w:divsChild>
            <w:div w:id="819494315">
              <w:marLeft w:val="0"/>
              <w:marRight w:val="0"/>
              <w:marTop w:val="0"/>
              <w:marBottom w:val="0"/>
              <w:divBdr>
                <w:top w:val="none" w:sz="0" w:space="0" w:color="auto"/>
                <w:left w:val="none" w:sz="0" w:space="0" w:color="auto"/>
                <w:bottom w:val="none" w:sz="0" w:space="0" w:color="auto"/>
                <w:right w:val="none" w:sz="0" w:space="0" w:color="auto"/>
              </w:divBdr>
              <w:divsChild>
                <w:div w:id="205765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363824">
      <w:bodyDiv w:val="1"/>
      <w:marLeft w:val="0"/>
      <w:marRight w:val="0"/>
      <w:marTop w:val="0"/>
      <w:marBottom w:val="0"/>
      <w:divBdr>
        <w:top w:val="none" w:sz="0" w:space="0" w:color="auto"/>
        <w:left w:val="none" w:sz="0" w:space="0" w:color="auto"/>
        <w:bottom w:val="none" w:sz="0" w:space="0" w:color="auto"/>
        <w:right w:val="none" w:sz="0" w:space="0" w:color="auto"/>
      </w:divBdr>
      <w:divsChild>
        <w:div w:id="632448415">
          <w:marLeft w:val="0"/>
          <w:marRight w:val="0"/>
          <w:marTop w:val="0"/>
          <w:marBottom w:val="0"/>
          <w:divBdr>
            <w:top w:val="none" w:sz="0" w:space="0" w:color="auto"/>
            <w:left w:val="none" w:sz="0" w:space="0" w:color="auto"/>
            <w:bottom w:val="none" w:sz="0" w:space="0" w:color="auto"/>
            <w:right w:val="none" w:sz="0" w:space="0" w:color="auto"/>
          </w:divBdr>
          <w:divsChild>
            <w:div w:id="2098094898">
              <w:marLeft w:val="0"/>
              <w:marRight w:val="0"/>
              <w:marTop w:val="0"/>
              <w:marBottom w:val="0"/>
              <w:divBdr>
                <w:top w:val="none" w:sz="0" w:space="0" w:color="auto"/>
                <w:left w:val="none" w:sz="0" w:space="0" w:color="auto"/>
                <w:bottom w:val="none" w:sz="0" w:space="0" w:color="auto"/>
                <w:right w:val="none" w:sz="0" w:space="0" w:color="auto"/>
              </w:divBdr>
              <w:divsChild>
                <w:div w:id="1533297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37230">
      <w:bodyDiv w:val="1"/>
      <w:marLeft w:val="0"/>
      <w:marRight w:val="0"/>
      <w:marTop w:val="0"/>
      <w:marBottom w:val="0"/>
      <w:divBdr>
        <w:top w:val="none" w:sz="0" w:space="0" w:color="auto"/>
        <w:left w:val="none" w:sz="0" w:space="0" w:color="auto"/>
        <w:bottom w:val="none" w:sz="0" w:space="0" w:color="auto"/>
        <w:right w:val="none" w:sz="0" w:space="0" w:color="auto"/>
      </w:divBdr>
      <w:divsChild>
        <w:div w:id="275868798">
          <w:marLeft w:val="0"/>
          <w:marRight w:val="0"/>
          <w:marTop w:val="0"/>
          <w:marBottom w:val="0"/>
          <w:divBdr>
            <w:top w:val="none" w:sz="0" w:space="0" w:color="auto"/>
            <w:left w:val="none" w:sz="0" w:space="0" w:color="auto"/>
            <w:bottom w:val="none" w:sz="0" w:space="0" w:color="auto"/>
            <w:right w:val="none" w:sz="0" w:space="0" w:color="auto"/>
          </w:divBdr>
          <w:divsChild>
            <w:div w:id="1139492652">
              <w:marLeft w:val="0"/>
              <w:marRight w:val="0"/>
              <w:marTop w:val="0"/>
              <w:marBottom w:val="0"/>
              <w:divBdr>
                <w:top w:val="none" w:sz="0" w:space="0" w:color="auto"/>
                <w:left w:val="none" w:sz="0" w:space="0" w:color="auto"/>
                <w:bottom w:val="none" w:sz="0" w:space="0" w:color="auto"/>
                <w:right w:val="none" w:sz="0" w:space="0" w:color="auto"/>
              </w:divBdr>
              <w:divsChild>
                <w:div w:id="176075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5198300">
      <w:bodyDiv w:val="1"/>
      <w:marLeft w:val="0"/>
      <w:marRight w:val="0"/>
      <w:marTop w:val="0"/>
      <w:marBottom w:val="0"/>
      <w:divBdr>
        <w:top w:val="none" w:sz="0" w:space="0" w:color="auto"/>
        <w:left w:val="none" w:sz="0" w:space="0" w:color="auto"/>
        <w:bottom w:val="none" w:sz="0" w:space="0" w:color="auto"/>
        <w:right w:val="none" w:sz="0" w:space="0" w:color="auto"/>
      </w:divBdr>
      <w:divsChild>
        <w:div w:id="267087301">
          <w:marLeft w:val="0"/>
          <w:marRight w:val="0"/>
          <w:marTop w:val="0"/>
          <w:marBottom w:val="0"/>
          <w:divBdr>
            <w:top w:val="none" w:sz="0" w:space="0" w:color="auto"/>
            <w:left w:val="none" w:sz="0" w:space="0" w:color="auto"/>
            <w:bottom w:val="none" w:sz="0" w:space="0" w:color="auto"/>
            <w:right w:val="none" w:sz="0" w:space="0" w:color="auto"/>
          </w:divBdr>
          <w:divsChild>
            <w:div w:id="1145002578">
              <w:marLeft w:val="0"/>
              <w:marRight w:val="0"/>
              <w:marTop w:val="0"/>
              <w:marBottom w:val="0"/>
              <w:divBdr>
                <w:top w:val="none" w:sz="0" w:space="0" w:color="auto"/>
                <w:left w:val="none" w:sz="0" w:space="0" w:color="auto"/>
                <w:bottom w:val="none" w:sz="0" w:space="0" w:color="auto"/>
                <w:right w:val="none" w:sz="0" w:space="0" w:color="auto"/>
              </w:divBdr>
              <w:divsChild>
                <w:div w:id="1431966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528572">
      <w:bodyDiv w:val="1"/>
      <w:marLeft w:val="0"/>
      <w:marRight w:val="0"/>
      <w:marTop w:val="0"/>
      <w:marBottom w:val="0"/>
      <w:divBdr>
        <w:top w:val="none" w:sz="0" w:space="0" w:color="auto"/>
        <w:left w:val="none" w:sz="0" w:space="0" w:color="auto"/>
        <w:bottom w:val="none" w:sz="0" w:space="0" w:color="auto"/>
        <w:right w:val="none" w:sz="0" w:space="0" w:color="auto"/>
      </w:divBdr>
      <w:divsChild>
        <w:div w:id="1947301054">
          <w:marLeft w:val="0"/>
          <w:marRight w:val="0"/>
          <w:marTop w:val="0"/>
          <w:marBottom w:val="0"/>
          <w:divBdr>
            <w:top w:val="none" w:sz="0" w:space="0" w:color="auto"/>
            <w:left w:val="none" w:sz="0" w:space="0" w:color="auto"/>
            <w:bottom w:val="none" w:sz="0" w:space="0" w:color="auto"/>
            <w:right w:val="none" w:sz="0" w:space="0" w:color="auto"/>
          </w:divBdr>
          <w:divsChild>
            <w:div w:id="2124379164">
              <w:marLeft w:val="0"/>
              <w:marRight w:val="0"/>
              <w:marTop w:val="0"/>
              <w:marBottom w:val="0"/>
              <w:divBdr>
                <w:top w:val="none" w:sz="0" w:space="0" w:color="auto"/>
                <w:left w:val="none" w:sz="0" w:space="0" w:color="auto"/>
                <w:bottom w:val="none" w:sz="0" w:space="0" w:color="auto"/>
                <w:right w:val="none" w:sz="0" w:space="0" w:color="auto"/>
              </w:divBdr>
              <w:divsChild>
                <w:div w:id="193700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10</Pages>
  <Words>2605</Words>
  <Characters>14849</Characters>
  <Application>Microsoft Office Word</Application>
  <DocSecurity>0</DocSecurity>
  <Lines>123</Lines>
  <Paragraphs>34</Paragraphs>
  <ScaleCrop>false</ScaleCrop>
  <Company/>
  <LinksUpToDate>false</LinksUpToDate>
  <CharactersWithSpaces>17420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Демьянова Дарья Евгеньевна</dc:creator>
  <cp:keywords/>
  <dc:description/>
  <cp:lastModifiedBy>Daria Demyanova</cp:lastModifiedBy>
  <cp:revision>104</cp:revision>
  <dcterms:created xsi:type="dcterms:W3CDTF">2024-12-15T19:35:00Z</dcterms:created>
  <dcterms:modified xsi:type="dcterms:W3CDTF">2025-08-04T12:52:00Z</dcterms:modified>
</cp:coreProperties>
</file>