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7F1FD" w14:textId="573D3262" w:rsidR="00E34D04" w:rsidRPr="00E34D04" w:rsidRDefault="00523BE0" w:rsidP="00E34D04">
      <w:pPr>
        <w:pStyle w:val="Elencomedio2-Colore41"/>
        <w:spacing w:after="0"/>
        <w:ind w:left="0"/>
        <w:rPr>
          <w:b/>
          <w:sz w:val="28"/>
          <w:szCs w:val="24"/>
          <w:lang w:val="en-GB"/>
        </w:rPr>
      </w:pPr>
      <w:r>
        <w:rPr>
          <w:b/>
          <w:sz w:val="28"/>
          <w:szCs w:val="24"/>
          <w:lang w:val="en-GB"/>
        </w:rPr>
        <w:t>E</w:t>
      </w:r>
      <w:r w:rsidRPr="00E34D04">
        <w:rPr>
          <w:b/>
          <w:sz w:val="28"/>
          <w:szCs w:val="24"/>
          <w:lang w:val="en-GB"/>
        </w:rPr>
        <w:t>nhanced recovery pathway and survival after elective surgery for colorectal cancer.</w:t>
      </w:r>
    </w:p>
    <w:p w14:paraId="573B529F" w14:textId="77777777" w:rsidR="00E34D04" w:rsidRDefault="00E34D04" w:rsidP="00EE3C1B">
      <w:pPr>
        <w:pStyle w:val="Elencomedio2-Colore41"/>
        <w:spacing w:after="0"/>
        <w:ind w:left="0"/>
        <w:rPr>
          <w:b/>
          <w:sz w:val="28"/>
          <w:szCs w:val="24"/>
          <w:lang w:val="en-GB"/>
        </w:rPr>
      </w:pPr>
    </w:p>
    <w:p w14:paraId="62250AE3" w14:textId="77777777" w:rsidR="00EE3C1B" w:rsidRDefault="00523BE0" w:rsidP="00EE3C1B">
      <w:pPr>
        <w:autoSpaceDE w:val="0"/>
        <w:autoSpaceDN w:val="0"/>
        <w:adjustRightInd w:val="0"/>
        <w:rPr>
          <w:rFonts w:ascii="Calibri" w:eastAsia="Calibri" w:hAnsi="Calibri"/>
          <w:sz w:val="24"/>
          <w:szCs w:val="24"/>
        </w:rPr>
      </w:pPr>
      <w:r>
        <w:rPr>
          <w:rFonts w:ascii="Calibri" w:eastAsia="Calibri" w:hAnsi="Calibri"/>
        </w:rPr>
        <w:t>Marco Catarci</w:t>
      </w:r>
      <w:proofErr w:type="gramStart"/>
      <w:r>
        <w:rPr>
          <w:rFonts w:ascii="Calibri" w:eastAsia="Calibri" w:hAnsi="Calibri"/>
          <w:vertAlign w:val="superscript"/>
        </w:rPr>
        <w:t>1,</w:t>
      </w:r>
      <w:r>
        <w:rPr>
          <w:rFonts w:ascii="Calibri" w:eastAsia="Calibri" w:hAnsi="Calibri" w:cs="Calibri"/>
          <w:vertAlign w:val="superscript"/>
          <w:lang w:val="en-GB"/>
        </w:rPr>
        <w:t>α</w:t>
      </w:r>
      <w:proofErr w:type="gramEnd"/>
      <w:r>
        <w:rPr>
          <w:rFonts w:ascii="Calibri" w:eastAsia="Calibri" w:hAnsi="Calibri"/>
        </w:rPr>
        <w:t>, MD, FACS, Stefano Guadagni</w:t>
      </w:r>
      <w:r>
        <w:rPr>
          <w:rFonts w:ascii="Calibri" w:eastAsia="Calibri" w:hAnsi="Calibri"/>
          <w:vertAlign w:val="superscript"/>
        </w:rPr>
        <w:t>2</w:t>
      </w:r>
      <w:r>
        <w:rPr>
          <w:rFonts w:ascii="Calibri" w:eastAsia="Calibri" w:hAnsi="Calibri"/>
        </w:rPr>
        <w:t>, MD, Marco Scatizzi</w:t>
      </w:r>
      <w:r>
        <w:rPr>
          <w:rFonts w:ascii="Calibri" w:eastAsia="Calibri" w:hAnsi="Calibri"/>
          <w:vertAlign w:val="superscript"/>
        </w:rPr>
        <w:t>3</w:t>
      </w:r>
      <w:r>
        <w:rPr>
          <w:rFonts w:ascii="Calibri" w:eastAsia="Calibri" w:hAnsi="Calibri"/>
        </w:rPr>
        <w:t>, MD, Raffaele De Luca</w:t>
      </w:r>
      <w:r>
        <w:rPr>
          <w:rFonts w:ascii="Calibri" w:eastAsia="Calibri" w:hAnsi="Calibri"/>
          <w:vertAlign w:val="superscript"/>
        </w:rPr>
        <w:t>4</w:t>
      </w:r>
      <w:r>
        <w:rPr>
          <w:rFonts w:ascii="Calibri" w:eastAsia="Calibri" w:hAnsi="Calibri"/>
        </w:rPr>
        <w:t>, MD, Paolo Delrio</w:t>
      </w:r>
      <w:r>
        <w:rPr>
          <w:rFonts w:ascii="Calibri" w:eastAsia="Calibri" w:hAnsi="Calibri"/>
          <w:vertAlign w:val="superscript"/>
        </w:rPr>
        <w:t>5</w:t>
      </w:r>
      <w:r>
        <w:rPr>
          <w:rFonts w:ascii="Calibri" w:eastAsia="Calibri" w:hAnsi="Calibri"/>
        </w:rPr>
        <w:t>, MD, Giacomo Ruffo</w:t>
      </w:r>
      <w:r>
        <w:rPr>
          <w:rFonts w:ascii="Calibri" w:eastAsia="Calibri" w:hAnsi="Calibri"/>
          <w:vertAlign w:val="superscript"/>
        </w:rPr>
        <w:t>6</w:t>
      </w:r>
      <w:r>
        <w:rPr>
          <w:rFonts w:ascii="Calibri" w:eastAsia="Calibri" w:hAnsi="Calibri"/>
        </w:rPr>
        <w:t>, MD, Felice Borghi</w:t>
      </w:r>
      <w:r>
        <w:rPr>
          <w:rFonts w:ascii="Calibri" w:eastAsia="Calibri" w:hAnsi="Calibri"/>
          <w:vertAlign w:val="superscript"/>
        </w:rPr>
        <w:t>7</w:t>
      </w:r>
      <w:r>
        <w:rPr>
          <w:rFonts w:ascii="Calibri" w:eastAsia="Calibri" w:hAnsi="Calibri"/>
        </w:rPr>
        <w:t>, MD, Francesco Masedu</w:t>
      </w:r>
      <w:r>
        <w:rPr>
          <w:rFonts w:ascii="Calibri" w:eastAsia="Calibri" w:hAnsi="Calibri"/>
          <w:vertAlign w:val="superscript"/>
        </w:rPr>
        <w:t>8</w:t>
      </w:r>
      <w:r>
        <w:rPr>
          <w:rFonts w:ascii="Calibri" w:eastAsia="Calibri" w:hAnsi="Calibri"/>
        </w:rPr>
        <w:t>, PhD; the Italian ColoRectal Anastomotic Leakage (iCral) study group*.</w:t>
      </w:r>
    </w:p>
    <w:p w14:paraId="52F383AC" w14:textId="77777777" w:rsidR="00EE3C1B" w:rsidRDefault="00523BE0" w:rsidP="00EE3C1B">
      <w:pPr>
        <w:autoSpaceDE w:val="0"/>
        <w:autoSpaceDN w:val="0"/>
        <w:adjustRightInd w:val="0"/>
        <w:spacing w:line="276" w:lineRule="auto"/>
        <w:rPr>
          <w:rFonts w:ascii="Calibri" w:hAnsi="Calibri" w:cs="Calibri"/>
          <w:iCs/>
          <w:color w:val="1A1A1A"/>
          <w:sz w:val="20"/>
          <w:szCs w:val="20"/>
        </w:rPr>
      </w:pPr>
      <w:r>
        <w:rPr>
          <w:rFonts w:ascii="Calibri" w:hAnsi="Calibri" w:cs="Calibri"/>
          <w:iCs/>
          <w:color w:val="1A1A1A"/>
          <w:sz w:val="20"/>
          <w:szCs w:val="20"/>
        </w:rPr>
        <w:t xml:space="preserve">From the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1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General Surgery Unit, Sandro Pertini Hospital, ASL Roma 2, Roma; </w:t>
      </w:r>
      <w:bookmarkStart w:id="0" w:name="_Hlk160885691"/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2</w:t>
      </w:r>
      <w:r>
        <w:rPr>
          <w:rFonts w:ascii="Calibri" w:hAnsi="Calibri" w:cs="Calibri"/>
          <w:iCs/>
          <w:color w:val="1A1A1A"/>
          <w:sz w:val="20"/>
          <w:szCs w:val="20"/>
        </w:rPr>
        <w:t>General Surgery Unit</w:t>
      </w:r>
      <w:bookmarkEnd w:id="0"/>
      <w:r>
        <w:rPr>
          <w:rFonts w:ascii="Calibri" w:hAnsi="Calibri" w:cs="Calibri"/>
          <w:iCs/>
          <w:color w:val="1A1A1A"/>
          <w:sz w:val="20"/>
          <w:szCs w:val="20"/>
        </w:rPr>
        <w:t xml:space="preserve">, Università degli Studi dell’Aquila, L’Aquila; </w:t>
      </w:r>
      <w:bookmarkStart w:id="1" w:name="_Hlk160885884"/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3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General Surgery Unit, Santa Maria Annunziata &amp; Serristori Hospital, Firenze;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4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Department of Surgical Oncology, IRCCS Istituto Tumori “Giovanni Paolo II”, Bari; 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5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Colorectal Surgical Oncology, Istituto Nazionale per lo Studio e la Cura dei Tumori, “Fondazione Giovanni Pascale IRCCS-Italia”, Napoli;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6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General Surgery Unit, IRCCS Sacro Cuore Don Calabria Hospital, Negrar di Valpolicella (VR);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7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Oncologic Surgery Unit, Candiolo Cancer Institute, FPO-IRCCS, Candiolo (TO);  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>8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Department of Biotechnological and Applied Clinical Sciences, </w:t>
      </w:r>
      <w:bookmarkStart w:id="2" w:name="_Hlk160885776"/>
      <w:r>
        <w:rPr>
          <w:rFonts w:ascii="Calibri" w:hAnsi="Calibri" w:cs="Calibri"/>
          <w:iCs/>
          <w:color w:val="1A1A1A"/>
          <w:sz w:val="20"/>
          <w:szCs w:val="20"/>
        </w:rPr>
        <w:t>Università degli Studi dell’Aquila</w:t>
      </w:r>
      <w:bookmarkEnd w:id="2"/>
      <w:r>
        <w:rPr>
          <w:rFonts w:ascii="Calibri" w:hAnsi="Calibri" w:cs="Calibri"/>
          <w:iCs/>
          <w:color w:val="1A1A1A"/>
          <w:sz w:val="20"/>
          <w:szCs w:val="20"/>
        </w:rPr>
        <w:t>, L’Aquila</w:t>
      </w:r>
      <w:bookmarkEnd w:id="1"/>
      <w:r>
        <w:rPr>
          <w:rFonts w:ascii="Calibri" w:hAnsi="Calibri" w:cs="Calibri"/>
          <w:iCs/>
          <w:color w:val="1A1A1A"/>
          <w:sz w:val="20"/>
          <w:szCs w:val="20"/>
        </w:rPr>
        <w:t>; Italy  .</w:t>
      </w:r>
      <w:r>
        <w:rPr>
          <w:rFonts w:ascii="Calibri" w:hAnsi="Calibri" w:cs="Calibri"/>
          <w:iCs/>
          <w:color w:val="1A1A1A"/>
          <w:sz w:val="20"/>
          <w:szCs w:val="20"/>
          <w:vertAlign w:val="superscript"/>
        </w:rPr>
        <w:t xml:space="preserve"> α</w:t>
      </w:r>
      <w:r>
        <w:rPr>
          <w:rFonts w:ascii="Calibri" w:hAnsi="Calibri" w:cs="Calibri"/>
          <w:sz w:val="20"/>
          <w:szCs w:val="20"/>
        </w:rPr>
        <w:t>iCral</w:t>
      </w:r>
      <w:r>
        <w:rPr>
          <w:rFonts w:ascii="Calibri" w:hAnsi="Calibri" w:cs="Calibri"/>
          <w:iCs/>
          <w:color w:val="1A1A1A"/>
          <w:sz w:val="20"/>
          <w:szCs w:val="20"/>
        </w:rPr>
        <w:t xml:space="preserve"> study group coordinator.</w:t>
      </w:r>
    </w:p>
    <w:p w14:paraId="5B00AEDB" w14:textId="77777777" w:rsidR="003722C8" w:rsidRPr="00860BC9" w:rsidRDefault="003722C8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14:ligatures w14:val="none"/>
        </w:rPr>
      </w:pPr>
    </w:p>
    <w:p w14:paraId="4440F03C" w14:textId="77777777" w:rsidR="00AF5663" w:rsidRDefault="00523BE0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>Online Supplemental material:</w:t>
      </w:r>
    </w:p>
    <w:p w14:paraId="0A4CFE20" w14:textId="77777777" w:rsidR="00AF5663" w:rsidRDefault="00523BE0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>Page 2:</w:t>
      </w: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ab/>
      </w:r>
      <w:r w:rsidR="000720BA"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 xml:space="preserve">Supplemental </w:t>
      </w: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>Figure 1</w:t>
      </w:r>
    </w:p>
    <w:p w14:paraId="46BDBA50" w14:textId="4D5E0733" w:rsidR="00AF5663" w:rsidRDefault="00860BC9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>Page 3:</w:t>
      </w: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ab/>
        <w:t>Supplemental Table 1</w:t>
      </w:r>
    </w:p>
    <w:p w14:paraId="77A15ABD" w14:textId="51EF86A3" w:rsidR="00AF5663" w:rsidRDefault="001C4103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>Page 4:</w:t>
      </w:r>
      <w:r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  <w:tab/>
        <w:t>Statistical Appendix</w:t>
      </w:r>
    </w:p>
    <w:p w14:paraId="0422F009" w14:textId="77777777" w:rsidR="00C64C11" w:rsidRDefault="00C64C11" w:rsidP="002549FC">
      <w:pPr>
        <w:spacing w:after="200" w:line="276" w:lineRule="auto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</w:p>
    <w:p w14:paraId="4B5F47FC" w14:textId="77777777" w:rsidR="00C64C11" w:rsidRDefault="00523BE0" w:rsidP="00C64C11">
      <w:pPr>
        <w:spacing w:after="200" w:line="276" w:lineRule="auto"/>
        <w:jc w:val="center"/>
        <w:rPr>
          <w:rFonts w:ascii="Calibri" w:eastAsia="Calibri" w:hAnsi="Calibri" w:cs="Times New Roman"/>
          <w:b/>
          <w:bCs/>
          <w:kern w:val="0"/>
          <w:sz w:val="24"/>
          <w:lang w:val="en-US"/>
          <w14:ligatures w14:val="none"/>
        </w:rPr>
      </w:pPr>
      <w:r>
        <w:rPr>
          <w:rFonts w:ascii="Calibri" w:hAnsi="Calibri" w:cs="Calibri"/>
          <w:b/>
          <w:bCs/>
          <w:noProof/>
          <w:sz w:val="20"/>
          <w:szCs w:val="20"/>
          <w:lang w:val="en-GB"/>
        </w:rPr>
        <w:lastRenderedPageBreak/>
        <w:drawing>
          <wp:inline distT="0" distB="0" distL="0" distR="0" wp14:anchorId="7E374D6F" wp14:editId="710D070F">
            <wp:extent cx="6079702" cy="6067425"/>
            <wp:effectExtent l="19050" t="19050" r="16510" b="9525"/>
            <wp:docPr id="1759641425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599514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641" cy="619211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15969A9" w14:textId="7C9DAAFF" w:rsidR="00C64C11" w:rsidRDefault="00523BE0" w:rsidP="000720BA">
      <w:pPr>
        <w:spacing w:line="360" w:lineRule="auto"/>
        <w:jc w:val="both"/>
        <w:rPr>
          <w:rFonts w:ascii="Calibri" w:hAnsi="Calibri" w:cs="Calibri"/>
          <w:sz w:val="24"/>
          <w:szCs w:val="24"/>
          <w:lang w:val="en-US"/>
        </w:rPr>
      </w:pPr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Supplemental </w:t>
      </w:r>
      <w:r w:rsidRPr="00AF5663">
        <w:rPr>
          <w:rFonts w:ascii="Calibri" w:hAnsi="Calibri" w:cs="Calibri"/>
          <w:b/>
          <w:bCs/>
          <w:sz w:val="24"/>
          <w:szCs w:val="24"/>
          <w:lang w:val="en-US"/>
        </w:rPr>
        <w:t xml:space="preserve">Figure </w:t>
      </w:r>
      <w:r>
        <w:rPr>
          <w:rFonts w:ascii="Calibri" w:hAnsi="Calibri" w:cs="Calibri"/>
          <w:b/>
          <w:bCs/>
          <w:sz w:val="24"/>
          <w:szCs w:val="24"/>
          <w:lang w:val="en-US"/>
        </w:rPr>
        <w:t>1</w:t>
      </w:r>
      <w:r w:rsidRPr="00AF5663">
        <w:rPr>
          <w:rFonts w:ascii="Calibri" w:hAnsi="Calibri" w:cs="Calibri"/>
          <w:b/>
          <w:bCs/>
          <w:sz w:val="24"/>
          <w:szCs w:val="24"/>
          <w:lang w:val="en-US"/>
        </w:rPr>
        <w:t>:</w:t>
      </w:r>
      <w:r w:rsidRPr="00AF5663">
        <w:rPr>
          <w:rFonts w:ascii="Calibri" w:hAnsi="Calibri" w:cs="Calibri"/>
          <w:sz w:val="24"/>
          <w:szCs w:val="24"/>
          <w:lang w:val="en-US"/>
        </w:rPr>
        <w:t xml:space="preserve"> Love plot of Kolmogorov-Smirnov covariates’ mean differences before and after adjustment using a machine-learning technique, comparing the reference treatment (1</w:t>
      </w:r>
      <w:r w:rsidRPr="00AF5663">
        <w:rPr>
          <w:rFonts w:ascii="Calibri" w:hAnsi="Calibri" w:cs="Calibri"/>
          <w:sz w:val="24"/>
          <w:szCs w:val="24"/>
          <w:vertAlign w:val="superscript"/>
          <w:lang w:val="en-US"/>
        </w:rPr>
        <w:t>st</w:t>
      </w:r>
      <w:r w:rsidRPr="00AF5663">
        <w:rPr>
          <w:rFonts w:ascii="Calibri" w:hAnsi="Calibri" w:cs="Calibri"/>
          <w:sz w:val="24"/>
          <w:szCs w:val="24"/>
          <w:lang w:val="en-US"/>
        </w:rPr>
        <w:t xml:space="preserve"> quartile of ERP adherence, &lt;57.7 %, named “0” in the figure) with the other 3 treatments (2</w:t>
      </w:r>
      <w:r w:rsidRPr="00AF5663">
        <w:rPr>
          <w:rFonts w:ascii="Calibri" w:hAnsi="Calibri" w:cs="Calibri"/>
          <w:sz w:val="24"/>
          <w:szCs w:val="24"/>
          <w:vertAlign w:val="superscript"/>
          <w:lang w:val="en-US"/>
        </w:rPr>
        <w:t>nd</w:t>
      </w:r>
      <w:r w:rsidRPr="00AF5663">
        <w:rPr>
          <w:rFonts w:ascii="Calibri" w:hAnsi="Calibri" w:cs="Calibri"/>
          <w:sz w:val="24"/>
          <w:szCs w:val="24"/>
          <w:lang w:val="en-US"/>
        </w:rPr>
        <w:t xml:space="preserve"> quartile, ≥57.7% to &lt;69.2 %, named “1”; 3</w:t>
      </w:r>
      <w:r w:rsidRPr="00AF5663">
        <w:rPr>
          <w:rFonts w:ascii="Calibri" w:hAnsi="Calibri" w:cs="Calibri"/>
          <w:sz w:val="24"/>
          <w:szCs w:val="24"/>
          <w:vertAlign w:val="superscript"/>
          <w:lang w:val="en-US"/>
        </w:rPr>
        <w:t>rd</w:t>
      </w:r>
      <w:r w:rsidRPr="00AF5663">
        <w:rPr>
          <w:rFonts w:ascii="Calibri" w:hAnsi="Calibri" w:cs="Calibri"/>
          <w:sz w:val="24"/>
          <w:szCs w:val="24"/>
          <w:lang w:val="en-US"/>
        </w:rPr>
        <w:t xml:space="preserve"> quartile, ≥69.2% to &lt;80.8%, named “2”; 4</w:t>
      </w:r>
      <w:r w:rsidRPr="00AF5663">
        <w:rPr>
          <w:rFonts w:ascii="Calibri" w:hAnsi="Calibri" w:cs="Calibri"/>
          <w:sz w:val="24"/>
          <w:szCs w:val="24"/>
          <w:vertAlign w:val="superscript"/>
          <w:lang w:val="en-US"/>
        </w:rPr>
        <w:t>th</w:t>
      </w:r>
      <w:r w:rsidRPr="00AF5663">
        <w:rPr>
          <w:rFonts w:ascii="Calibri" w:hAnsi="Calibri" w:cs="Calibri"/>
          <w:sz w:val="24"/>
          <w:szCs w:val="24"/>
          <w:lang w:val="en-US"/>
        </w:rPr>
        <w:t xml:space="preserve"> quartile, ≥80.8%, named “3”). </w:t>
      </w:r>
    </w:p>
    <w:p w14:paraId="47B5F1DF" w14:textId="2A0CCDF5" w:rsidR="00284916" w:rsidRDefault="00284916">
      <w:pPr>
        <w:rPr>
          <w:rFonts w:ascii="Calibri" w:hAnsi="Calibri" w:cs="Calibri"/>
          <w:sz w:val="24"/>
          <w:szCs w:val="24"/>
          <w:lang w:val="en-US"/>
        </w:rPr>
      </w:pPr>
      <w:r>
        <w:rPr>
          <w:rFonts w:ascii="Calibri" w:hAnsi="Calibri" w:cs="Calibri"/>
          <w:sz w:val="24"/>
          <w:szCs w:val="24"/>
          <w:lang w:val="en-US"/>
        </w:rPr>
        <w:br w:type="page"/>
      </w:r>
    </w:p>
    <w:p w14:paraId="09D3BE55" w14:textId="434A5E16" w:rsidR="00284916" w:rsidRPr="0037102C" w:rsidRDefault="00503798" w:rsidP="00284916">
      <w:pPr>
        <w:rPr>
          <w:rFonts w:ascii="Calibri" w:hAnsi="Calibri" w:cs="Calibri"/>
          <w:lang w:val="en-GB"/>
        </w:rPr>
      </w:pPr>
      <w:r>
        <w:rPr>
          <w:rFonts w:ascii="Calibri" w:hAnsi="Calibri" w:cs="Calibri"/>
          <w:b/>
          <w:bCs/>
          <w:lang w:val="en-GB"/>
        </w:rPr>
        <w:lastRenderedPageBreak/>
        <w:t xml:space="preserve">Supplemental </w:t>
      </w:r>
      <w:r w:rsidR="00284916" w:rsidRPr="0037102C">
        <w:rPr>
          <w:rFonts w:ascii="Calibri" w:hAnsi="Calibri" w:cs="Calibri"/>
          <w:b/>
          <w:bCs/>
          <w:lang w:val="en-GB"/>
        </w:rPr>
        <w:t xml:space="preserve">Table </w:t>
      </w:r>
      <w:r>
        <w:rPr>
          <w:rFonts w:ascii="Calibri" w:hAnsi="Calibri" w:cs="Calibri"/>
          <w:b/>
          <w:bCs/>
          <w:lang w:val="en-GB"/>
        </w:rPr>
        <w:t>1</w:t>
      </w:r>
      <w:r w:rsidR="00284916" w:rsidRPr="0037102C">
        <w:rPr>
          <w:rFonts w:ascii="Calibri" w:hAnsi="Calibri" w:cs="Calibri"/>
          <w:lang w:val="en-GB"/>
        </w:rPr>
        <w:t>: 60-day outcomes according to quartiles of ER</w:t>
      </w:r>
      <w:r w:rsidR="00284916">
        <w:rPr>
          <w:rFonts w:ascii="Calibri" w:hAnsi="Calibri" w:cs="Calibri"/>
          <w:lang w:val="en-GB"/>
        </w:rPr>
        <w:t>P</w:t>
      </w:r>
      <w:r w:rsidR="00284916" w:rsidRPr="0037102C">
        <w:rPr>
          <w:rFonts w:ascii="Calibri" w:hAnsi="Calibri" w:cs="Calibri"/>
          <w:lang w:val="en-GB"/>
        </w:rPr>
        <w:t xml:space="preserve"> adherence rates before and after </w:t>
      </w:r>
      <w:bookmarkStart w:id="3" w:name="_Hlk181156475"/>
      <w:r w:rsidR="00284916" w:rsidRPr="0037102C">
        <w:rPr>
          <w:rFonts w:ascii="Calibri" w:hAnsi="Calibri" w:cs="Calibri"/>
          <w:lang w:val="en-GB"/>
        </w:rPr>
        <w:t>Generalized Boosted Model (GBM) weighting</w:t>
      </w:r>
      <w:bookmarkEnd w:id="3"/>
      <w:r w:rsidR="00284916" w:rsidRPr="0037102C">
        <w:rPr>
          <w:rFonts w:ascii="Calibri" w:hAnsi="Calibri" w:cs="Calibri"/>
          <w:lang w:val="en-GB"/>
        </w:rPr>
        <w:t>.</w:t>
      </w:r>
    </w:p>
    <w:p w14:paraId="1B396F50" w14:textId="77777777" w:rsidR="00284916" w:rsidRPr="003917DC" w:rsidRDefault="00284916" w:rsidP="00284916">
      <w:pPr>
        <w:rPr>
          <w:rFonts w:ascii="Calibri" w:hAnsi="Calibri" w:cs="Calibri"/>
          <w:b/>
          <w:bCs/>
          <w:sz w:val="20"/>
          <w:szCs w:val="20"/>
          <w:lang w:val="en-GB"/>
        </w:rPr>
      </w:pPr>
    </w:p>
    <w:tbl>
      <w:tblPr>
        <w:tblStyle w:val="Grigliatabella"/>
        <w:tblpPr w:leftFromText="141" w:rightFromText="141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1559"/>
        <w:gridCol w:w="709"/>
        <w:gridCol w:w="709"/>
        <w:gridCol w:w="1417"/>
        <w:gridCol w:w="567"/>
        <w:gridCol w:w="709"/>
        <w:gridCol w:w="709"/>
        <w:gridCol w:w="1417"/>
        <w:gridCol w:w="567"/>
      </w:tblGrid>
      <w:tr w:rsidR="00284916" w:rsidRPr="00042896" w14:paraId="3BC6CA0C" w14:textId="77777777" w:rsidTr="00592BEF">
        <w:trPr>
          <w:trHeight w:val="557"/>
        </w:trPr>
        <w:tc>
          <w:tcPr>
            <w:tcW w:w="1271" w:type="dxa"/>
            <w:vMerge w:val="restart"/>
            <w:shd w:val="clear" w:color="auto" w:fill="DAE9F7" w:themeFill="text2" w:themeFillTint="1A"/>
            <w:vAlign w:val="bottom"/>
          </w:tcPr>
          <w:p w14:paraId="05701EE4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60-day outcomes</w:t>
            </w:r>
          </w:p>
        </w:tc>
        <w:tc>
          <w:tcPr>
            <w:tcW w:w="1559" w:type="dxa"/>
            <w:vMerge w:val="restart"/>
            <w:shd w:val="clear" w:color="auto" w:fill="DAE9F7" w:themeFill="text2" w:themeFillTint="1A"/>
            <w:vAlign w:val="bottom"/>
          </w:tcPr>
          <w:p w14:paraId="395DC79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a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ERP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adherence rates (%) quartiles</w:t>
            </w:r>
          </w:p>
        </w:tc>
        <w:tc>
          <w:tcPr>
            <w:tcW w:w="3402" w:type="dxa"/>
            <w:gridSpan w:val="4"/>
            <w:tcBorders>
              <w:bottom w:val="dotted" w:sz="4" w:space="0" w:color="auto"/>
            </w:tcBorders>
            <w:shd w:val="clear" w:color="auto" w:fill="DAE9F7" w:themeFill="text2" w:themeFillTint="1A"/>
            <w:vAlign w:val="center"/>
          </w:tcPr>
          <w:p w14:paraId="5DBF3051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Logistic regression before </w:t>
            </w: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b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GBM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weighting</w:t>
            </w:r>
          </w:p>
        </w:tc>
        <w:tc>
          <w:tcPr>
            <w:tcW w:w="3402" w:type="dxa"/>
            <w:gridSpan w:val="4"/>
            <w:tcBorders>
              <w:bottom w:val="dotted" w:sz="4" w:space="0" w:color="auto"/>
            </w:tcBorders>
            <w:shd w:val="clear" w:color="auto" w:fill="DAE9F7" w:themeFill="text2" w:themeFillTint="1A"/>
            <w:vAlign w:val="center"/>
          </w:tcPr>
          <w:p w14:paraId="0AAD774F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Logistic regression after </w:t>
            </w: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b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GBM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weighting</w:t>
            </w:r>
          </w:p>
        </w:tc>
      </w:tr>
      <w:tr w:rsidR="00284916" w:rsidRPr="007B31AD" w14:paraId="6733D615" w14:textId="77777777" w:rsidTr="00592BEF">
        <w:tc>
          <w:tcPr>
            <w:tcW w:w="1271" w:type="dxa"/>
            <w:vMerge/>
            <w:shd w:val="clear" w:color="auto" w:fill="DAE9F7" w:themeFill="text2" w:themeFillTint="1A"/>
          </w:tcPr>
          <w:p w14:paraId="5441F89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01EB791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41919AA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Rate (%)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09E7126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Events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00BA9F9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</w:rPr>
              <w:t>c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</w:rPr>
              <w:t>OR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(95% CI)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12891BFB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</w:rPr>
              <w:t>p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3103218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Rate (%)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602A505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Events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5258C0F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bookmarkStart w:id="4" w:name="_Hlk181108603"/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</w:rPr>
              <w:t>c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</w:rPr>
              <w:t>OR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(95% CI)</w:t>
            </w:r>
            <w:bookmarkEnd w:id="4"/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31F0352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p</w:t>
            </w:r>
          </w:p>
        </w:tc>
      </w:tr>
      <w:tr w:rsidR="00284916" w:rsidRPr="007B31AD" w14:paraId="316B4611" w14:textId="77777777" w:rsidTr="00592BEF">
        <w:tc>
          <w:tcPr>
            <w:tcW w:w="1271" w:type="dxa"/>
            <w:vMerge w:val="restart"/>
            <w:shd w:val="clear" w:color="auto" w:fill="FFFFFF" w:themeFill="background1"/>
            <w:vAlign w:val="center"/>
          </w:tcPr>
          <w:p w14:paraId="4AA8D751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Overall morbidity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4A5929A6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Q1; &lt;57.7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599F9C5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26.8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5B3EC4E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175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121483F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3817A7D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7E8DFE40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26.8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285FCAB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175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7DF0DD3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1C63882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</w:tr>
      <w:tr w:rsidR="00284916" w:rsidRPr="007B31AD" w14:paraId="76FDF4E9" w14:textId="77777777" w:rsidTr="00592BEF">
        <w:tc>
          <w:tcPr>
            <w:tcW w:w="1271" w:type="dxa"/>
            <w:vMerge/>
            <w:shd w:val="clear" w:color="auto" w:fill="FFFFFF" w:themeFill="background1"/>
            <w:vAlign w:val="center"/>
          </w:tcPr>
          <w:p w14:paraId="7B6BC45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7058AA2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Q2; ≥57.7 to &lt;69.2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148484F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26.3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3AECE53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226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2D23779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1.06 (0.83 - 1.35)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4B0475B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.650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39AE43E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18.0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D70BB1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154.8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18C5E242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0.97 (0.75 - 1.27)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7A85B85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.835</w:t>
            </w:r>
          </w:p>
        </w:tc>
      </w:tr>
      <w:tr w:rsidR="00284916" w:rsidRPr="007B31AD" w14:paraId="7257B598" w14:textId="77777777" w:rsidTr="00592BEF">
        <w:tc>
          <w:tcPr>
            <w:tcW w:w="1271" w:type="dxa"/>
            <w:vMerge/>
            <w:shd w:val="clear" w:color="auto" w:fill="FFFFFF" w:themeFill="background1"/>
            <w:vAlign w:val="center"/>
          </w:tcPr>
          <w:p w14:paraId="07A9930C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0F7AE55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Q3; ≥69.2 to &lt;80.8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78BCF3F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27.8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03E9831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136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3056A9C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1.07 (0.82 - 1.41)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07BCE9E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.610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756600E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32.1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53CC04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156.8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6A87C04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1.02 (0.75 - 1.39)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8AA8FB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.898</w:t>
            </w:r>
          </w:p>
        </w:tc>
      </w:tr>
      <w:tr w:rsidR="00284916" w:rsidRPr="007B31AD" w14:paraId="1FDA2982" w14:textId="77777777" w:rsidTr="00592BEF">
        <w:tc>
          <w:tcPr>
            <w:tcW w:w="1271" w:type="dxa"/>
            <w:vMerge/>
            <w:shd w:val="clear" w:color="auto" w:fill="FFFFFF" w:themeFill="background1"/>
            <w:vAlign w:val="center"/>
          </w:tcPr>
          <w:p w14:paraId="29DE73D1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60DEC78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Q4; ≥80.8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F35A5B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27.0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241DF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233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C9DC87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1.06 (0.83 - 1.34)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C2091A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.656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880FA1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17.8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706AA8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153.6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5C7FD83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0.98 (0.76 - 1.28)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45584F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.900</w:t>
            </w:r>
          </w:p>
        </w:tc>
      </w:tr>
      <w:tr w:rsidR="00284916" w:rsidRPr="007B31AD" w14:paraId="64C398D1" w14:textId="77777777" w:rsidTr="00592BEF">
        <w:tc>
          <w:tcPr>
            <w:tcW w:w="1271" w:type="dxa"/>
            <w:vMerge w:val="restart"/>
            <w:shd w:val="clear" w:color="auto" w:fill="F2F2F2" w:themeFill="background1" w:themeFillShade="F2"/>
            <w:vAlign w:val="center"/>
          </w:tcPr>
          <w:p w14:paraId="0F7721C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Major morbidity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685819B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Q1; &lt;57.7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16E0ACA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444C243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50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3816FA06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6482850E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7E3751D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2B4C54B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50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2A5ACA9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781BFCF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</w:tr>
      <w:tr w:rsidR="00284916" w:rsidRPr="007B31AD" w14:paraId="5066E149" w14:textId="77777777" w:rsidTr="00592BEF">
        <w:tc>
          <w:tcPr>
            <w:tcW w:w="1271" w:type="dxa"/>
            <w:vMerge/>
            <w:shd w:val="clear" w:color="auto" w:fill="F2F2F2" w:themeFill="background1" w:themeFillShade="F2"/>
            <w:vAlign w:val="center"/>
          </w:tcPr>
          <w:p w14:paraId="3ECA801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79A0B6F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Q2; ≥57.7 to &lt;69.2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2598F070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6.6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774CBB2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57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55B47F10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0.89 (0.59 - 1.34)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87B762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.573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36FD0B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4.1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73A6D89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35.6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62CF1594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0.77 (0.49 - 1.22)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D7BC5F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.265</w:t>
            </w:r>
          </w:p>
        </w:tc>
      </w:tr>
      <w:tr w:rsidR="00284916" w:rsidRPr="007B31AD" w14:paraId="0B3C421E" w14:textId="77777777" w:rsidTr="00592BEF">
        <w:tc>
          <w:tcPr>
            <w:tcW w:w="1271" w:type="dxa"/>
            <w:vMerge/>
            <w:shd w:val="clear" w:color="auto" w:fill="F2F2F2" w:themeFill="background1" w:themeFillShade="F2"/>
            <w:vAlign w:val="center"/>
          </w:tcPr>
          <w:p w14:paraId="15DD82B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6DEC6E1C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Q3; ≥69.2 to &lt;80.8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22491AE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6.5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699953E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32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A348BC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0.83 (0.51 - 1.33)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CE40AD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.432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2381C6D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8.1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44B6A21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39.8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2D7520B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0.88 (0.52 - 1.47)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175474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.617</w:t>
            </w:r>
          </w:p>
        </w:tc>
      </w:tr>
      <w:tr w:rsidR="00284916" w:rsidRPr="007B31AD" w14:paraId="0A4FB377" w14:textId="77777777" w:rsidTr="00592BEF">
        <w:tc>
          <w:tcPr>
            <w:tcW w:w="1271" w:type="dxa"/>
            <w:vMerge/>
            <w:shd w:val="clear" w:color="auto" w:fill="F2F2F2" w:themeFill="background1" w:themeFillShade="F2"/>
            <w:vAlign w:val="center"/>
          </w:tcPr>
          <w:p w14:paraId="21C12BC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AB93D16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Q4; ≥80.8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F69314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7.9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194161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68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91F854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1.06 (0.71 - 1.57)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94905B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.785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16CBAF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4.4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34DA5E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37.6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4E207F3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0.84 (0.55 - 1.27)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E57D33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.402</w:t>
            </w:r>
          </w:p>
        </w:tc>
      </w:tr>
      <w:tr w:rsidR="00284916" w:rsidRPr="007B31AD" w14:paraId="7406E781" w14:textId="77777777" w:rsidTr="00592BEF">
        <w:tc>
          <w:tcPr>
            <w:tcW w:w="1271" w:type="dxa"/>
            <w:vMerge w:val="restart"/>
            <w:vAlign w:val="center"/>
          </w:tcPr>
          <w:p w14:paraId="2EA489B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Mortality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7943EEC5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Q1; &lt;57.7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3E2BEBB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35FF61F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4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215F06D2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</w:tcPr>
          <w:p w14:paraId="55956CF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608164C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F039FC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4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2915505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</w:tcPr>
          <w:p w14:paraId="31B7D22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</w:tr>
      <w:tr w:rsidR="00284916" w:rsidRPr="007B31AD" w14:paraId="23CF2E4B" w14:textId="77777777" w:rsidTr="00592BEF">
        <w:tc>
          <w:tcPr>
            <w:tcW w:w="1271" w:type="dxa"/>
            <w:vMerge/>
            <w:vAlign w:val="center"/>
          </w:tcPr>
          <w:p w14:paraId="47EC33E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B90F2D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Q2; ≥57.7 to &lt;69.2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12C244C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0.4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41D66CF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5A1F7A00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0.69 (0.15 - 3.23)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14:paraId="0498414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.641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600CC3C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64C00069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1.7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34DCA8C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0.47 (0.08 - 2.59)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14:paraId="104435C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.385</w:t>
            </w:r>
          </w:p>
        </w:tc>
      </w:tr>
      <w:tr w:rsidR="00284916" w:rsidRPr="007B31AD" w14:paraId="61ECF729" w14:textId="77777777" w:rsidTr="00592BEF">
        <w:tc>
          <w:tcPr>
            <w:tcW w:w="1271" w:type="dxa"/>
            <w:vMerge/>
            <w:vAlign w:val="center"/>
          </w:tcPr>
          <w:p w14:paraId="5E2FAC6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5F64F0C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Q3; ≥69.2 to &lt;80.8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354378D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0.4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787ED49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34AFCAC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0.75 (0.13 - 4.24)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14:paraId="5703073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.743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2A398BE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0.3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7CB9B1A0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1.7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7AE03F9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0.46 (0.05 - 3.91)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14:paraId="07F5208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.479</w:t>
            </w:r>
          </w:p>
        </w:tc>
      </w:tr>
      <w:tr w:rsidR="00284916" w:rsidRPr="007B31AD" w14:paraId="2FEDC095" w14:textId="77777777" w:rsidTr="00592BEF">
        <w:tc>
          <w:tcPr>
            <w:tcW w:w="1271" w:type="dxa"/>
            <w:vMerge/>
            <w:vAlign w:val="center"/>
          </w:tcPr>
          <w:p w14:paraId="5AD2DB3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6311928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Q4; ≥80.8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</w:tcPr>
          <w:p w14:paraId="049F129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1.4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</w:tcPr>
          <w:p w14:paraId="6599C6E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12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</w:tcPr>
          <w:p w14:paraId="5770A31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2.39 (0.74 - 7.74)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</w:tcPr>
          <w:p w14:paraId="172ECB3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.146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</w:tcPr>
          <w:p w14:paraId="793770A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0.9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</w:tcPr>
          <w:p w14:paraId="5EE95E7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7.9</w:t>
            </w:r>
          </w:p>
        </w:tc>
        <w:tc>
          <w:tcPr>
            <w:tcW w:w="1417" w:type="dxa"/>
            <w:tcBorders>
              <w:top w:val="dotted" w:sz="4" w:space="0" w:color="auto"/>
              <w:bottom w:val="single" w:sz="4" w:space="0" w:color="auto"/>
            </w:tcBorders>
          </w:tcPr>
          <w:p w14:paraId="39D9735D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2.24 (0.64 - 7.80)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</w:tcPr>
          <w:p w14:paraId="662B8DD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.206</w:t>
            </w:r>
          </w:p>
        </w:tc>
      </w:tr>
      <w:tr w:rsidR="00284916" w:rsidRPr="007B31AD" w14:paraId="4247EAE4" w14:textId="77777777" w:rsidTr="00592BEF">
        <w:tc>
          <w:tcPr>
            <w:tcW w:w="1271" w:type="dxa"/>
            <w:vMerge w:val="restart"/>
            <w:shd w:val="clear" w:color="auto" w:fill="F2F2F2" w:themeFill="background1" w:themeFillShade="F2"/>
            <w:vAlign w:val="center"/>
          </w:tcPr>
          <w:p w14:paraId="4F01EC8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Anastomotic leakage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17DC773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Q1; &lt;57.7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7FD6A0AB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5.8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67DEAD9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38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64B6623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43E34C3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01F0EC6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5.8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12AAB56B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38</w:t>
            </w:r>
          </w:p>
        </w:tc>
        <w:tc>
          <w:tcPr>
            <w:tcW w:w="141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39FE769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2F2F2" w:themeFill="background1" w:themeFillShade="F2"/>
          </w:tcPr>
          <w:p w14:paraId="7218F3A5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</w:tr>
      <w:tr w:rsidR="00284916" w:rsidRPr="007B31AD" w14:paraId="0A45D7B0" w14:textId="77777777" w:rsidTr="00592BEF">
        <w:tc>
          <w:tcPr>
            <w:tcW w:w="1271" w:type="dxa"/>
            <w:vMerge/>
            <w:shd w:val="clear" w:color="auto" w:fill="F2F2F2" w:themeFill="background1" w:themeFillShade="F2"/>
          </w:tcPr>
          <w:p w14:paraId="5C0B00AC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2D25AA24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Q2; ≥57.7 to &lt;69.2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18FCF0E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4.0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AB1E4B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34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55A03FC8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0.68 (0.41 - 1.12)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7FBBCCCB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.128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62AC929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2.5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118074A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21.1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8084E04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0.61 (0.36 - 1.04)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41A5A20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.068</w:t>
            </w:r>
          </w:p>
        </w:tc>
      </w:tr>
      <w:tr w:rsidR="00284916" w:rsidRPr="007B31AD" w14:paraId="6E20512F" w14:textId="77777777" w:rsidTr="00592BEF">
        <w:tc>
          <w:tcPr>
            <w:tcW w:w="1271" w:type="dxa"/>
            <w:vMerge/>
            <w:shd w:val="clear" w:color="auto" w:fill="F2F2F2" w:themeFill="background1" w:themeFillShade="F2"/>
          </w:tcPr>
          <w:p w14:paraId="3470390E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504997D1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Q3; ≥69.2 to &lt;80.8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251FC9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3.5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E537077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17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20E4FA3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0.54 (0.30 - 0.99)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6A11E1D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.050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4B12468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3.7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17289D2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18.0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0C22DC62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0.50 (0.26 - 0.97)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2F2F2" w:themeFill="background1" w:themeFillShade="F2"/>
          </w:tcPr>
          <w:p w14:paraId="306D59F1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.042</w:t>
            </w:r>
          </w:p>
        </w:tc>
      </w:tr>
      <w:tr w:rsidR="00284916" w:rsidRPr="007B31AD" w14:paraId="464FCE6E" w14:textId="77777777" w:rsidTr="00592BEF">
        <w:tc>
          <w:tcPr>
            <w:tcW w:w="1271" w:type="dxa"/>
            <w:vMerge/>
            <w:shd w:val="clear" w:color="auto" w:fill="F2F2F2" w:themeFill="background1" w:themeFillShade="F2"/>
          </w:tcPr>
          <w:p w14:paraId="68D761B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29CCD48B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Q4; ≥80.8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3202A64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3.8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2AB193B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33</w:t>
            </w:r>
          </w:p>
        </w:tc>
        <w:tc>
          <w:tcPr>
            <w:tcW w:w="1417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797D77F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0.64 (0.39 - 1.05)</w:t>
            </w:r>
          </w:p>
        </w:tc>
        <w:tc>
          <w:tcPr>
            <w:tcW w:w="567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5D7176A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.075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64E10E9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2.1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28F9028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18.4</w:t>
            </w:r>
          </w:p>
        </w:tc>
        <w:tc>
          <w:tcPr>
            <w:tcW w:w="1417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73E3E3AA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0.52 (0.28 - 0.96)</w:t>
            </w:r>
          </w:p>
        </w:tc>
        <w:tc>
          <w:tcPr>
            <w:tcW w:w="567" w:type="dxa"/>
            <w:tcBorders>
              <w:top w:val="dotted" w:sz="4" w:space="0" w:color="auto"/>
            </w:tcBorders>
            <w:shd w:val="clear" w:color="auto" w:fill="F2F2F2" w:themeFill="background1" w:themeFillShade="F2"/>
          </w:tcPr>
          <w:p w14:paraId="08A1E80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.036</w:t>
            </w:r>
          </w:p>
        </w:tc>
      </w:tr>
      <w:tr w:rsidR="00284916" w:rsidRPr="007B31AD" w14:paraId="422AE490" w14:textId="77777777" w:rsidTr="00592BEF">
        <w:trPr>
          <w:trHeight w:val="342"/>
        </w:trPr>
        <w:tc>
          <w:tcPr>
            <w:tcW w:w="1271" w:type="dxa"/>
            <w:vMerge w:val="restart"/>
            <w:shd w:val="clear" w:color="auto" w:fill="DAE9F7" w:themeFill="text2" w:themeFillTint="1A"/>
          </w:tcPr>
          <w:p w14:paraId="7EAF2308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vMerge w:val="restart"/>
            <w:shd w:val="clear" w:color="auto" w:fill="DAE9F7" w:themeFill="text2" w:themeFillTint="1A"/>
            <w:vAlign w:val="bottom"/>
          </w:tcPr>
          <w:p w14:paraId="1FDFD847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a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ERP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adherence rates (%) quartiles</w:t>
            </w:r>
          </w:p>
        </w:tc>
        <w:tc>
          <w:tcPr>
            <w:tcW w:w="3402" w:type="dxa"/>
            <w:gridSpan w:val="4"/>
            <w:tcBorders>
              <w:bottom w:val="dotted" w:sz="4" w:space="0" w:color="auto"/>
            </w:tcBorders>
            <w:shd w:val="clear" w:color="auto" w:fill="DAE9F7" w:themeFill="text2" w:themeFillTint="1A"/>
            <w:vAlign w:val="bottom"/>
          </w:tcPr>
          <w:p w14:paraId="6978E4B2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Linear regression before </w:t>
            </w: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b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GBM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weighting</w:t>
            </w:r>
          </w:p>
          <w:p w14:paraId="5DEA76C0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3402" w:type="dxa"/>
            <w:gridSpan w:val="4"/>
            <w:tcBorders>
              <w:bottom w:val="dotted" w:sz="4" w:space="0" w:color="auto"/>
            </w:tcBorders>
            <w:shd w:val="clear" w:color="auto" w:fill="DAE9F7" w:themeFill="text2" w:themeFillTint="1A"/>
            <w:vAlign w:val="bottom"/>
          </w:tcPr>
          <w:p w14:paraId="06DA87C8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Linear regression after </w:t>
            </w:r>
            <w:proofErr w:type="spellStart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  <w:lang w:val="en-GB"/>
              </w:rPr>
              <w:t>b</w:t>
            </w: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GBM</w:t>
            </w:r>
            <w:proofErr w:type="spellEnd"/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 weighting</w:t>
            </w:r>
          </w:p>
          <w:p w14:paraId="0897C9F1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highlight w:val="yellow"/>
                <w:lang w:val="en-GB"/>
              </w:rPr>
            </w:pPr>
          </w:p>
        </w:tc>
      </w:tr>
      <w:tr w:rsidR="00284916" w:rsidRPr="007B31AD" w14:paraId="31DD2E9A" w14:textId="77777777" w:rsidTr="00592BEF">
        <w:trPr>
          <w:trHeight w:val="70"/>
        </w:trPr>
        <w:tc>
          <w:tcPr>
            <w:tcW w:w="1271" w:type="dxa"/>
            <w:vMerge/>
            <w:shd w:val="clear" w:color="auto" w:fill="DAE9F7" w:themeFill="text2" w:themeFillTint="1A"/>
          </w:tcPr>
          <w:p w14:paraId="028F4321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4D0F0228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53D2A91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mean 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53AD2800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β coefficient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34E469A2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p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39B53954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 xml:space="preserve">mean 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78651E4F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β coefficient</w:t>
            </w:r>
          </w:p>
        </w:tc>
        <w:tc>
          <w:tcPr>
            <w:tcW w:w="567" w:type="dxa"/>
            <w:tcBorders>
              <w:top w:val="dotted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bottom"/>
          </w:tcPr>
          <w:p w14:paraId="5A48B1E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  <w:lang w:val="en-GB"/>
              </w:rPr>
            </w:pPr>
            <w:r w:rsidRPr="007B31AD"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  <w:t>p</w:t>
            </w:r>
          </w:p>
        </w:tc>
      </w:tr>
      <w:tr w:rsidR="00284916" w:rsidRPr="007B31AD" w14:paraId="3773EEAE" w14:textId="77777777" w:rsidTr="00592BEF">
        <w:tc>
          <w:tcPr>
            <w:tcW w:w="1271" w:type="dxa"/>
            <w:vMerge w:val="restart"/>
            <w:shd w:val="clear" w:color="auto" w:fill="FFFFFF" w:themeFill="background1"/>
            <w:vAlign w:val="center"/>
          </w:tcPr>
          <w:p w14:paraId="0D519B52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Comprehensive Complication Index (CCI)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0EC0564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Q1; &lt;57.7</w:t>
            </w: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03BBCD0D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6.76</w:t>
            </w:r>
          </w:p>
        </w:tc>
        <w:tc>
          <w:tcPr>
            <w:tcW w:w="2126" w:type="dxa"/>
            <w:gridSpan w:val="2"/>
            <w:tcBorders>
              <w:bottom w:val="dotted" w:sz="4" w:space="0" w:color="auto"/>
            </w:tcBorders>
            <w:shd w:val="clear" w:color="auto" w:fill="FFFFFF" w:themeFill="background1"/>
          </w:tcPr>
          <w:p w14:paraId="56B60F9D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2181D41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709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0CB2A9AA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6.76</w:t>
            </w:r>
          </w:p>
        </w:tc>
        <w:tc>
          <w:tcPr>
            <w:tcW w:w="2126" w:type="dxa"/>
            <w:gridSpan w:val="2"/>
            <w:tcBorders>
              <w:bottom w:val="dotted" w:sz="4" w:space="0" w:color="auto"/>
            </w:tcBorders>
            <w:shd w:val="clear" w:color="auto" w:fill="FFFFFF" w:themeFill="background1"/>
          </w:tcPr>
          <w:p w14:paraId="3D23856C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reference</w:t>
            </w:r>
          </w:p>
        </w:tc>
        <w:tc>
          <w:tcPr>
            <w:tcW w:w="567" w:type="dxa"/>
            <w:tcBorders>
              <w:bottom w:val="dotted" w:sz="4" w:space="0" w:color="auto"/>
            </w:tcBorders>
            <w:shd w:val="clear" w:color="auto" w:fill="FFFFFF" w:themeFill="background1"/>
          </w:tcPr>
          <w:p w14:paraId="16C24F9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highlight w:val="yellow"/>
                <w:lang w:val="en-GB"/>
              </w:rPr>
            </w:pPr>
          </w:p>
        </w:tc>
      </w:tr>
      <w:tr w:rsidR="00284916" w:rsidRPr="007B31AD" w14:paraId="04BA4592" w14:textId="77777777" w:rsidTr="00592BEF">
        <w:tc>
          <w:tcPr>
            <w:tcW w:w="1271" w:type="dxa"/>
            <w:vMerge/>
            <w:shd w:val="clear" w:color="auto" w:fill="FFFFFF" w:themeFill="background1"/>
          </w:tcPr>
          <w:p w14:paraId="7598641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7244F995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Q2; ≥57.7 to &lt;69.2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5B27B58C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5.95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1D6CB5C5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- 0.37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6E860E5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.634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27E1469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5.74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085F16F5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- 1.05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3007CA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highlight w:val="yellow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.165</w:t>
            </w:r>
          </w:p>
        </w:tc>
      </w:tr>
      <w:tr w:rsidR="00284916" w:rsidRPr="007B31AD" w14:paraId="5D0C2D17" w14:textId="77777777" w:rsidTr="00592BEF">
        <w:tc>
          <w:tcPr>
            <w:tcW w:w="1271" w:type="dxa"/>
            <w:vMerge/>
            <w:shd w:val="clear" w:color="auto" w:fill="FFFFFF" w:themeFill="background1"/>
          </w:tcPr>
          <w:p w14:paraId="790BA909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F60A48C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Q3; ≥69.2 to &lt;80.8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995667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6.54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03883095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- 0.09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1ABC7FB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.922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C7BB90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6.57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417590C4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- 0.18</w:t>
            </w:r>
          </w:p>
        </w:tc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</w:tcPr>
          <w:p w14:paraId="563F7F86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highlight w:val="yellow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.850</w:t>
            </w:r>
          </w:p>
        </w:tc>
      </w:tr>
      <w:tr w:rsidR="00284916" w:rsidRPr="007B31AD" w14:paraId="5B77A0F0" w14:textId="77777777" w:rsidTr="00592BEF">
        <w:tc>
          <w:tcPr>
            <w:tcW w:w="1271" w:type="dxa"/>
            <w:vMerge/>
            <w:shd w:val="clear" w:color="auto" w:fill="FFFFFF" w:themeFill="background1"/>
          </w:tcPr>
          <w:p w14:paraId="372ABD66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</w:p>
        </w:tc>
        <w:tc>
          <w:tcPr>
            <w:tcW w:w="1559" w:type="dxa"/>
            <w:tcBorders>
              <w:top w:val="dotted" w:sz="4" w:space="0" w:color="auto"/>
            </w:tcBorders>
            <w:shd w:val="clear" w:color="auto" w:fill="FFFFFF" w:themeFill="background1"/>
          </w:tcPr>
          <w:p w14:paraId="7DB0B70F" w14:textId="77777777" w:rsidR="00284916" w:rsidRPr="007B31AD" w:rsidRDefault="00284916" w:rsidP="00592BEF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eastAsia="Aptos" w:hAnsi="Calibri" w:cs="Calibri"/>
                <w:sz w:val="16"/>
                <w:szCs w:val="16"/>
                <w:lang w:val="en-GB"/>
              </w:rPr>
              <w:t>Q4; ≥80.8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FFFFF" w:themeFill="background1"/>
          </w:tcPr>
          <w:p w14:paraId="7F6BC5D0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7.45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</w:tcBorders>
            <w:shd w:val="clear" w:color="auto" w:fill="FFFFFF" w:themeFill="background1"/>
          </w:tcPr>
          <w:p w14:paraId="6490B711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 xml:space="preserve">  0.89</w:t>
            </w:r>
          </w:p>
        </w:tc>
        <w:tc>
          <w:tcPr>
            <w:tcW w:w="567" w:type="dxa"/>
            <w:tcBorders>
              <w:top w:val="dotted" w:sz="4" w:space="0" w:color="auto"/>
            </w:tcBorders>
            <w:shd w:val="clear" w:color="auto" w:fill="FFFFFF" w:themeFill="background1"/>
          </w:tcPr>
          <w:p w14:paraId="1ECC06C8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.245</w:t>
            </w:r>
          </w:p>
        </w:tc>
        <w:tc>
          <w:tcPr>
            <w:tcW w:w="709" w:type="dxa"/>
            <w:tcBorders>
              <w:top w:val="dotted" w:sz="4" w:space="0" w:color="auto"/>
            </w:tcBorders>
            <w:shd w:val="clear" w:color="auto" w:fill="FFFFFF" w:themeFill="background1"/>
          </w:tcPr>
          <w:p w14:paraId="142CE6F3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7.11</w:t>
            </w:r>
          </w:p>
        </w:tc>
        <w:tc>
          <w:tcPr>
            <w:tcW w:w="2126" w:type="dxa"/>
            <w:gridSpan w:val="2"/>
            <w:tcBorders>
              <w:top w:val="dotted" w:sz="4" w:space="0" w:color="auto"/>
            </w:tcBorders>
            <w:shd w:val="clear" w:color="auto" w:fill="FFFFFF" w:themeFill="background1"/>
          </w:tcPr>
          <w:p w14:paraId="19A4A5E9" w14:textId="77777777" w:rsidR="00284916" w:rsidRPr="007B31AD" w:rsidRDefault="00284916" w:rsidP="00592BEF">
            <w:pPr>
              <w:jc w:val="center"/>
              <w:rPr>
                <w:rFonts w:ascii="Calibri" w:hAnsi="Calibri" w:cs="Calibri"/>
                <w:sz w:val="16"/>
                <w:szCs w:val="16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 xml:space="preserve">  0.29</w:t>
            </w:r>
          </w:p>
        </w:tc>
        <w:tc>
          <w:tcPr>
            <w:tcW w:w="567" w:type="dxa"/>
            <w:tcBorders>
              <w:top w:val="dotted" w:sz="4" w:space="0" w:color="auto"/>
            </w:tcBorders>
            <w:shd w:val="clear" w:color="auto" w:fill="FFFFFF" w:themeFill="background1"/>
          </w:tcPr>
          <w:p w14:paraId="5C7DA6DF" w14:textId="77777777" w:rsidR="00284916" w:rsidRPr="007B31AD" w:rsidRDefault="00284916" w:rsidP="00592BEF">
            <w:pPr>
              <w:jc w:val="right"/>
              <w:rPr>
                <w:rFonts w:ascii="Calibri" w:hAnsi="Calibri" w:cs="Calibri"/>
                <w:sz w:val="16"/>
                <w:szCs w:val="16"/>
                <w:highlight w:val="yellow"/>
                <w:lang w:val="en-GB"/>
              </w:rPr>
            </w:pPr>
            <w:r w:rsidRPr="007B31AD">
              <w:rPr>
                <w:rFonts w:ascii="Calibri" w:hAnsi="Calibri" w:cs="Calibri"/>
                <w:sz w:val="16"/>
                <w:szCs w:val="16"/>
                <w:lang w:val="en-GB"/>
              </w:rPr>
              <w:t>.734</w:t>
            </w:r>
          </w:p>
        </w:tc>
      </w:tr>
    </w:tbl>
    <w:p w14:paraId="1765EE8F" w14:textId="77777777" w:rsidR="00284916" w:rsidRPr="008235C6" w:rsidRDefault="00284916" w:rsidP="00284916">
      <w:pPr>
        <w:rPr>
          <w:rFonts w:ascii="Calibri" w:hAnsi="Calibri" w:cs="Calibri"/>
          <w:i/>
          <w:iCs/>
          <w:lang w:val="en-GB"/>
        </w:rPr>
      </w:pPr>
      <w:r w:rsidRPr="007B31AD">
        <w:rPr>
          <w:rFonts w:ascii="Calibri" w:hAnsi="Calibri" w:cs="Calibri"/>
          <w:i/>
          <w:iCs/>
          <w:sz w:val="16"/>
          <w:szCs w:val="16"/>
          <w:vertAlign w:val="superscript"/>
          <w:lang w:val="en-GB"/>
        </w:rPr>
        <w:br w:type="textWrapping" w:clear="all"/>
      </w:r>
      <w:proofErr w:type="spellStart"/>
      <w:r w:rsidRPr="008235C6">
        <w:rPr>
          <w:rFonts w:ascii="Calibri" w:hAnsi="Calibri" w:cs="Calibri"/>
          <w:i/>
          <w:iCs/>
          <w:vertAlign w:val="superscript"/>
          <w:lang w:val="en-GB"/>
        </w:rPr>
        <w:t>a</w:t>
      </w:r>
      <w:r w:rsidRPr="008235C6">
        <w:rPr>
          <w:rFonts w:ascii="Calibri" w:hAnsi="Calibri" w:cs="Calibri"/>
          <w:i/>
          <w:iCs/>
          <w:lang w:val="en-GB"/>
        </w:rPr>
        <w:t>ERP</w:t>
      </w:r>
      <w:proofErr w:type="spellEnd"/>
      <w:r w:rsidRPr="008235C6">
        <w:rPr>
          <w:rFonts w:ascii="Calibri" w:hAnsi="Calibri" w:cs="Calibri"/>
          <w:i/>
          <w:iCs/>
          <w:lang w:val="en-GB"/>
        </w:rPr>
        <w:t xml:space="preserve">: enhanced recovery </w:t>
      </w:r>
      <w:r>
        <w:rPr>
          <w:rFonts w:ascii="Calibri" w:hAnsi="Calibri" w:cs="Calibri"/>
          <w:i/>
          <w:iCs/>
          <w:lang w:val="en-GB"/>
        </w:rPr>
        <w:t>pathwa</w:t>
      </w:r>
      <w:r w:rsidRPr="008235C6">
        <w:rPr>
          <w:rFonts w:ascii="Calibri" w:hAnsi="Calibri" w:cs="Calibri"/>
          <w:i/>
          <w:iCs/>
          <w:lang w:val="en-GB"/>
        </w:rPr>
        <w:t xml:space="preserve">y; </w:t>
      </w:r>
      <w:proofErr w:type="spellStart"/>
      <w:r w:rsidRPr="008235C6">
        <w:rPr>
          <w:rFonts w:ascii="Calibri" w:hAnsi="Calibri" w:cs="Calibri"/>
          <w:i/>
          <w:iCs/>
          <w:vertAlign w:val="superscript"/>
          <w:lang w:val="en-GB"/>
        </w:rPr>
        <w:t>b</w:t>
      </w:r>
      <w:r w:rsidRPr="008235C6">
        <w:rPr>
          <w:rFonts w:ascii="Calibri" w:hAnsi="Calibri" w:cs="Calibri"/>
          <w:i/>
          <w:iCs/>
          <w:lang w:val="en-GB"/>
        </w:rPr>
        <w:t>GBM</w:t>
      </w:r>
      <w:proofErr w:type="spellEnd"/>
      <w:r w:rsidRPr="008235C6">
        <w:rPr>
          <w:rFonts w:ascii="Calibri" w:hAnsi="Calibri" w:cs="Calibri"/>
          <w:i/>
          <w:iCs/>
          <w:lang w:val="en-GB"/>
        </w:rPr>
        <w:t xml:space="preserve">: Generalized Boosted Model; </w:t>
      </w:r>
      <w:proofErr w:type="spellStart"/>
      <w:r w:rsidRPr="008235C6">
        <w:rPr>
          <w:rFonts w:ascii="Calibri" w:hAnsi="Calibri" w:cs="Calibri"/>
          <w:i/>
          <w:iCs/>
          <w:vertAlign w:val="superscript"/>
          <w:lang w:val="en-GB"/>
        </w:rPr>
        <w:t>c</w:t>
      </w:r>
      <w:r w:rsidRPr="008235C6">
        <w:rPr>
          <w:rFonts w:ascii="Calibri" w:hAnsi="Calibri" w:cs="Calibri"/>
          <w:i/>
          <w:iCs/>
          <w:lang w:val="en-GB"/>
        </w:rPr>
        <w:t>OR</w:t>
      </w:r>
      <w:proofErr w:type="spellEnd"/>
      <w:r w:rsidRPr="008235C6">
        <w:rPr>
          <w:rFonts w:ascii="Calibri" w:hAnsi="Calibri" w:cs="Calibri"/>
          <w:i/>
          <w:iCs/>
          <w:lang w:val="en-GB"/>
        </w:rPr>
        <w:t xml:space="preserve"> (95% CI): odds ratio (95% confidence interval).</w:t>
      </w:r>
    </w:p>
    <w:p w14:paraId="4845F098" w14:textId="411BEB3C" w:rsidR="00A96747" w:rsidRDefault="00A96747">
      <w:pPr>
        <w:rPr>
          <w:rFonts w:ascii="Calibri" w:hAnsi="Calibri" w:cs="Calibri"/>
          <w:sz w:val="24"/>
          <w:szCs w:val="24"/>
          <w:lang w:val="en-US"/>
        </w:rPr>
      </w:pPr>
      <w:r>
        <w:rPr>
          <w:rFonts w:ascii="Calibri" w:hAnsi="Calibri" w:cs="Calibri"/>
          <w:sz w:val="24"/>
          <w:szCs w:val="24"/>
          <w:lang w:val="en-US"/>
        </w:rPr>
        <w:br w:type="page"/>
      </w:r>
    </w:p>
    <w:p w14:paraId="6C92DF03" w14:textId="77777777" w:rsidR="00A96747" w:rsidRDefault="00A96747" w:rsidP="00A96747">
      <w:pPr>
        <w:pStyle w:val="Paragrafoelenco"/>
        <w:rPr>
          <w:u w:val="single"/>
          <w:lang w:val="en-GB"/>
        </w:rPr>
      </w:pPr>
      <w:r w:rsidRPr="00A96747">
        <w:rPr>
          <w:u w:val="single"/>
          <w:lang w:val="en-GB"/>
        </w:rPr>
        <w:lastRenderedPageBreak/>
        <w:t>Statistical Appendix</w:t>
      </w:r>
    </w:p>
    <w:p w14:paraId="3064BC09" w14:textId="77777777" w:rsidR="00A96747" w:rsidRPr="00A96747" w:rsidRDefault="00A96747" w:rsidP="00A96747">
      <w:pPr>
        <w:pStyle w:val="Paragrafoelenco"/>
        <w:rPr>
          <w:u w:val="single"/>
          <w:lang w:val="en-GB"/>
        </w:rPr>
      </w:pPr>
    </w:p>
    <w:p w14:paraId="598256BF" w14:textId="77777777" w:rsidR="00A96747" w:rsidRPr="00A96747" w:rsidRDefault="00A96747" w:rsidP="00762DD9">
      <w:pPr>
        <w:pStyle w:val="Paragrafoelenco"/>
        <w:jc w:val="both"/>
        <w:rPr>
          <w:lang w:val="en-GB"/>
        </w:rPr>
      </w:pPr>
      <w:r w:rsidRPr="00A96747">
        <w:rPr>
          <w:lang w:val="en-GB"/>
        </w:rPr>
        <w:t>The choice of a ML method, i.e. gradient boosted algorithm, instead of providing weights for covariates balance using the multinomial or the logistic regression comes from two main reasons: 1) Ensemble methods, like other ML algorithms, suffers from interpretability, but in our case we do not need to interpret weights but just use them in balancing; 2) GBM, using a sequential learning architecture, is sensitive to non-linearities and interactions among the potential confounders, preventing under or over-estimation of the weights, that could affect the probability to belong to each of the treatment categories.</w:t>
      </w:r>
    </w:p>
    <w:p w14:paraId="7846D1BF" w14:textId="77777777" w:rsidR="00A96747" w:rsidRPr="00A96747" w:rsidRDefault="00A96747" w:rsidP="00762DD9">
      <w:pPr>
        <w:pStyle w:val="Paragrafoelenco"/>
        <w:jc w:val="both"/>
        <w:rPr>
          <w:lang w:val="en-GB"/>
        </w:rPr>
      </w:pPr>
    </w:p>
    <w:p w14:paraId="4FE98FF6" w14:textId="1A8730FE" w:rsidR="00A96747" w:rsidRPr="003A7201" w:rsidRDefault="00A96747" w:rsidP="00762DD9">
      <w:pPr>
        <w:pStyle w:val="Paragrafoelenco"/>
        <w:jc w:val="both"/>
        <w:rPr>
          <w:lang w:val="en-GB"/>
        </w:rPr>
      </w:pPr>
      <w:r w:rsidRPr="00A96747">
        <w:rPr>
          <w:lang w:val="en-GB"/>
        </w:rPr>
        <w:t xml:space="preserve">The issue of overfitting was managed stopping the number of trees (30000 trees for each group comparison, despite computationally intensive, allowed us to reach stable results for </w:t>
      </w:r>
      <w:proofErr w:type="spellStart"/>
      <w:proofErr w:type="gramStart"/>
      <w:r w:rsidRPr="00A96747">
        <w:rPr>
          <w:lang w:val="en-GB"/>
        </w:rPr>
        <w:t>KS.mean</w:t>
      </w:r>
      <w:proofErr w:type="spellEnd"/>
      <w:proofErr w:type="gramEnd"/>
      <w:r w:rsidRPr="00A96747">
        <w:rPr>
          <w:lang w:val="en-GB"/>
        </w:rPr>
        <w:t xml:space="preserve"> metrics</w:t>
      </w:r>
      <w:r w:rsidR="00042896">
        <w:rPr>
          <w:lang w:val="en-GB"/>
        </w:rPr>
        <w:t xml:space="preserve">. </w:t>
      </w:r>
      <w:r w:rsidRPr="00A96747">
        <w:rPr>
          <w:lang w:val="en-GB"/>
        </w:rPr>
        <w:t xml:space="preserve">Covariate balance after weighting was a major concern of the analysis carried out. The balance was checked in tabular form comparing the </w:t>
      </w:r>
      <w:proofErr w:type="spellStart"/>
      <w:proofErr w:type="gramStart"/>
      <w:r w:rsidRPr="00A96747">
        <w:rPr>
          <w:lang w:val="en-GB"/>
        </w:rPr>
        <w:t>KS.mean</w:t>
      </w:r>
      <w:proofErr w:type="spellEnd"/>
      <w:proofErr w:type="gramEnd"/>
      <w:r w:rsidRPr="00A96747">
        <w:rPr>
          <w:lang w:val="en-GB"/>
        </w:rPr>
        <w:t xml:space="preserve"> values for each comparison of the covariates in the treatment groups. Given the huge </w:t>
      </w:r>
      <w:proofErr w:type="gramStart"/>
      <w:r w:rsidRPr="00A96747">
        <w:rPr>
          <w:lang w:val="en-GB"/>
        </w:rPr>
        <w:t>amount</w:t>
      </w:r>
      <w:proofErr w:type="gramEnd"/>
      <w:r w:rsidRPr="00A96747">
        <w:rPr>
          <w:lang w:val="en-GB"/>
        </w:rPr>
        <w:t xml:space="preserve"> of computations, the tables were unfeasible to be reported on the manuscript so that the balancing results after GBM weighting have been reported using a Love-plot (Figure 1 of supplementary material), which gives an understandable and readable summary of the balancing achieved.</w:t>
      </w:r>
    </w:p>
    <w:p w14:paraId="4E44A8B5" w14:textId="77777777" w:rsidR="00A96747" w:rsidRPr="003A7201" w:rsidRDefault="00A96747" w:rsidP="00762DD9">
      <w:pPr>
        <w:pStyle w:val="Paragrafoelenco"/>
        <w:jc w:val="both"/>
        <w:rPr>
          <w:lang w:val="en-GB"/>
        </w:rPr>
      </w:pPr>
    </w:p>
    <w:p w14:paraId="3B090783" w14:textId="77777777" w:rsidR="00A96747" w:rsidRPr="00932A6E" w:rsidRDefault="00A96747" w:rsidP="00A96747">
      <w:pPr>
        <w:pStyle w:val="Paragrafoelenco"/>
        <w:rPr>
          <w:lang w:val="en-GB"/>
        </w:rPr>
      </w:pPr>
    </w:p>
    <w:p w14:paraId="671C440C" w14:textId="77777777" w:rsidR="00284916" w:rsidRPr="00A96747" w:rsidRDefault="00284916" w:rsidP="000720BA">
      <w:pPr>
        <w:spacing w:line="360" w:lineRule="auto"/>
        <w:jc w:val="both"/>
        <w:rPr>
          <w:rFonts w:ascii="Calibri" w:hAnsi="Calibri" w:cs="Calibri"/>
          <w:sz w:val="24"/>
          <w:szCs w:val="24"/>
          <w:lang w:val="en-GB"/>
        </w:rPr>
      </w:pPr>
    </w:p>
    <w:sectPr w:rsidR="00284916" w:rsidRPr="00A96747" w:rsidSect="00523BE0">
      <w:headerReference w:type="default" r:id="rId7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F1410" w14:textId="77777777" w:rsidR="004F1242" w:rsidRDefault="004F1242">
      <w:pPr>
        <w:spacing w:after="0" w:line="240" w:lineRule="auto"/>
      </w:pPr>
      <w:r>
        <w:separator/>
      </w:r>
    </w:p>
  </w:endnote>
  <w:endnote w:type="continuationSeparator" w:id="0">
    <w:p w14:paraId="71FC8C7E" w14:textId="77777777" w:rsidR="004F1242" w:rsidRDefault="004F1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FA674" w14:textId="77777777" w:rsidR="004F1242" w:rsidRDefault="004F1242">
      <w:pPr>
        <w:spacing w:after="0" w:line="240" w:lineRule="auto"/>
      </w:pPr>
      <w:r>
        <w:separator/>
      </w:r>
    </w:p>
  </w:footnote>
  <w:footnote w:type="continuationSeparator" w:id="0">
    <w:p w14:paraId="53BFFEFA" w14:textId="77777777" w:rsidR="004F1242" w:rsidRDefault="004F1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26034840"/>
      <w:docPartObj>
        <w:docPartGallery w:val="Page Numbers (Top of Page)"/>
        <w:docPartUnique/>
      </w:docPartObj>
    </w:sdtPr>
    <w:sdtContent>
      <w:p w14:paraId="3FE684A6" w14:textId="77777777" w:rsidR="00AF5663" w:rsidRDefault="00523BE0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7BAEAC" w14:textId="77777777" w:rsidR="00AF5663" w:rsidRDefault="00AF566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9FC"/>
    <w:rsid w:val="00000463"/>
    <w:rsid w:val="00011539"/>
    <w:rsid w:val="000229FA"/>
    <w:rsid w:val="00042896"/>
    <w:rsid w:val="000720BA"/>
    <w:rsid w:val="00090883"/>
    <w:rsid w:val="00094FA9"/>
    <w:rsid w:val="000E1C35"/>
    <w:rsid w:val="001214EA"/>
    <w:rsid w:val="00162169"/>
    <w:rsid w:val="0017167A"/>
    <w:rsid w:val="00186E1B"/>
    <w:rsid w:val="001C1406"/>
    <w:rsid w:val="001C4103"/>
    <w:rsid w:val="001D0760"/>
    <w:rsid w:val="001D1A4A"/>
    <w:rsid w:val="002549FC"/>
    <w:rsid w:val="00284916"/>
    <w:rsid w:val="002A528B"/>
    <w:rsid w:val="002C0D5F"/>
    <w:rsid w:val="002F6DDF"/>
    <w:rsid w:val="003171CA"/>
    <w:rsid w:val="0033219E"/>
    <w:rsid w:val="00357545"/>
    <w:rsid w:val="003722C8"/>
    <w:rsid w:val="00381B7F"/>
    <w:rsid w:val="003E3235"/>
    <w:rsid w:val="00413434"/>
    <w:rsid w:val="004153E0"/>
    <w:rsid w:val="004154B0"/>
    <w:rsid w:val="004240EB"/>
    <w:rsid w:val="00424DA9"/>
    <w:rsid w:val="004671FA"/>
    <w:rsid w:val="00482525"/>
    <w:rsid w:val="0049271E"/>
    <w:rsid w:val="004A144A"/>
    <w:rsid w:val="004A1C0A"/>
    <w:rsid w:val="004F1242"/>
    <w:rsid w:val="00503798"/>
    <w:rsid w:val="00523BE0"/>
    <w:rsid w:val="005260DA"/>
    <w:rsid w:val="005312AD"/>
    <w:rsid w:val="0055486B"/>
    <w:rsid w:val="00567AB4"/>
    <w:rsid w:val="005850E1"/>
    <w:rsid w:val="00592925"/>
    <w:rsid w:val="005C22DC"/>
    <w:rsid w:val="005E78DD"/>
    <w:rsid w:val="005F2C0E"/>
    <w:rsid w:val="005F3095"/>
    <w:rsid w:val="005F3AC8"/>
    <w:rsid w:val="00656D54"/>
    <w:rsid w:val="00672754"/>
    <w:rsid w:val="00674ECB"/>
    <w:rsid w:val="00677466"/>
    <w:rsid w:val="006A1D1A"/>
    <w:rsid w:val="006A29E8"/>
    <w:rsid w:val="006D5888"/>
    <w:rsid w:val="00726B28"/>
    <w:rsid w:val="007367DC"/>
    <w:rsid w:val="007559F0"/>
    <w:rsid w:val="00762DD9"/>
    <w:rsid w:val="007776E0"/>
    <w:rsid w:val="00780FFD"/>
    <w:rsid w:val="007923CD"/>
    <w:rsid w:val="007B5EC2"/>
    <w:rsid w:val="007C1FFE"/>
    <w:rsid w:val="008055B1"/>
    <w:rsid w:val="00805863"/>
    <w:rsid w:val="00860BC9"/>
    <w:rsid w:val="008F651F"/>
    <w:rsid w:val="00963671"/>
    <w:rsid w:val="00977ECA"/>
    <w:rsid w:val="009B684B"/>
    <w:rsid w:val="009D6668"/>
    <w:rsid w:val="00A1404F"/>
    <w:rsid w:val="00A21671"/>
    <w:rsid w:val="00A2439C"/>
    <w:rsid w:val="00A349CE"/>
    <w:rsid w:val="00A36BD2"/>
    <w:rsid w:val="00A42AD8"/>
    <w:rsid w:val="00A96747"/>
    <w:rsid w:val="00AA19DA"/>
    <w:rsid w:val="00AB02A4"/>
    <w:rsid w:val="00AF5663"/>
    <w:rsid w:val="00B061ED"/>
    <w:rsid w:val="00B24DA2"/>
    <w:rsid w:val="00B510DB"/>
    <w:rsid w:val="00B65D11"/>
    <w:rsid w:val="00B93AA0"/>
    <w:rsid w:val="00BF5716"/>
    <w:rsid w:val="00C222EB"/>
    <w:rsid w:val="00C577C5"/>
    <w:rsid w:val="00C60520"/>
    <w:rsid w:val="00C6276C"/>
    <w:rsid w:val="00C64C11"/>
    <w:rsid w:val="00C6605A"/>
    <w:rsid w:val="00C95B41"/>
    <w:rsid w:val="00D04876"/>
    <w:rsid w:val="00D204DC"/>
    <w:rsid w:val="00D20A35"/>
    <w:rsid w:val="00D33288"/>
    <w:rsid w:val="00D56ED8"/>
    <w:rsid w:val="00D71FEF"/>
    <w:rsid w:val="00DA032A"/>
    <w:rsid w:val="00DD6518"/>
    <w:rsid w:val="00DE32EC"/>
    <w:rsid w:val="00E34D04"/>
    <w:rsid w:val="00E4097A"/>
    <w:rsid w:val="00E41332"/>
    <w:rsid w:val="00E56624"/>
    <w:rsid w:val="00E66CE8"/>
    <w:rsid w:val="00E75361"/>
    <w:rsid w:val="00EA3CD0"/>
    <w:rsid w:val="00ED0EC7"/>
    <w:rsid w:val="00EE3C1B"/>
    <w:rsid w:val="00EF2153"/>
    <w:rsid w:val="00F27EAB"/>
    <w:rsid w:val="00F3235D"/>
    <w:rsid w:val="00F45927"/>
    <w:rsid w:val="00F7155B"/>
    <w:rsid w:val="00FA5F4C"/>
    <w:rsid w:val="00FC67FA"/>
    <w:rsid w:val="00FD7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417D"/>
  <w15:chartTrackingRefBased/>
  <w15:docId w15:val="{55418879-C36D-45A1-8B86-044B13649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54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54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54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54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4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54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54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54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54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54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54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54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549F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49F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549F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549F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549F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549F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54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54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54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54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54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549F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549F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549F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54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549F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549FC"/>
    <w:rPr>
      <w:b/>
      <w:bCs/>
      <w:smallCaps/>
      <w:color w:val="0F4761" w:themeColor="accent1" w:themeShade="BF"/>
      <w:spacing w:val="5"/>
    </w:rPr>
  </w:style>
  <w:style w:type="table" w:customStyle="1" w:styleId="Grigliatabella1">
    <w:name w:val="Griglia tabella1"/>
    <w:basedOn w:val="Tabellanormale"/>
    <w:next w:val="Grigliatabella"/>
    <w:uiPriority w:val="59"/>
    <w:rsid w:val="002549FC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254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lencomedio2-Colore41">
    <w:name w:val="Elenco medio 2 - Colore 41"/>
    <w:basedOn w:val="Normale"/>
    <w:uiPriority w:val="34"/>
    <w:qFormat/>
    <w:rsid w:val="00AF5663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AF56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5663"/>
  </w:style>
  <w:style w:type="paragraph" w:styleId="Pidipagina">
    <w:name w:val="footer"/>
    <w:basedOn w:val="Normale"/>
    <w:link w:val="PidipaginaCarattere"/>
    <w:uiPriority w:val="99"/>
    <w:unhideWhenUsed/>
    <w:rsid w:val="00AF56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56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759</Words>
  <Characters>4330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Guadagni</dc:creator>
  <cp:lastModifiedBy>Stefano Guadagni</cp:lastModifiedBy>
  <cp:revision>5</cp:revision>
  <dcterms:created xsi:type="dcterms:W3CDTF">2025-04-28T13:52:00Z</dcterms:created>
  <dcterms:modified xsi:type="dcterms:W3CDTF">2025-06-04T05:33:00Z</dcterms:modified>
</cp:coreProperties>
</file>