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0BADC6" w14:textId="6BE0BC5C" w:rsidR="000D1ACA" w:rsidRPr="00DE37DD" w:rsidRDefault="000D1ACA" w:rsidP="000D1ACA">
      <w:pPr>
        <w:widowControl w:val="0"/>
        <w:autoSpaceDE w:val="0"/>
        <w:autoSpaceDN w:val="0"/>
        <w:adjustRightInd w:val="0"/>
        <w:rPr>
          <w:rFonts w:ascii="Times" w:hAnsi="Times"/>
          <w:b/>
          <w:sz w:val="28"/>
          <w:szCs w:val="28"/>
          <w:lang w:val="en-GB"/>
        </w:rPr>
      </w:pPr>
      <w:r w:rsidRPr="00DE37DD">
        <w:rPr>
          <w:rFonts w:ascii="Times" w:hAnsi="Times"/>
          <w:b/>
          <w:sz w:val="28"/>
          <w:szCs w:val="28"/>
          <w:lang w:val="en-GB"/>
        </w:rPr>
        <w:t xml:space="preserve">Supplementary Table 1: </w:t>
      </w:r>
      <w:r w:rsidRPr="00DE37DD">
        <w:rPr>
          <w:rFonts w:eastAsiaTheme="minorEastAsia"/>
          <w:sz w:val="30"/>
          <w:szCs w:val="30"/>
          <w:lang w:val="en-GB" w:eastAsia="en-US"/>
        </w:rPr>
        <w:t xml:space="preserve">Intraoperative Complications Assessment and Reporting with Universal Standards (ICARUS) criteria for reporting adverse events during surgical procedures </w:t>
      </w:r>
    </w:p>
    <w:p w14:paraId="201EB327" w14:textId="77777777" w:rsidR="000D1ACA" w:rsidRPr="00DE37DD" w:rsidRDefault="000D1ACA" w:rsidP="008611FA">
      <w:pPr>
        <w:widowControl w:val="0"/>
        <w:autoSpaceDE w:val="0"/>
        <w:autoSpaceDN w:val="0"/>
        <w:adjustRightInd w:val="0"/>
        <w:rPr>
          <w:rFonts w:ascii="Times" w:hAnsi="Times"/>
          <w:b/>
          <w:sz w:val="28"/>
          <w:szCs w:val="28"/>
          <w:lang w:val="en-GB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147"/>
        <w:gridCol w:w="6215"/>
        <w:gridCol w:w="5876"/>
      </w:tblGrid>
      <w:tr w:rsidR="006F0C52" w:rsidRPr="00DE37DD" w14:paraId="27B8C016" w14:textId="77777777" w:rsidTr="006F0C52">
        <w:trPr>
          <w:jc w:val="center"/>
        </w:trPr>
        <w:tc>
          <w:tcPr>
            <w:tcW w:w="1147" w:type="dxa"/>
            <w:vAlign w:val="center"/>
          </w:tcPr>
          <w:p w14:paraId="54CBAA05" w14:textId="6F62B800" w:rsidR="00056FAB" w:rsidRPr="00DE37DD" w:rsidRDefault="00056FAB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b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b/>
                <w:sz w:val="28"/>
                <w:szCs w:val="28"/>
                <w:lang w:val="en-GB"/>
              </w:rPr>
              <w:t>V or X</w:t>
            </w:r>
          </w:p>
        </w:tc>
        <w:tc>
          <w:tcPr>
            <w:tcW w:w="6215" w:type="dxa"/>
            <w:vAlign w:val="center"/>
          </w:tcPr>
          <w:p w14:paraId="24466D44" w14:textId="76BB8797" w:rsidR="00056FAB" w:rsidRPr="00DE37DD" w:rsidRDefault="00056FAB" w:rsidP="00056FAB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b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b/>
                <w:sz w:val="28"/>
                <w:szCs w:val="28"/>
                <w:lang w:val="en-GB"/>
              </w:rPr>
              <w:t>Criteria</w:t>
            </w:r>
          </w:p>
        </w:tc>
        <w:tc>
          <w:tcPr>
            <w:tcW w:w="5876" w:type="dxa"/>
            <w:vAlign w:val="center"/>
          </w:tcPr>
          <w:p w14:paraId="3CDA8F50" w14:textId="134D98A8" w:rsidR="00056FAB" w:rsidRPr="00DE37DD" w:rsidRDefault="00056FAB" w:rsidP="00056FAB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b/>
                <w:sz w:val="28"/>
                <w:szCs w:val="28"/>
                <w:lang w:val="en-GB"/>
              </w:rPr>
              <w:t>Explanation</w:t>
            </w:r>
          </w:p>
        </w:tc>
      </w:tr>
      <w:tr w:rsidR="006F0C52" w:rsidRPr="00DE37DD" w14:paraId="5B849FB0" w14:textId="77777777" w:rsidTr="006F0C52">
        <w:trPr>
          <w:jc w:val="center"/>
        </w:trPr>
        <w:tc>
          <w:tcPr>
            <w:tcW w:w="1147" w:type="dxa"/>
            <w:vAlign w:val="center"/>
          </w:tcPr>
          <w:p w14:paraId="75ADE587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2B4B6E92" w14:textId="77777777" w:rsidR="000D1ACA" w:rsidRPr="00DE37DD" w:rsidRDefault="000D1ACA" w:rsidP="0041527A">
            <w:pPr>
              <w:pStyle w:val="Paragrafoelenco"/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In a study reporting perioperative outcomes, iAEs should be reported as one of the outcomes of interest</w:t>
            </w:r>
          </w:p>
        </w:tc>
        <w:tc>
          <w:tcPr>
            <w:tcW w:w="5876" w:type="dxa"/>
            <w:vAlign w:val="center"/>
          </w:tcPr>
          <w:p w14:paraId="07DD9AB4" w14:textId="77777777" w:rsidR="000D1ACA" w:rsidRPr="00DE37DD" w:rsidRDefault="000D1ACA" w:rsidP="0041527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In the current study intraoperative adverse events were one of the primary end points</w:t>
            </w:r>
          </w:p>
        </w:tc>
      </w:tr>
      <w:tr w:rsidR="006F0C52" w:rsidRPr="00DE37DD" w14:paraId="172E9500" w14:textId="77777777" w:rsidTr="006F0C52">
        <w:trPr>
          <w:jc w:val="center"/>
        </w:trPr>
        <w:tc>
          <w:tcPr>
            <w:tcW w:w="1147" w:type="dxa"/>
            <w:vAlign w:val="center"/>
          </w:tcPr>
          <w:p w14:paraId="09EF1AE7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34E7BBFA" w14:textId="77777777" w:rsidR="000D1ACA" w:rsidRPr="00DE37DD" w:rsidRDefault="000D1ACA" w:rsidP="0041527A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iAEs and the definition of each specific iAE should be reported or referenced</w:t>
            </w:r>
          </w:p>
        </w:tc>
        <w:tc>
          <w:tcPr>
            <w:tcW w:w="5876" w:type="dxa"/>
            <w:vAlign w:val="center"/>
          </w:tcPr>
          <w:p w14:paraId="3923382B" w14:textId="1CB4CF14" w:rsidR="000D1ACA" w:rsidRPr="00DE37DD" w:rsidRDefault="006F0C52" w:rsidP="0041527A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iAE were recorded in the current study</w:t>
            </w:r>
          </w:p>
        </w:tc>
      </w:tr>
      <w:tr w:rsidR="006F0C52" w:rsidRPr="00DE37DD" w14:paraId="0BA9DDD2" w14:textId="77777777" w:rsidTr="006F0C52">
        <w:trPr>
          <w:jc w:val="center"/>
        </w:trPr>
        <w:tc>
          <w:tcPr>
            <w:tcW w:w="1147" w:type="dxa"/>
            <w:vAlign w:val="center"/>
          </w:tcPr>
          <w:p w14:paraId="7116F07F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18152DA1" w14:textId="77777777" w:rsidR="000D1ACA" w:rsidRPr="00DE37DD" w:rsidRDefault="000D1ACA" w:rsidP="0041527A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Each iAE should be reported using one of the proposed classification systems (ClassIntra, EAU, iAE severity classification scheme, or modified Satava), with a preference for schemes that are validated</w:t>
            </w:r>
          </w:p>
        </w:tc>
        <w:tc>
          <w:tcPr>
            <w:tcW w:w="5876" w:type="dxa"/>
            <w:vAlign w:val="center"/>
          </w:tcPr>
          <w:p w14:paraId="7F8425C4" w14:textId="75D0F8D0" w:rsidR="000D1ACA" w:rsidRPr="00DE37DD" w:rsidRDefault="006F0C52" w:rsidP="0041527A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The study was designed to categorize </w:t>
            </w:r>
            <w:r w:rsidR="000D1ACA" w:rsidRPr="00DE37DD">
              <w:rPr>
                <w:rFonts w:ascii="Times" w:hAnsi="Times"/>
                <w:sz w:val="28"/>
                <w:szCs w:val="28"/>
                <w:lang w:val="en-GB"/>
              </w:rPr>
              <w:t>Intraoperative adverse events according to the Intraoperative Adverse Incident Classification (EAUiaiC) proposed by the European Association of Urology (EAU) ad hoc Complications Guidelines Panel</w:t>
            </w:r>
            <w:r w:rsidRPr="00DE37DD">
              <w:rPr>
                <w:rFonts w:ascii="Times" w:hAnsi="Times"/>
                <w:sz w:val="28"/>
                <w:szCs w:val="28"/>
                <w:lang w:val="en-GB"/>
              </w:rPr>
              <w:t>. However, no iAE were recorded in the current study</w:t>
            </w:r>
          </w:p>
        </w:tc>
      </w:tr>
      <w:tr w:rsidR="006F0C52" w:rsidRPr="00DE37DD" w14:paraId="22E08323" w14:textId="77777777" w:rsidTr="006F0C52">
        <w:trPr>
          <w:jc w:val="center"/>
        </w:trPr>
        <w:tc>
          <w:tcPr>
            <w:tcW w:w="1147" w:type="dxa"/>
            <w:vAlign w:val="center"/>
          </w:tcPr>
          <w:p w14:paraId="0EAF8075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7DDFC0B2" w14:textId="77777777" w:rsidR="000D1ACA" w:rsidRPr="00DE37DD" w:rsidRDefault="000D1ACA" w:rsidP="0041527A">
            <w:pPr>
              <w:pStyle w:val="Paragrafoelenco"/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Each iAE should be reported separately by grade</w:t>
            </w:r>
          </w:p>
        </w:tc>
        <w:tc>
          <w:tcPr>
            <w:tcW w:w="5876" w:type="dxa"/>
            <w:vAlign w:val="center"/>
          </w:tcPr>
          <w:p w14:paraId="0BF075B6" w14:textId="6416F950" w:rsidR="000D1ACA" w:rsidRPr="00DE37DD" w:rsidRDefault="006F0C52" w:rsidP="0041527A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No iAE was recorded in the current study. </w:t>
            </w:r>
          </w:p>
        </w:tc>
      </w:tr>
      <w:tr w:rsidR="006F0C52" w:rsidRPr="00DE37DD" w14:paraId="3D8B7502" w14:textId="77777777" w:rsidTr="006F0C52">
        <w:trPr>
          <w:jc w:val="center"/>
        </w:trPr>
        <w:tc>
          <w:tcPr>
            <w:tcW w:w="1147" w:type="dxa"/>
            <w:vAlign w:val="center"/>
          </w:tcPr>
          <w:p w14:paraId="1A139C26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7D5A2DC0" w14:textId="77777777" w:rsidR="000D1ACA" w:rsidRPr="00DE37DD" w:rsidRDefault="000D1ACA" w:rsidP="0041527A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iAEs related to anesthesiology, surgery, and equipment malfunction should be reported separately</w:t>
            </w:r>
          </w:p>
        </w:tc>
        <w:tc>
          <w:tcPr>
            <w:tcW w:w="5876" w:type="dxa"/>
            <w:vAlign w:val="center"/>
          </w:tcPr>
          <w:p w14:paraId="079A17B0" w14:textId="08104442" w:rsidR="000D1ACA" w:rsidRPr="00DE37DD" w:rsidRDefault="000D1ACA" w:rsidP="0041527A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In the current study no intraoperative adverse event was associated with anesthesiology or equipment malfunctions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>.</w:t>
            </w:r>
          </w:p>
        </w:tc>
      </w:tr>
      <w:tr w:rsidR="006F0C52" w:rsidRPr="00DE37DD" w14:paraId="322021B6" w14:textId="77777777" w:rsidTr="006F0C52">
        <w:trPr>
          <w:jc w:val="center"/>
        </w:trPr>
        <w:tc>
          <w:tcPr>
            <w:tcW w:w="1147" w:type="dxa"/>
            <w:vAlign w:val="center"/>
          </w:tcPr>
          <w:p w14:paraId="2A149ECD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741CE67A" w14:textId="77777777" w:rsidR="000D1ACA" w:rsidRPr="00DE37DD" w:rsidRDefault="000D1ACA" w:rsidP="0041527A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The number of iAEs and the number of patients with iAEs should be reported separately</w:t>
            </w:r>
          </w:p>
        </w:tc>
        <w:tc>
          <w:tcPr>
            <w:tcW w:w="5876" w:type="dxa"/>
            <w:vAlign w:val="center"/>
          </w:tcPr>
          <w:p w14:paraId="13C2C584" w14:textId="21CF4295" w:rsidR="000D1ACA" w:rsidRPr="00DE37DD" w:rsidRDefault="006F0C52" w:rsidP="0041527A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iAE was recorded in the current study</w:t>
            </w:r>
          </w:p>
        </w:tc>
      </w:tr>
      <w:tr w:rsidR="006F0C52" w:rsidRPr="00DE37DD" w14:paraId="60ADA34C" w14:textId="77777777" w:rsidTr="006F0C52">
        <w:trPr>
          <w:jc w:val="center"/>
        </w:trPr>
        <w:tc>
          <w:tcPr>
            <w:tcW w:w="1147" w:type="dxa"/>
            <w:vAlign w:val="center"/>
          </w:tcPr>
          <w:p w14:paraId="15BA04E8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X</w:t>
            </w:r>
          </w:p>
        </w:tc>
        <w:tc>
          <w:tcPr>
            <w:tcW w:w="6215" w:type="dxa"/>
            <w:vAlign w:val="center"/>
          </w:tcPr>
          <w:p w14:paraId="1C5AFE31" w14:textId="77777777" w:rsidR="000D1ACA" w:rsidRPr="00DE37DD" w:rsidRDefault="000D1ACA" w:rsidP="0041527A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When appropriate, pre-existing medical conditions, atypical anatomical variants, and malfunctioning surgical instruments associated with iAEs should be reported</w:t>
            </w:r>
          </w:p>
        </w:tc>
        <w:tc>
          <w:tcPr>
            <w:tcW w:w="5876" w:type="dxa"/>
            <w:vAlign w:val="center"/>
          </w:tcPr>
          <w:p w14:paraId="69D66355" w14:textId="77777777" w:rsidR="000D1ACA" w:rsidRPr="00DE37DD" w:rsidRDefault="000D1ACA" w:rsidP="0041527A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specific pre-existing medical conditions or atypical anatomical variants were available</w:t>
            </w:r>
          </w:p>
        </w:tc>
      </w:tr>
      <w:tr w:rsidR="006F0C52" w:rsidRPr="00DE37DD" w14:paraId="29FC6293" w14:textId="77777777" w:rsidTr="006F0C52">
        <w:trPr>
          <w:jc w:val="center"/>
        </w:trPr>
        <w:tc>
          <w:tcPr>
            <w:tcW w:w="1147" w:type="dxa"/>
            <w:vAlign w:val="center"/>
          </w:tcPr>
          <w:p w14:paraId="005E7846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lastRenderedPageBreak/>
              <w:t>V</w:t>
            </w:r>
          </w:p>
        </w:tc>
        <w:tc>
          <w:tcPr>
            <w:tcW w:w="6215" w:type="dxa"/>
            <w:vAlign w:val="center"/>
          </w:tcPr>
          <w:p w14:paraId="4338CADB" w14:textId="77777777" w:rsidR="000D1ACA" w:rsidRPr="00DE37DD" w:rsidRDefault="000D1ACA" w:rsidP="0041527A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If an iAE requires conversion during surgery, both the iAE that caused the conversion and the action undertaken should be reported</w:t>
            </w:r>
          </w:p>
        </w:tc>
        <w:tc>
          <w:tcPr>
            <w:tcW w:w="5876" w:type="dxa"/>
            <w:vAlign w:val="center"/>
          </w:tcPr>
          <w:p w14:paraId="74CAFA97" w14:textId="77777777" w:rsidR="000D1ACA" w:rsidRPr="00DE37DD" w:rsidRDefault="000D1ACA" w:rsidP="0041527A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In the current study no conversion to open surgery was reported</w:t>
            </w:r>
          </w:p>
        </w:tc>
      </w:tr>
      <w:tr w:rsidR="006F0C52" w:rsidRPr="00DE37DD" w14:paraId="1C2C81F8" w14:textId="77777777" w:rsidTr="006F0C52">
        <w:trPr>
          <w:jc w:val="center"/>
        </w:trPr>
        <w:tc>
          <w:tcPr>
            <w:tcW w:w="1147" w:type="dxa"/>
            <w:vAlign w:val="center"/>
          </w:tcPr>
          <w:p w14:paraId="525E74A6" w14:textId="21FE7ECB" w:rsidR="006F0C52" w:rsidRPr="00DE37DD" w:rsidRDefault="006F0C52" w:rsidP="006F0C5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0CADD694" w14:textId="77777777" w:rsidR="006F0C52" w:rsidRPr="00DE37DD" w:rsidRDefault="006F0C52" w:rsidP="006F0C52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iAEs should be reported, specifying the surgical step that was associated with or affected by the iAEs</w:t>
            </w:r>
          </w:p>
        </w:tc>
        <w:tc>
          <w:tcPr>
            <w:tcW w:w="5876" w:type="dxa"/>
            <w:vAlign w:val="center"/>
          </w:tcPr>
          <w:p w14:paraId="040DB02E" w14:textId="78D3D6AB" w:rsidR="006F0C52" w:rsidRPr="00DE37DD" w:rsidRDefault="006F0C52" w:rsidP="006F0C52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iAE was recorded in the current study</w:t>
            </w:r>
          </w:p>
        </w:tc>
      </w:tr>
      <w:tr w:rsidR="006F0C52" w:rsidRPr="00DE37DD" w14:paraId="4A9E6BFD" w14:textId="77777777" w:rsidTr="006F0C52">
        <w:trPr>
          <w:jc w:val="center"/>
        </w:trPr>
        <w:tc>
          <w:tcPr>
            <w:tcW w:w="1147" w:type="dxa"/>
            <w:vAlign w:val="center"/>
          </w:tcPr>
          <w:p w14:paraId="7282D5D7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205295A3" w14:textId="77777777" w:rsidR="000D1ACA" w:rsidRPr="00DE37DD" w:rsidRDefault="000D1ACA" w:rsidP="0041527A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The timing of iAE assessment should be reported as follows:</w:t>
            </w:r>
          </w:p>
          <w:p w14:paraId="1B4363DC" w14:textId="77777777" w:rsidR="000D1ACA" w:rsidRPr="00DE37DD" w:rsidRDefault="000D1ACA" w:rsidP="0041527A">
            <w:pPr>
              <w:pStyle w:val="Paragrafoelenco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If an iAE is recognized during the surgical procedure, hold a debriefing after the surgical procedure. If an iAE if not recognized during the surgical procedure, report the point at which the iAE became apparent in the postoperative course</w:t>
            </w:r>
          </w:p>
        </w:tc>
        <w:tc>
          <w:tcPr>
            <w:tcW w:w="5876" w:type="dxa"/>
            <w:vAlign w:val="center"/>
          </w:tcPr>
          <w:p w14:paraId="035ABA01" w14:textId="4E93D0DB" w:rsidR="000D1ACA" w:rsidRPr="00DE37DD" w:rsidRDefault="006F0C52" w:rsidP="0041527A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iAE was recorded in the current study</w:t>
            </w:r>
          </w:p>
        </w:tc>
      </w:tr>
      <w:tr w:rsidR="006F0C52" w:rsidRPr="00DE37DD" w14:paraId="64AF88F6" w14:textId="77777777" w:rsidTr="006F0C52">
        <w:trPr>
          <w:jc w:val="center"/>
        </w:trPr>
        <w:tc>
          <w:tcPr>
            <w:tcW w:w="1147" w:type="dxa"/>
            <w:vAlign w:val="center"/>
          </w:tcPr>
          <w:p w14:paraId="3AA1A885" w14:textId="77777777" w:rsidR="000D1ACA" w:rsidRPr="00DE37DD" w:rsidRDefault="000D1ACA" w:rsidP="00056F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66CAC776" w14:textId="77777777" w:rsidR="000D1ACA" w:rsidRPr="00DE37DD" w:rsidRDefault="000D1ACA" w:rsidP="0041527A">
            <w:pPr>
              <w:pStyle w:val="Paragrafoelenco"/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The management of iAEs should be reported</w:t>
            </w:r>
          </w:p>
        </w:tc>
        <w:tc>
          <w:tcPr>
            <w:tcW w:w="5876" w:type="dxa"/>
            <w:vAlign w:val="center"/>
          </w:tcPr>
          <w:p w14:paraId="0C52EF35" w14:textId="4DD25AC0" w:rsidR="000D1ACA" w:rsidRPr="00DE37DD" w:rsidRDefault="006F0C52" w:rsidP="0041527A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iAE was recorded in the current study</w:t>
            </w:r>
          </w:p>
        </w:tc>
      </w:tr>
      <w:tr w:rsidR="006F0C52" w:rsidRPr="00DE37DD" w14:paraId="63720E24" w14:textId="77777777" w:rsidTr="006F0C52">
        <w:trPr>
          <w:jc w:val="center"/>
        </w:trPr>
        <w:tc>
          <w:tcPr>
            <w:tcW w:w="1147" w:type="dxa"/>
            <w:vAlign w:val="center"/>
          </w:tcPr>
          <w:p w14:paraId="3D2634DC" w14:textId="4E8D8E54" w:rsidR="006F0C52" w:rsidRPr="00DE37DD" w:rsidRDefault="006F0C52" w:rsidP="006F0C5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7DC6C08C" w14:textId="77777777" w:rsidR="006F0C52" w:rsidRPr="00DE37DD" w:rsidRDefault="006F0C52" w:rsidP="006F0C52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Report the clinical consequences of a given iAE in the postoperative course as follow:</w:t>
            </w:r>
          </w:p>
          <w:p w14:paraId="4CD5B8E3" w14:textId="77777777" w:rsidR="006F0C52" w:rsidRPr="00DE37DD" w:rsidRDefault="006F0C52" w:rsidP="006F0C52">
            <w:pPr>
              <w:autoSpaceDE w:val="0"/>
              <w:autoSpaceDN w:val="0"/>
              <w:adjustRightInd w:val="0"/>
              <w:ind w:left="708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a) Without postoperative sequelae</w:t>
            </w:r>
          </w:p>
          <w:p w14:paraId="3E22CA63" w14:textId="77777777" w:rsidR="006F0C52" w:rsidRPr="00DE37DD" w:rsidRDefault="006F0C52" w:rsidP="006F0C52">
            <w:pPr>
              <w:autoSpaceDE w:val="0"/>
              <w:autoSpaceDN w:val="0"/>
              <w:adjustRightInd w:val="0"/>
              <w:ind w:left="708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b) With nonpermanent postoperative sequelae</w:t>
            </w:r>
          </w:p>
          <w:p w14:paraId="57BAFD59" w14:textId="77777777" w:rsidR="006F0C52" w:rsidRPr="00DE37DD" w:rsidRDefault="006F0C52" w:rsidP="006F0C52">
            <w:pPr>
              <w:autoSpaceDE w:val="0"/>
              <w:autoSpaceDN w:val="0"/>
              <w:adjustRightInd w:val="0"/>
              <w:ind w:left="708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c) With a permanent postoperative sequela</w:t>
            </w:r>
          </w:p>
          <w:p w14:paraId="3B9620D0" w14:textId="77777777" w:rsidR="006F0C52" w:rsidRPr="00DE37DD" w:rsidRDefault="006F0C52" w:rsidP="006F0C52">
            <w:pPr>
              <w:autoSpaceDE w:val="0"/>
              <w:autoSpaceDN w:val="0"/>
              <w:adjustRightInd w:val="0"/>
              <w:ind w:left="708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d) Requiring reoperation</w:t>
            </w:r>
          </w:p>
          <w:p w14:paraId="0975B178" w14:textId="77777777" w:rsidR="006F0C52" w:rsidRPr="00DE37DD" w:rsidRDefault="006F0C52" w:rsidP="006F0C52">
            <w:pPr>
              <w:widowControl w:val="0"/>
              <w:autoSpaceDE w:val="0"/>
              <w:autoSpaceDN w:val="0"/>
              <w:adjustRightInd w:val="0"/>
              <w:ind w:left="708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e) Postoperative death</w:t>
            </w:r>
          </w:p>
        </w:tc>
        <w:tc>
          <w:tcPr>
            <w:tcW w:w="5876" w:type="dxa"/>
            <w:vAlign w:val="center"/>
          </w:tcPr>
          <w:p w14:paraId="0325FD46" w14:textId="6A5708D3" w:rsidR="006F0C52" w:rsidRPr="00DE37DD" w:rsidRDefault="006F0C52" w:rsidP="006F0C52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iAE was recorded in the current study</w:t>
            </w:r>
          </w:p>
        </w:tc>
      </w:tr>
      <w:tr w:rsidR="006F0C52" w:rsidRPr="00DE37DD" w14:paraId="57B4B49B" w14:textId="77777777" w:rsidTr="006F0C52">
        <w:trPr>
          <w:jc w:val="center"/>
        </w:trPr>
        <w:tc>
          <w:tcPr>
            <w:tcW w:w="1147" w:type="dxa"/>
            <w:vAlign w:val="center"/>
          </w:tcPr>
          <w:p w14:paraId="29955F43" w14:textId="77777777" w:rsidR="006F0C52" w:rsidRPr="00DE37DD" w:rsidRDefault="006F0C52" w:rsidP="006F0C5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6215" w:type="dxa"/>
            <w:vAlign w:val="center"/>
          </w:tcPr>
          <w:p w14:paraId="62745232" w14:textId="77777777" w:rsidR="006F0C52" w:rsidRPr="00DE37DD" w:rsidRDefault="006F0C52" w:rsidP="006F0C52">
            <w:pPr>
              <w:pStyle w:val="Paragrafoelenco"/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Report changes to the clinical course that were associated with any iAEs</w:t>
            </w:r>
          </w:p>
        </w:tc>
        <w:tc>
          <w:tcPr>
            <w:tcW w:w="5876" w:type="dxa"/>
            <w:vAlign w:val="center"/>
          </w:tcPr>
          <w:p w14:paraId="23824599" w14:textId="121089BC" w:rsidR="006F0C52" w:rsidRPr="00DE37DD" w:rsidRDefault="006F0C52" w:rsidP="006F0C52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iAE was recorded in the current study</w:t>
            </w:r>
          </w:p>
        </w:tc>
      </w:tr>
    </w:tbl>
    <w:p w14:paraId="4979E539" w14:textId="77777777" w:rsidR="004B4EDD" w:rsidRPr="00DE37DD" w:rsidRDefault="000D1ACA" w:rsidP="008611FA">
      <w:pPr>
        <w:widowControl w:val="0"/>
        <w:autoSpaceDE w:val="0"/>
        <w:autoSpaceDN w:val="0"/>
        <w:adjustRightInd w:val="0"/>
        <w:rPr>
          <w:rFonts w:ascii="Times" w:hAnsi="Times"/>
          <w:b/>
          <w:sz w:val="28"/>
          <w:szCs w:val="28"/>
          <w:lang w:val="en-GB"/>
        </w:rPr>
      </w:pPr>
      <w:r w:rsidRPr="00DE37DD">
        <w:rPr>
          <w:rFonts w:ascii="Times" w:hAnsi="Times"/>
          <w:b/>
          <w:sz w:val="28"/>
          <w:szCs w:val="28"/>
          <w:lang w:val="en-GB"/>
        </w:rPr>
        <w:t xml:space="preserve"> </w:t>
      </w:r>
    </w:p>
    <w:p w14:paraId="2AAFB493" w14:textId="77777777" w:rsidR="004B4EDD" w:rsidRPr="00DE37DD" w:rsidRDefault="004B4EDD" w:rsidP="008611FA">
      <w:pPr>
        <w:widowControl w:val="0"/>
        <w:autoSpaceDE w:val="0"/>
        <w:autoSpaceDN w:val="0"/>
        <w:adjustRightInd w:val="0"/>
        <w:rPr>
          <w:rFonts w:ascii="Times" w:hAnsi="Times"/>
          <w:b/>
          <w:sz w:val="28"/>
          <w:szCs w:val="28"/>
          <w:lang w:val="en-GB"/>
        </w:rPr>
      </w:pPr>
    </w:p>
    <w:p w14:paraId="27B8FE78" w14:textId="77777777" w:rsidR="004B4EDD" w:rsidRPr="00DE37DD" w:rsidRDefault="004B4EDD" w:rsidP="008611FA">
      <w:pPr>
        <w:widowControl w:val="0"/>
        <w:autoSpaceDE w:val="0"/>
        <w:autoSpaceDN w:val="0"/>
        <w:adjustRightInd w:val="0"/>
        <w:rPr>
          <w:rFonts w:ascii="Times" w:hAnsi="Times"/>
          <w:b/>
          <w:sz w:val="28"/>
          <w:szCs w:val="28"/>
          <w:lang w:val="en-GB"/>
        </w:rPr>
      </w:pPr>
    </w:p>
    <w:p w14:paraId="4E38A88E" w14:textId="77777777" w:rsidR="004B4EDD" w:rsidRPr="00DE37DD" w:rsidRDefault="004B4EDD" w:rsidP="008611FA">
      <w:pPr>
        <w:widowControl w:val="0"/>
        <w:autoSpaceDE w:val="0"/>
        <w:autoSpaceDN w:val="0"/>
        <w:adjustRightInd w:val="0"/>
        <w:rPr>
          <w:rFonts w:ascii="Times" w:hAnsi="Times"/>
          <w:b/>
          <w:sz w:val="28"/>
          <w:szCs w:val="28"/>
          <w:lang w:val="en-GB"/>
        </w:rPr>
      </w:pPr>
    </w:p>
    <w:p w14:paraId="26AE010D" w14:textId="77777777" w:rsidR="006F0C52" w:rsidRPr="00DE37DD" w:rsidRDefault="006F0C52" w:rsidP="008611FA">
      <w:pPr>
        <w:widowControl w:val="0"/>
        <w:autoSpaceDE w:val="0"/>
        <w:autoSpaceDN w:val="0"/>
        <w:adjustRightInd w:val="0"/>
        <w:rPr>
          <w:rFonts w:ascii="Times" w:hAnsi="Times"/>
          <w:b/>
          <w:sz w:val="28"/>
          <w:szCs w:val="28"/>
          <w:lang w:val="en-GB"/>
        </w:rPr>
      </w:pPr>
    </w:p>
    <w:p w14:paraId="216DE3EC" w14:textId="77777777" w:rsidR="004B4EDD" w:rsidRPr="00DE37DD" w:rsidRDefault="004B4EDD" w:rsidP="008611FA">
      <w:pPr>
        <w:widowControl w:val="0"/>
        <w:autoSpaceDE w:val="0"/>
        <w:autoSpaceDN w:val="0"/>
        <w:adjustRightInd w:val="0"/>
        <w:rPr>
          <w:rFonts w:ascii="Times" w:hAnsi="Times"/>
          <w:b/>
          <w:sz w:val="28"/>
          <w:szCs w:val="28"/>
          <w:lang w:val="en-GB"/>
        </w:rPr>
      </w:pPr>
    </w:p>
    <w:p w14:paraId="37F11C80" w14:textId="6EA740CD" w:rsidR="008611FA" w:rsidRPr="00DE37DD" w:rsidRDefault="008611FA" w:rsidP="008611FA">
      <w:pPr>
        <w:widowControl w:val="0"/>
        <w:autoSpaceDE w:val="0"/>
        <w:autoSpaceDN w:val="0"/>
        <w:adjustRightInd w:val="0"/>
        <w:rPr>
          <w:rFonts w:ascii="Times" w:hAnsi="Times"/>
          <w:b/>
          <w:sz w:val="28"/>
          <w:szCs w:val="28"/>
          <w:lang w:val="en-GB"/>
        </w:rPr>
      </w:pPr>
      <w:r w:rsidRPr="00DE37DD">
        <w:rPr>
          <w:rFonts w:ascii="Times" w:hAnsi="Times"/>
          <w:b/>
          <w:sz w:val="28"/>
          <w:szCs w:val="28"/>
          <w:lang w:val="en-GB"/>
        </w:rPr>
        <w:lastRenderedPageBreak/>
        <w:t xml:space="preserve">Supplementary Table </w:t>
      </w:r>
      <w:r w:rsidR="000D1ACA" w:rsidRPr="00DE37DD">
        <w:rPr>
          <w:rFonts w:ascii="Times" w:hAnsi="Times"/>
          <w:b/>
          <w:sz w:val="28"/>
          <w:szCs w:val="28"/>
          <w:lang w:val="en-GB"/>
        </w:rPr>
        <w:t>2</w:t>
      </w:r>
      <w:r w:rsidRPr="00DE37DD">
        <w:rPr>
          <w:rFonts w:ascii="Times" w:hAnsi="Times"/>
          <w:b/>
          <w:sz w:val="28"/>
          <w:szCs w:val="28"/>
          <w:lang w:val="en-GB"/>
        </w:rPr>
        <w:t xml:space="preserve">: </w:t>
      </w:r>
      <w:r w:rsidRPr="00DE37DD">
        <w:rPr>
          <w:rFonts w:ascii="Times" w:hAnsi="Times"/>
          <w:sz w:val="28"/>
          <w:szCs w:val="28"/>
          <w:lang w:val="en-GB"/>
        </w:rPr>
        <w:t>Quality criteria for accurate and comprehensive reporting of surgical outcome to collect postoperative complications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026"/>
        <w:gridCol w:w="5202"/>
        <w:gridCol w:w="7010"/>
      </w:tblGrid>
      <w:tr w:rsidR="004915E7" w:rsidRPr="00DE37DD" w14:paraId="209E0ECD" w14:textId="77777777" w:rsidTr="0032239F">
        <w:trPr>
          <w:trHeight w:val="586"/>
          <w:jc w:val="center"/>
        </w:trPr>
        <w:tc>
          <w:tcPr>
            <w:tcW w:w="1052" w:type="dxa"/>
            <w:vAlign w:val="center"/>
          </w:tcPr>
          <w:p w14:paraId="6F2C7DE5" w14:textId="3FE1CED5" w:rsidR="004915E7" w:rsidRPr="00DE37DD" w:rsidRDefault="00700C73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b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b/>
                <w:sz w:val="28"/>
                <w:szCs w:val="28"/>
                <w:lang w:val="en-GB"/>
              </w:rPr>
              <w:t>V or X</w:t>
            </w:r>
          </w:p>
        </w:tc>
        <w:tc>
          <w:tcPr>
            <w:tcW w:w="5363" w:type="dxa"/>
            <w:vAlign w:val="center"/>
          </w:tcPr>
          <w:p w14:paraId="37DF1F5C" w14:textId="1F49D992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b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b/>
                <w:sz w:val="28"/>
                <w:szCs w:val="28"/>
                <w:lang w:val="en-GB"/>
              </w:rPr>
              <w:t>Criteria</w:t>
            </w:r>
          </w:p>
        </w:tc>
        <w:tc>
          <w:tcPr>
            <w:tcW w:w="7254" w:type="dxa"/>
            <w:vAlign w:val="center"/>
          </w:tcPr>
          <w:p w14:paraId="05C2E37E" w14:textId="604CCC58" w:rsidR="004915E7" w:rsidRPr="00DE37DD" w:rsidRDefault="0032239F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b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b/>
                <w:sz w:val="28"/>
                <w:szCs w:val="28"/>
                <w:lang w:val="en-GB"/>
              </w:rPr>
              <w:t>Explanation</w:t>
            </w:r>
          </w:p>
        </w:tc>
      </w:tr>
      <w:tr w:rsidR="004915E7" w:rsidRPr="00DE37DD" w14:paraId="7BB81FBE" w14:textId="77777777" w:rsidTr="00700C73">
        <w:trPr>
          <w:jc w:val="center"/>
        </w:trPr>
        <w:tc>
          <w:tcPr>
            <w:tcW w:w="1052" w:type="dxa"/>
            <w:vAlign w:val="center"/>
          </w:tcPr>
          <w:p w14:paraId="61E65BEC" w14:textId="1269C9E6" w:rsidR="004915E7" w:rsidRPr="00DE37DD" w:rsidRDefault="004915E7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6AAA8086" w14:textId="18E69B73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1. Define the method of accruing data</w:t>
            </w:r>
          </w:p>
        </w:tc>
        <w:tc>
          <w:tcPr>
            <w:tcW w:w="7254" w:type="dxa"/>
            <w:vAlign w:val="center"/>
          </w:tcPr>
          <w:p w14:paraId="2A117B68" w14:textId="251B0904" w:rsidR="004915E7" w:rsidRPr="00DE37DD" w:rsidRDefault="006F0C52" w:rsidP="001B286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Prospective</w:t>
            </w:r>
            <w:r w:rsidR="004915E7"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 data collection</w:t>
            </w:r>
          </w:p>
        </w:tc>
      </w:tr>
      <w:tr w:rsidR="004915E7" w:rsidRPr="00DE37DD" w14:paraId="7B3A9F9D" w14:textId="77777777" w:rsidTr="00700C73">
        <w:trPr>
          <w:jc w:val="center"/>
        </w:trPr>
        <w:tc>
          <w:tcPr>
            <w:tcW w:w="1052" w:type="dxa"/>
            <w:vAlign w:val="center"/>
          </w:tcPr>
          <w:p w14:paraId="7BFC379C" w14:textId="7F733C9D" w:rsidR="004915E7" w:rsidRPr="00DE37DD" w:rsidRDefault="004915E7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61A6A97E" w14:textId="5D616212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2. Define who collected the data</w:t>
            </w:r>
          </w:p>
        </w:tc>
        <w:tc>
          <w:tcPr>
            <w:tcW w:w="7254" w:type="dxa"/>
            <w:vAlign w:val="center"/>
          </w:tcPr>
          <w:p w14:paraId="51C12F26" w14:textId="3ADDBA83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Data were collected by medical doctors who were not involved in the treatment</w:t>
            </w:r>
          </w:p>
        </w:tc>
      </w:tr>
      <w:tr w:rsidR="004915E7" w:rsidRPr="00DE37DD" w14:paraId="33252F55" w14:textId="77777777" w:rsidTr="00700C73">
        <w:trPr>
          <w:jc w:val="center"/>
        </w:trPr>
        <w:tc>
          <w:tcPr>
            <w:tcW w:w="1052" w:type="dxa"/>
            <w:vAlign w:val="center"/>
          </w:tcPr>
          <w:p w14:paraId="71C66EE2" w14:textId="02E95EDB" w:rsidR="004915E7" w:rsidRPr="00DE37DD" w:rsidRDefault="004915E7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130A4FEF" w14:textId="15EE4B2B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3. Indicate the duration of follow-up</w:t>
            </w:r>
          </w:p>
        </w:tc>
        <w:tc>
          <w:tcPr>
            <w:tcW w:w="7254" w:type="dxa"/>
            <w:vAlign w:val="center"/>
          </w:tcPr>
          <w:p w14:paraId="0DA94E15" w14:textId="6299A660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30 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>days</w:t>
            </w:r>
          </w:p>
        </w:tc>
      </w:tr>
      <w:tr w:rsidR="004915E7" w:rsidRPr="00DE37DD" w14:paraId="03DA2FBD" w14:textId="77777777" w:rsidTr="00700C73">
        <w:trPr>
          <w:jc w:val="center"/>
        </w:trPr>
        <w:tc>
          <w:tcPr>
            <w:tcW w:w="1052" w:type="dxa"/>
            <w:vAlign w:val="center"/>
          </w:tcPr>
          <w:p w14:paraId="55C229E8" w14:textId="3337AAD7" w:rsidR="004915E7" w:rsidRPr="00DE37DD" w:rsidRDefault="006F0C52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X</w:t>
            </w:r>
          </w:p>
        </w:tc>
        <w:tc>
          <w:tcPr>
            <w:tcW w:w="5363" w:type="dxa"/>
            <w:vAlign w:val="center"/>
          </w:tcPr>
          <w:p w14:paraId="34959018" w14:textId="6498D221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4. Include outpatient information</w:t>
            </w:r>
          </w:p>
        </w:tc>
        <w:tc>
          <w:tcPr>
            <w:tcW w:w="7254" w:type="dxa"/>
            <w:vAlign w:val="center"/>
          </w:tcPr>
          <w:p w14:paraId="68C5B5BE" w14:textId="0FF5ED31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Outpatient information were 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not </w:t>
            </w:r>
            <w:r w:rsidRPr="00DE37DD">
              <w:rPr>
                <w:rFonts w:ascii="Times" w:hAnsi="Times"/>
                <w:sz w:val="28"/>
                <w:szCs w:val="28"/>
                <w:lang w:val="en-GB"/>
              </w:rPr>
              <w:t>collected</w:t>
            </w:r>
          </w:p>
        </w:tc>
      </w:tr>
      <w:tr w:rsidR="004915E7" w:rsidRPr="00DE37DD" w14:paraId="4EFFD258" w14:textId="77777777" w:rsidTr="00700C73">
        <w:trPr>
          <w:jc w:val="center"/>
        </w:trPr>
        <w:tc>
          <w:tcPr>
            <w:tcW w:w="1052" w:type="dxa"/>
            <w:vAlign w:val="center"/>
          </w:tcPr>
          <w:p w14:paraId="54380F06" w14:textId="572B3CCA" w:rsidR="004915E7" w:rsidRPr="00DE37DD" w:rsidRDefault="006F0C52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X</w:t>
            </w:r>
          </w:p>
        </w:tc>
        <w:tc>
          <w:tcPr>
            <w:tcW w:w="5363" w:type="dxa"/>
            <w:vAlign w:val="center"/>
          </w:tcPr>
          <w:p w14:paraId="646626D9" w14:textId="14CE9508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5. Include mortality data and causes of death</w:t>
            </w:r>
          </w:p>
        </w:tc>
        <w:tc>
          <w:tcPr>
            <w:tcW w:w="7254" w:type="dxa"/>
            <w:vAlign w:val="center"/>
          </w:tcPr>
          <w:p w14:paraId="3DED2DB8" w14:textId="102E4B92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Mortality data and cause of death were 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not </w:t>
            </w:r>
            <w:r w:rsidRPr="00DE37DD">
              <w:rPr>
                <w:rFonts w:ascii="Times" w:hAnsi="Times"/>
                <w:sz w:val="28"/>
                <w:szCs w:val="28"/>
                <w:lang w:val="en-GB"/>
              </w:rPr>
              <w:t>collected</w:t>
            </w:r>
          </w:p>
        </w:tc>
      </w:tr>
      <w:tr w:rsidR="004915E7" w:rsidRPr="00DE37DD" w14:paraId="043AC24A" w14:textId="77777777" w:rsidTr="00700C73">
        <w:trPr>
          <w:jc w:val="center"/>
        </w:trPr>
        <w:tc>
          <w:tcPr>
            <w:tcW w:w="1052" w:type="dxa"/>
            <w:vAlign w:val="center"/>
          </w:tcPr>
          <w:p w14:paraId="2F71E3AB" w14:textId="00CBFE02" w:rsidR="004915E7" w:rsidRPr="00DE37DD" w:rsidRDefault="004915E7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47356664" w14:textId="05A53F16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6. Include definitions of complications</w:t>
            </w:r>
          </w:p>
        </w:tc>
        <w:tc>
          <w:tcPr>
            <w:tcW w:w="7254" w:type="dxa"/>
            <w:vAlign w:val="center"/>
          </w:tcPr>
          <w:p w14:paraId="66A5DDCC" w14:textId="77777777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Complications were defined as any deviation from the ideal postoperative course</w:t>
            </w:r>
          </w:p>
        </w:tc>
      </w:tr>
      <w:tr w:rsidR="004915E7" w:rsidRPr="00DE37DD" w14:paraId="1C096071" w14:textId="77777777" w:rsidTr="00700C73">
        <w:trPr>
          <w:jc w:val="center"/>
        </w:trPr>
        <w:tc>
          <w:tcPr>
            <w:tcW w:w="1052" w:type="dxa"/>
            <w:vAlign w:val="center"/>
          </w:tcPr>
          <w:p w14:paraId="5E609357" w14:textId="5CD630AB" w:rsidR="004915E7" w:rsidRPr="00DE37DD" w:rsidRDefault="00DF6088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5D3C48ED" w14:textId="3F37E532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7. Define procedure-specific complications</w:t>
            </w:r>
          </w:p>
        </w:tc>
        <w:tc>
          <w:tcPr>
            <w:tcW w:w="7254" w:type="dxa"/>
            <w:vAlign w:val="center"/>
          </w:tcPr>
          <w:p w14:paraId="6CC6A734" w14:textId="3E233134" w:rsidR="004915E7" w:rsidRPr="00DE37DD" w:rsidRDefault="006F0C52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Complications directly related to surgery were specifically reported.</w:t>
            </w:r>
          </w:p>
        </w:tc>
      </w:tr>
      <w:tr w:rsidR="004915E7" w:rsidRPr="00DE37DD" w14:paraId="5FCD9340" w14:textId="77777777" w:rsidTr="00700C73">
        <w:trPr>
          <w:jc w:val="center"/>
        </w:trPr>
        <w:tc>
          <w:tcPr>
            <w:tcW w:w="1052" w:type="dxa"/>
            <w:vAlign w:val="center"/>
          </w:tcPr>
          <w:p w14:paraId="6379F092" w14:textId="028D3479" w:rsidR="004915E7" w:rsidRPr="00DE37DD" w:rsidRDefault="00B90C8C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2EC58DEB" w14:textId="3A016B30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8. Report intraoperative and postoperative complications separately</w:t>
            </w:r>
          </w:p>
        </w:tc>
        <w:tc>
          <w:tcPr>
            <w:tcW w:w="7254" w:type="dxa"/>
            <w:vAlign w:val="center"/>
          </w:tcPr>
          <w:p w14:paraId="6BE2330E" w14:textId="77777777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Intraoperative and postoperative complications were reported separately</w:t>
            </w:r>
          </w:p>
        </w:tc>
      </w:tr>
      <w:tr w:rsidR="004915E7" w:rsidRPr="00DE37DD" w14:paraId="1FD113A8" w14:textId="77777777" w:rsidTr="00700C73">
        <w:trPr>
          <w:jc w:val="center"/>
        </w:trPr>
        <w:tc>
          <w:tcPr>
            <w:tcW w:w="1052" w:type="dxa"/>
            <w:vAlign w:val="center"/>
          </w:tcPr>
          <w:p w14:paraId="4F97A86F" w14:textId="7E22BA7A" w:rsidR="004915E7" w:rsidRPr="00DE37DD" w:rsidRDefault="00B90C8C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6C96DF21" w14:textId="580EEC9A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9. Use a severity grading system for postoperative complications</w:t>
            </w:r>
          </w:p>
        </w:tc>
        <w:tc>
          <w:tcPr>
            <w:tcW w:w="7254" w:type="dxa"/>
            <w:vAlign w:val="center"/>
          </w:tcPr>
          <w:p w14:paraId="72FAEFDE" w14:textId="77777777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The Clavien-Dindo system was used</w:t>
            </w:r>
          </w:p>
        </w:tc>
      </w:tr>
      <w:tr w:rsidR="004915E7" w:rsidRPr="00DE37DD" w14:paraId="6627E164" w14:textId="77777777" w:rsidTr="00700C73">
        <w:trPr>
          <w:jc w:val="center"/>
        </w:trPr>
        <w:tc>
          <w:tcPr>
            <w:tcW w:w="1052" w:type="dxa"/>
            <w:vAlign w:val="center"/>
          </w:tcPr>
          <w:p w14:paraId="2545CEA9" w14:textId="1558E731" w:rsidR="004915E7" w:rsidRPr="00DE37DD" w:rsidRDefault="00B90C8C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32EBDF2F" w14:textId="08259806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10. Postoperative complications should be presented in a table either by grade or by complication type</w:t>
            </w:r>
          </w:p>
        </w:tc>
        <w:tc>
          <w:tcPr>
            <w:tcW w:w="7254" w:type="dxa"/>
            <w:vAlign w:val="center"/>
          </w:tcPr>
          <w:p w14:paraId="1DDDEF09" w14:textId="228F4AD8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Postoperative complications were presented in a table by 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both </w:t>
            </w:r>
            <w:r w:rsidRPr="00DE37DD">
              <w:rPr>
                <w:rFonts w:ascii="Times" w:hAnsi="Times"/>
                <w:sz w:val="28"/>
                <w:szCs w:val="28"/>
                <w:lang w:val="en-GB"/>
              </w:rPr>
              <w:t>complication type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 and Clavien-Dindo grade.</w:t>
            </w:r>
          </w:p>
        </w:tc>
      </w:tr>
      <w:tr w:rsidR="004915E7" w:rsidRPr="00DE37DD" w14:paraId="22BDB6CB" w14:textId="77777777" w:rsidTr="00700C73">
        <w:trPr>
          <w:jc w:val="center"/>
        </w:trPr>
        <w:tc>
          <w:tcPr>
            <w:tcW w:w="1052" w:type="dxa"/>
            <w:vAlign w:val="center"/>
          </w:tcPr>
          <w:p w14:paraId="1EC6A628" w14:textId="0EA9F994" w:rsidR="004915E7" w:rsidRPr="00DE37DD" w:rsidRDefault="00B90C8C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22FEB137" w14:textId="0215F0E1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11. Include risk factors</w:t>
            </w:r>
          </w:p>
        </w:tc>
        <w:tc>
          <w:tcPr>
            <w:tcW w:w="7254" w:type="dxa"/>
            <w:vAlign w:val="center"/>
          </w:tcPr>
          <w:p w14:paraId="1FE1566F" w14:textId="380B186A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The CCI and ASA score were prospectively collected for all patients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>.</w:t>
            </w:r>
          </w:p>
        </w:tc>
      </w:tr>
      <w:tr w:rsidR="004915E7" w:rsidRPr="00DE37DD" w14:paraId="1186954D" w14:textId="77777777" w:rsidTr="00700C73">
        <w:trPr>
          <w:jc w:val="center"/>
        </w:trPr>
        <w:tc>
          <w:tcPr>
            <w:tcW w:w="1052" w:type="dxa"/>
            <w:vAlign w:val="center"/>
          </w:tcPr>
          <w:p w14:paraId="658D8118" w14:textId="29D84DC7" w:rsidR="004915E7" w:rsidRPr="00DE37DD" w:rsidRDefault="00B90C8C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631A54BF" w14:textId="45E10BC6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12. Include readmissions and causes</w:t>
            </w:r>
          </w:p>
        </w:tc>
        <w:tc>
          <w:tcPr>
            <w:tcW w:w="7254" w:type="dxa"/>
            <w:vAlign w:val="center"/>
          </w:tcPr>
          <w:p w14:paraId="04321CC6" w14:textId="54349AF9" w:rsidR="004915E7" w:rsidRPr="00DE37DD" w:rsidRDefault="000D7921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Four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 readmission</w:t>
            </w:r>
            <w:r w:rsidRPr="00DE37DD">
              <w:rPr>
                <w:rFonts w:ascii="Times" w:hAnsi="Times"/>
                <w:sz w:val="28"/>
                <w:szCs w:val="28"/>
                <w:lang w:val="en-GB"/>
              </w:rPr>
              <w:t>s (2.9%)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 w</w:t>
            </w:r>
            <w:r w:rsidRPr="00DE37DD">
              <w:rPr>
                <w:rFonts w:ascii="Times" w:hAnsi="Times"/>
                <w:sz w:val="28"/>
                <w:szCs w:val="28"/>
                <w:lang w:val="en-GB"/>
              </w:rPr>
              <w:t>ere</w:t>
            </w:r>
            <w:r w:rsidR="006F0C52"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 recorded during the study period.</w:t>
            </w:r>
          </w:p>
        </w:tc>
      </w:tr>
      <w:tr w:rsidR="004915E7" w:rsidRPr="00DE37DD" w14:paraId="44C88F79" w14:textId="77777777" w:rsidTr="00700C73">
        <w:trPr>
          <w:jc w:val="center"/>
        </w:trPr>
        <w:tc>
          <w:tcPr>
            <w:tcW w:w="1052" w:type="dxa"/>
            <w:vAlign w:val="center"/>
          </w:tcPr>
          <w:p w14:paraId="5977F7E8" w14:textId="7AC04B75" w:rsidR="004915E7" w:rsidRPr="00DE37DD" w:rsidRDefault="006F0C52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731A5561" w14:textId="009E7194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13. Include reoperations, types and causes</w:t>
            </w:r>
          </w:p>
        </w:tc>
        <w:tc>
          <w:tcPr>
            <w:tcW w:w="7254" w:type="dxa"/>
            <w:vAlign w:val="center"/>
          </w:tcPr>
          <w:p w14:paraId="544A6319" w14:textId="2878B7EA" w:rsidR="004915E7" w:rsidRPr="00DE37DD" w:rsidRDefault="006F0C52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reoperation was recorded during the study period.</w:t>
            </w:r>
          </w:p>
        </w:tc>
      </w:tr>
      <w:tr w:rsidR="004915E7" w:rsidRPr="00DE37DD" w14:paraId="7A4289FD" w14:textId="77777777" w:rsidTr="00700C73">
        <w:trPr>
          <w:jc w:val="center"/>
        </w:trPr>
        <w:tc>
          <w:tcPr>
            <w:tcW w:w="1052" w:type="dxa"/>
            <w:vAlign w:val="center"/>
          </w:tcPr>
          <w:p w14:paraId="279FC8EA" w14:textId="49894BE9" w:rsidR="004915E7" w:rsidRPr="00DE37DD" w:rsidRDefault="00B90C8C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V</w:t>
            </w:r>
          </w:p>
        </w:tc>
        <w:tc>
          <w:tcPr>
            <w:tcW w:w="5363" w:type="dxa"/>
            <w:vAlign w:val="center"/>
          </w:tcPr>
          <w:p w14:paraId="5D34E32E" w14:textId="6A6E6183" w:rsidR="004915E7" w:rsidRPr="00DE37DD" w:rsidRDefault="004915E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14. Include the percentage of patients lost to follow-up</w:t>
            </w:r>
          </w:p>
        </w:tc>
        <w:tc>
          <w:tcPr>
            <w:tcW w:w="7254" w:type="dxa"/>
            <w:vAlign w:val="center"/>
          </w:tcPr>
          <w:p w14:paraId="50FC4DD3" w14:textId="4F3B64CE" w:rsidR="004915E7" w:rsidRPr="00DE37DD" w:rsidRDefault="00E85B87" w:rsidP="001B2863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No patient was lost to follow-up.</w:t>
            </w:r>
            <w:r w:rsidR="004915E7" w:rsidRPr="00DE37DD">
              <w:rPr>
                <w:rFonts w:ascii="Times" w:hAnsi="Times"/>
                <w:sz w:val="28"/>
                <w:szCs w:val="28"/>
                <w:lang w:val="en-GB"/>
              </w:rPr>
              <w:t xml:space="preserve"> </w:t>
            </w:r>
          </w:p>
        </w:tc>
      </w:tr>
      <w:tr w:rsidR="00EE3052" w:rsidRPr="00DE37DD" w14:paraId="5D5F3B2D" w14:textId="77777777" w:rsidTr="00700C73">
        <w:trPr>
          <w:jc w:val="center"/>
        </w:trPr>
        <w:tc>
          <w:tcPr>
            <w:tcW w:w="13669" w:type="dxa"/>
            <w:gridSpan w:val="3"/>
            <w:vAlign w:val="center"/>
          </w:tcPr>
          <w:p w14:paraId="396E73DA" w14:textId="6EE65D69" w:rsidR="00EE3052" w:rsidRPr="00DE37DD" w:rsidRDefault="00EE3052" w:rsidP="003223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28"/>
                <w:szCs w:val="28"/>
                <w:lang w:val="en-GB"/>
              </w:rPr>
            </w:pPr>
            <w:r w:rsidRPr="00DE37DD">
              <w:rPr>
                <w:rFonts w:ascii="Times" w:hAnsi="Times"/>
                <w:sz w:val="28"/>
                <w:szCs w:val="28"/>
                <w:lang w:val="en-GB"/>
              </w:rPr>
              <w:t>Legend: CCI = Charlson Comorbidity-index; ASA = American Society of Anesthesiologists score</w:t>
            </w:r>
          </w:p>
        </w:tc>
      </w:tr>
    </w:tbl>
    <w:p w14:paraId="75CADD69" w14:textId="77777777" w:rsidR="007E286A" w:rsidRPr="00DE37DD" w:rsidRDefault="007E286A" w:rsidP="00162525">
      <w:pPr>
        <w:rPr>
          <w:lang w:val="en-GB"/>
        </w:rPr>
      </w:pPr>
    </w:p>
    <w:sectPr w:rsidR="007E286A" w:rsidRPr="00DE37DD" w:rsidSect="00470B34">
      <w:type w:val="continuous"/>
      <w:pgSz w:w="16848" w:h="11952" w:orient="landscape"/>
      <w:pgMar w:top="1440" w:right="1440" w:bottom="547" w:left="1440" w:header="720" w:footer="720" w:gutter="72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2BA0D1" w14:textId="77777777" w:rsidR="00831B14" w:rsidRDefault="00831B14" w:rsidP="00320E95">
      <w:r>
        <w:separator/>
      </w:r>
    </w:p>
  </w:endnote>
  <w:endnote w:type="continuationSeparator" w:id="0">
    <w:p w14:paraId="000BA0EB" w14:textId="77777777" w:rsidR="00831B14" w:rsidRDefault="00831B14" w:rsidP="00320E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imes">
    <w:altName w:val="Times New Roman"/>
    <w:panose1 w:val="020B06040202020202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FBE9DF" w14:textId="77777777" w:rsidR="00831B14" w:rsidRDefault="00831B14" w:rsidP="00320E95">
      <w:r>
        <w:separator/>
      </w:r>
    </w:p>
  </w:footnote>
  <w:footnote w:type="continuationSeparator" w:id="0">
    <w:p w14:paraId="0FAD325E" w14:textId="77777777" w:rsidR="00831B14" w:rsidRDefault="00831B14" w:rsidP="00320E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30020"/>
    <w:multiLevelType w:val="hybridMultilevel"/>
    <w:tmpl w:val="251041DA"/>
    <w:lvl w:ilvl="0" w:tplc="F7B202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925FD"/>
    <w:multiLevelType w:val="multilevel"/>
    <w:tmpl w:val="88F45F08"/>
    <w:lvl w:ilvl="0">
      <w:start w:val="1"/>
      <w:numFmt w:val="decimal"/>
      <w:pStyle w:val="Titolo1"/>
      <w:lvlText w:val="%1."/>
      <w:lvlJc w:val="left"/>
      <w:pPr>
        <w:ind w:left="360" w:hanging="360"/>
      </w:pPr>
    </w:lvl>
    <w:lvl w:ilvl="1">
      <w:start w:val="1"/>
      <w:numFmt w:val="decimal"/>
      <w:pStyle w:val="Titolo2"/>
      <w:lvlText w:val="%1.%2."/>
      <w:lvlJc w:val="left"/>
      <w:pPr>
        <w:ind w:left="792" w:hanging="432"/>
      </w:pPr>
    </w:lvl>
    <w:lvl w:ilvl="2">
      <w:start w:val="1"/>
      <w:numFmt w:val="decimal"/>
      <w:pStyle w:val="Titolo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B882B35"/>
    <w:multiLevelType w:val="multilevel"/>
    <w:tmpl w:val="6F30E7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EFC3234"/>
    <w:multiLevelType w:val="multilevel"/>
    <w:tmpl w:val="0A8631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953710043">
    <w:abstractNumId w:val="2"/>
  </w:num>
  <w:num w:numId="2" w16cid:durableId="924993344">
    <w:abstractNumId w:val="3"/>
  </w:num>
  <w:num w:numId="3" w16cid:durableId="1389110469">
    <w:abstractNumId w:val="1"/>
  </w:num>
  <w:num w:numId="4" w16cid:durableId="340161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79D"/>
    <w:rsid w:val="00007B62"/>
    <w:rsid w:val="00007D33"/>
    <w:rsid w:val="00013B7C"/>
    <w:rsid w:val="00025AC6"/>
    <w:rsid w:val="00035588"/>
    <w:rsid w:val="00036527"/>
    <w:rsid w:val="0005288B"/>
    <w:rsid w:val="00053B64"/>
    <w:rsid w:val="00056FAB"/>
    <w:rsid w:val="00065D3E"/>
    <w:rsid w:val="0006669F"/>
    <w:rsid w:val="00073835"/>
    <w:rsid w:val="000B1B15"/>
    <w:rsid w:val="000B2701"/>
    <w:rsid w:val="000C35E4"/>
    <w:rsid w:val="000D1ACA"/>
    <w:rsid w:val="000D4E41"/>
    <w:rsid w:val="000D7921"/>
    <w:rsid w:val="000E3932"/>
    <w:rsid w:val="000F7D68"/>
    <w:rsid w:val="00103A2E"/>
    <w:rsid w:val="00103B3C"/>
    <w:rsid w:val="0011587D"/>
    <w:rsid w:val="00116E18"/>
    <w:rsid w:val="001261CB"/>
    <w:rsid w:val="001379FE"/>
    <w:rsid w:val="00140A05"/>
    <w:rsid w:val="0015627B"/>
    <w:rsid w:val="001567B6"/>
    <w:rsid w:val="00162525"/>
    <w:rsid w:val="00174FCF"/>
    <w:rsid w:val="0018016B"/>
    <w:rsid w:val="00187E78"/>
    <w:rsid w:val="00194602"/>
    <w:rsid w:val="001C0A13"/>
    <w:rsid w:val="001D28C8"/>
    <w:rsid w:val="001D3873"/>
    <w:rsid w:val="001D75AB"/>
    <w:rsid w:val="001E5CA0"/>
    <w:rsid w:val="001F1A47"/>
    <w:rsid w:val="0020738A"/>
    <w:rsid w:val="00210B16"/>
    <w:rsid w:val="00223760"/>
    <w:rsid w:val="00224B55"/>
    <w:rsid w:val="002339DE"/>
    <w:rsid w:val="002357C0"/>
    <w:rsid w:val="0025291F"/>
    <w:rsid w:val="00271F5F"/>
    <w:rsid w:val="002B2436"/>
    <w:rsid w:val="002B6395"/>
    <w:rsid w:val="002C0EE7"/>
    <w:rsid w:val="002D7237"/>
    <w:rsid w:val="002E71B8"/>
    <w:rsid w:val="00300939"/>
    <w:rsid w:val="00301894"/>
    <w:rsid w:val="00320E95"/>
    <w:rsid w:val="0032239F"/>
    <w:rsid w:val="00333173"/>
    <w:rsid w:val="003540D7"/>
    <w:rsid w:val="0035500D"/>
    <w:rsid w:val="00362E65"/>
    <w:rsid w:val="003730EA"/>
    <w:rsid w:val="0039174E"/>
    <w:rsid w:val="003C4948"/>
    <w:rsid w:val="003C6661"/>
    <w:rsid w:val="003D3A84"/>
    <w:rsid w:val="003D4F31"/>
    <w:rsid w:val="003E3412"/>
    <w:rsid w:val="003F6C9C"/>
    <w:rsid w:val="0041023B"/>
    <w:rsid w:val="00410D70"/>
    <w:rsid w:val="004158F9"/>
    <w:rsid w:val="0042729B"/>
    <w:rsid w:val="004307D3"/>
    <w:rsid w:val="0045186C"/>
    <w:rsid w:val="00452548"/>
    <w:rsid w:val="00457CF1"/>
    <w:rsid w:val="00470B34"/>
    <w:rsid w:val="00472275"/>
    <w:rsid w:val="004739DE"/>
    <w:rsid w:val="004811E3"/>
    <w:rsid w:val="004915E7"/>
    <w:rsid w:val="004A368A"/>
    <w:rsid w:val="004A55D6"/>
    <w:rsid w:val="004B4EDD"/>
    <w:rsid w:val="004C5579"/>
    <w:rsid w:val="004D4AA8"/>
    <w:rsid w:val="004E20A9"/>
    <w:rsid w:val="004F6650"/>
    <w:rsid w:val="005066E9"/>
    <w:rsid w:val="00523DA0"/>
    <w:rsid w:val="00525CEC"/>
    <w:rsid w:val="00540CBC"/>
    <w:rsid w:val="00573F46"/>
    <w:rsid w:val="00576607"/>
    <w:rsid w:val="00584A31"/>
    <w:rsid w:val="005B7069"/>
    <w:rsid w:val="005B71C0"/>
    <w:rsid w:val="005C5399"/>
    <w:rsid w:val="005C5A68"/>
    <w:rsid w:val="005E19D2"/>
    <w:rsid w:val="005E46EB"/>
    <w:rsid w:val="005F2956"/>
    <w:rsid w:val="00603BBE"/>
    <w:rsid w:val="00637EAF"/>
    <w:rsid w:val="00641884"/>
    <w:rsid w:val="00655CE8"/>
    <w:rsid w:val="00657EF9"/>
    <w:rsid w:val="006804E4"/>
    <w:rsid w:val="00687A41"/>
    <w:rsid w:val="0069139C"/>
    <w:rsid w:val="006A7547"/>
    <w:rsid w:val="006B504C"/>
    <w:rsid w:val="006C3A98"/>
    <w:rsid w:val="006C3AA5"/>
    <w:rsid w:val="006D45AC"/>
    <w:rsid w:val="006E4EB4"/>
    <w:rsid w:val="006F0C52"/>
    <w:rsid w:val="006F63F6"/>
    <w:rsid w:val="00700BEC"/>
    <w:rsid w:val="00700C73"/>
    <w:rsid w:val="00710E41"/>
    <w:rsid w:val="00713E72"/>
    <w:rsid w:val="00745969"/>
    <w:rsid w:val="00747CCE"/>
    <w:rsid w:val="007661A1"/>
    <w:rsid w:val="00766E82"/>
    <w:rsid w:val="0076763C"/>
    <w:rsid w:val="00794056"/>
    <w:rsid w:val="007A64E9"/>
    <w:rsid w:val="007B3E96"/>
    <w:rsid w:val="007C3920"/>
    <w:rsid w:val="007D299D"/>
    <w:rsid w:val="007D6F71"/>
    <w:rsid w:val="007E286A"/>
    <w:rsid w:val="007E686F"/>
    <w:rsid w:val="00806717"/>
    <w:rsid w:val="00812D44"/>
    <w:rsid w:val="008307FD"/>
    <w:rsid w:val="00831B14"/>
    <w:rsid w:val="00837B33"/>
    <w:rsid w:val="00845F96"/>
    <w:rsid w:val="008611FA"/>
    <w:rsid w:val="008621D6"/>
    <w:rsid w:val="00862B30"/>
    <w:rsid w:val="00865C29"/>
    <w:rsid w:val="0088018B"/>
    <w:rsid w:val="00897106"/>
    <w:rsid w:val="0089747F"/>
    <w:rsid w:val="008A23BA"/>
    <w:rsid w:val="008B193E"/>
    <w:rsid w:val="008D3463"/>
    <w:rsid w:val="008D4111"/>
    <w:rsid w:val="008E68E5"/>
    <w:rsid w:val="008F1F48"/>
    <w:rsid w:val="00900840"/>
    <w:rsid w:val="00901463"/>
    <w:rsid w:val="00903D3D"/>
    <w:rsid w:val="00932736"/>
    <w:rsid w:val="00941C07"/>
    <w:rsid w:val="00946CB3"/>
    <w:rsid w:val="00947163"/>
    <w:rsid w:val="00955F13"/>
    <w:rsid w:val="00961E7A"/>
    <w:rsid w:val="00972FAE"/>
    <w:rsid w:val="00987369"/>
    <w:rsid w:val="009924A2"/>
    <w:rsid w:val="009A6752"/>
    <w:rsid w:val="009D0308"/>
    <w:rsid w:val="009D2AC1"/>
    <w:rsid w:val="009D5CF8"/>
    <w:rsid w:val="009E1D5D"/>
    <w:rsid w:val="009F3A10"/>
    <w:rsid w:val="009F749D"/>
    <w:rsid w:val="00A04C44"/>
    <w:rsid w:val="00A06F99"/>
    <w:rsid w:val="00A1055B"/>
    <w:rsid w:val="00A107CB"/>
    <w:rsid w:val="00A21727"/>
    <w:rsid w:val="00A30A07"/>
    <w:rsid w:val="00A42E79"/>
    <w:rsid w:val="00A50D55"/>
    <w:rsid w:val="00A5406A"/>
    <w:rsid w:val="00A618F8"/>
    <w:rsid w:val="00A9774F"/>
    <w:rsid w:val="00AA00BB"/>
    <w:rsid w:val="00AB0AB8"/>
    <w:rsid w:val="00AB7903"/>
    <w:rsid w:val="00AC3D59"/>
    <w:rsid w:val="00AC76FA"/>
    <w:rsid w:val="00AD0431"/>
    <w:rsid w:val="00AD1B73"/>
    <w:rsid w:val="00AD4E93"/>
    <w:rsid w:val="00AE1497"/>
    <w:rsid w:val="00AE18EF"/>
    <w:rsid w:val="00AE1BDD"/>
    <w:rsid w:val="00B032B9"/>
    <w:rsid w:val="00B04DBE"/>
    <w:rsid w:val="00B1596F"/>
    <w:rsid w:val="00B30202"/>
    <w:rsid w:val="00B31AFB"/>
    <w:rsid w:val="00B3547C"/>
    <w:rsid w:val="00B3716E"/>
    <w:rsid w:val="00B4149F"/>
    <w:rsid w:val="00B4379D"/>
    <w:rsid w:val="00B45F37"/>
    <w:rsid w:val="00B50081"/>
    <w:rsid w:val="00B66B97"/>
    <w:rsid w:val="00B7583C"/>
    <w:rsid w:val="00B90C8C"/>
    <w:rsid w:val="00B9692C"/>
    <w:rsid w:val="00BA436D"/>
    <w:rsid w:val="00BA49B1"/>
    <w:rsid w:val="00BB1E3F"/>
    <w:rsid w:val="00BB378B"/>
    <w:rsid w:val="00BB6AB7"/>
    <w:rsid w:val="00BE19B9"/>
    <w:rsid w:val="00BE219B"/>
    <w:rsid w:val="00BE3BAC"/>
    <w:rsid w:val="00BE6A83"/>
    <w:rsid w:val="00BF06A4"/>
    <w:rsid w:val="00C0085F"/>
    <w:rsid w:val="00C22889"/>
    <w:rsid w:val="00C27329"/>
    <w:rsid w:val="00C31EEB"/>
    <w:rsid w:val="00C34B53"/>
    <w:rsid w:val="00C616CB"/>
    <w:rsid w:val="00C9159D"/>
    <w:rsid w:val="00C93D75"/>
    <w:rsid w:val="00CA1FF3"/>
    <w:rsid w:val="00CA24CA"/>
    <w:rsid w:val="00CA2FC1"/>
    <w:rsid w:val="00CA45CE"/>
    <w:rsid w:val="00CC3B20"/>
    <w:rsid w:val="00CD1594"/>
    <w:rsid w:val="00CF0B8C"/>
    <w:rsid w:val="00CF3289"/>
    <w:rsid w:val="00CF3E8C"/>
    <w:rsid w:val="00D02A81"/>
    <w:rsid w:val="00D22841"/>
    <w:rsid w:val="00D37D15"/>
    <w:rsid w:val="00D407CB"/>
    <w:rsid w:val="00D42D96"/>
    <w:rsid w:val="00D51C06"/>
    <w:rsid w:val="00D56790"/>
    <w:rsid w:val="00D60892"/>
    <w:rsid w:val="00D62C34"/>
    <w:rsid w:val="00D978DE"/>
    <w:rsid w:val="00DC36DF"/>
    <w:rsid w:val="00DD03A0"/>
    <w:rsid w:val="00DE1135"/>
    <w:rsid w:val="00DE37DD"/>
    <w:rsid w:val="00DF1C0C"/>
    <w:rsid w:val="00DF38E3"/>
    <w:rsid w:val="00DF6088"/>
    <w:rsid w:val="00E10877"/>
    <w:rsid w:val="00E17E22"/>
    <w:rsid w:val="00E337AD"/>
    <w:rsid w:val="00E35C76"/>
    <w:rsid w:val="00E52D9C"/>
    <w:rsid w:val="00E5380D"/>
    <w:rsid w:val="00E62760"/>
    <w:rsid w:val="00E7166C"/>
    <w:rsid w:val="00E801EA"/>
    <w:rsid w:val="00E85B87"/>
    <w:rsid w:val="00E867EB"/>
    <w:rsid w:val="00E93C20"/>
    <w:rsid w:val="00E94212"/>
    <w:rsid w:val="00EA1C92"/>
    <w:rsid w:val="00EA5999"/>
    <w:rsid w:val="00EA5EB0"/>
    <w:rsid w:val="00EB5901"/>
    <w:rsid w:val="00EC2BD8"/>
    <w:rsid w:val="00EE3052"/>
    <w:rsid w:val="00EF6FC4"/>
    <w:rsid w:val="00F12158"/>
    <w:rsid w:val="00F201F5"/>
    <w:rsid w:val="00F2199D"/>
    <w:rsid w:val="00F2222D"/>
    <w:rsid w:val="00F25FE5"/>
    <w:rsid w:val="00F3071D"/>
    <w:rsid w:val="00F3237B"/>
    <w:rsid w:val="00F475C2"/>
    <w:rsid w:val="00F53227"/>
    <w:rsid w:val="00F61BE8"/>
    <w:rsid w:val="00F63DBB"/>
    <w:rsid w:val="00F81D34"/>
    <w:rsid w:val="00F867C4"/>
    <w:rsid w:val="00FA1BD1"/>
    <w:rsid w:val="00FA71D8"/>
    <w:rsid w:val="00FB63E7"/>
    <w:rsid w:val="00FC557F"/>
    <w:rsid w:val="00FE7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263FD2"/>
  <w14:defaultImageDpi w14:val="300"/>
  <w15:docId w15:val="{82A812A4-2F41-F746-AAB1-47BA7D9E8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E219B"/>
    <w:rPr>
      <w:rFonts w:ascii="Times New Roman" w:eastAsia="Times New Roman" w:hAnsi="Times New Roman" w:cs="Times New Roman"/>
      <w:lang w:val="it-IT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62E65"/>
    <w:pPr>
      <w:keepNext/>
      <w:keepLines/>
      <w:numPr>
        <w:numId w:val="3"/>
      </w:numPr>
      <w:pBdr>
        <w:bottom w:val="single" w:sz="4" w:space="1" w:color="auto"/>
      </w:pBdr>
      <w:spacing w:before="480"/>
      <w:outlineLvl w:val="0"/>
    </w:pPr>
    <w:rPr>
      <w:rFonts w:asciiTheme="majorHAnsi" w:eastAsiaTheme="majorEastAsia" w:hAnsiTheme="majorHAnsi" w:cstheme="majorBidi"/>
      <w:b/>
      <w:bCs/>
      <w:sz w:val="32"/>
      <w:szCs w:val="32"/>
      <w:lang w:val="en-US"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62E65"/>
    <w:pPr>
      <w:keepNext/>
      <w:keepLines/>
      <w:numPr>
        <w:ilvl w:val="1"/>
        <w:numId w:val="3"/>
      </w:numPr>
      <w:spacing w:before="200"/>
      <w:outlineLvl w:val="1"/>
    </w:pPr>
    <w:rPr>
      <w:rFonts w:asciiTheme="majorHAnsi" w:eastAsiaTheme="majorEastAsia" w:hAnsiTheme="majorHAnsi" w:cstheme="majorBidi"/>
      <w:b/>
      <w:bCs/>
      <w:sz w:val="26"/>
      <w:szCs w:val="26"/>
      <w:lang w:val="en-US"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62E65"/>
    <w:pPr>
      <w:keepNext/>
      <w:keepLines/>
      <w:numPr>
        <w:ilvl w:val="2"/>
        <w:numId w:val="3"/>
      </w:numPr>
      <w:spacing w:before="200"/>
      <w:outlineLvl w:val="2"/>
    </w:pPr>
    <w:rPr>
      <w:rFonts w:asciiTheme="majorHAnsi" w:eastAsiaTheme="majorEastAsia" w:hAnsiTheme="majorHAnsi" w:cstheme="majorBidi"/>
      <w:b/>
      <w:bCs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Enfasigrassetto1">
    <w:name w:val="Enfasi (grassetto)1"/>
    <w:basedOn w:val="Carpredefinitoparagrafo"/>
    <w:uiPriority w:val="1"/>
    <w:qFormat/>
    <w:rsid w:val="007B3E96"/>
    <w:rPr>
      <w:b/>
    </w:rPr>
  </w:style>
  <w:style w:type="paragraph" w:customStyle="1" w:styleId="centered">
    <w:name w:val="centered"/>
    <w:basedOn w:val="Normale"/>
    <w:qFormat/>
    <w:rsid w:val="001D75AB"/>
    <w:pPr>
      <w:jc w:val="center"/>
    </w:pPr>
    <w:rPr>
      <w:rFonts w:asciiTheme="minorHAnsi" w:eastAsiaTheme="minorEastAsia" w:hAnsiTheme="minorHAnsi" w:cstheme="minorBidi"/>
      <w:lang w:val="en-US" w:eastAsia="en-US"/>
    </w:rPr>
  </w:style>
  <w:style w:type="table" w:customStyle="1" w:styleId="tabletemplate">
    <w:name w:val="table_template"/>
    <w:basedOn w:val="Tabellanormale"/>
    <w:uiPriority w:val="59"/>
    <w:rsid w:val="00F12158"/>
    <w:pPr>
      <w:jc w:val="right"/>
    </w:pPr>
    <w:tblPr>
      <w:jc w:val="center"/>
      <w:tblBorders>
        <w:top w:val="single" w:sz="8" w:space="0" w:color="auto"/>
        <w:bottom w:val="single" w:sz="8" w:space="0" w:color="auto"/>
        <w:insideH w:val="single" w:sz="8" w:space="0" w:color="auto"/>
      </w:tblBorders>
    </w:tblPr>
    <w:trPr>
      <w:jc w:val="center"/>
    </w:trPr>
    <w:tblStylePr w:type="firstRow">
      <w:rPr>
        <w:b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Elencochiaro-Colore2">
    <w:name w:val="Light List Accent 2"/>
    <w:basedOn w:val="Tabellanormale"/>
    <w:uiPriority w:val="61"/>
    <w:rsid w:val="00FC557F"/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customStyle="1" w:styleId="Titolo1Carattere">
    <w:name w:val="Titolo 1 Carattere"/>
    <w:basedOn w:val="Carpredefinitoparagrafo"/>
    <w:link w:val="Titolo1"/>
    <w:uiPriority w:val="9"/>
    <w:rsid w:val="00362E65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62E65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62E65"/>
    <w:rPr>
      <w:rFonts w:asciiTheme="majorHAnsi" w:eastAsiaTheme="majorEastAsia" w:hAnsiTheme="majorHAnsi" w:cstheme="majorBidi"/>
      <w:b/>
      <w:bCs/>
    </w:rPr>
  </w:style>
  <w:style w:type="paragraph" w:customStyle="1" w:styleId="ImageCaption">
    <w:name w:val="Image Caption"/>
    <w:basedOn w:val="Normale"/>
    <w:qFormat/>
    <w:rsid w:val="00AE18EF"/>
    <w:pPr>
      <w:jc w:val="center"/>
    </w:pPr>
    <w:rPr>
      <w:rFonts w:asciiTheme="minorHAnsi" w:eastAsiaTheme="minorEastAsia" w:hAnsiTheme="minorHAnsi" w:cstheme="minorBidi"/>
      <w:b/>
      <w:i/>
      <w:lang w:val="en-US" w:eastAsia="en-US"/>
    </w:rPr>
  </w:style>
  <w:style w:type="paragraph" w:customStyle="1" w:styleId="TableCaption">
    <w:name w:val="Table Caption"/>
    <w:basedOn w:val="ImageCaption"/>
    <w:qFormat/>
    <w:rsid w:val="00AE18EF"/>
  </w:style>
  <w:style w:type="table" w:styleId="Tabellaprofessionale">
    <w:name w:val="Table Professional"/>
    <w:basedOn w:val="Tabellanormale"/>
    <w:uiPriority w:val="99"/>
    <w:semiHidden/>
    <w:unhideWhenUsed/>
    <w:rsid w:val="00C31EEB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shd w:val="solid" w:color="000000" w:fill="FFFFFF"/>
      </w:tcPr>
    </w:tblStylePr>
  </w:style>
  <w:style w:type="paragraph" w:styleId="Sommario1">
    <w:name w:val="toc 1"/>
    <w:basedOn w:val="Normale"/>
    <w:next w:val="Normale"/>
    <w:autoRedefine/>
    <w:uiPriority w:val="39"/>
    <w:unhideWhenUsed/>
    <w:rsid w:val="00FB63E7"/>
    <w:pPr>
      <w:spacing w:after="100"/>
    </w:pPr>
    <w:rPr>
      <w:rFonts w:asciiTheme="minorHAnsi" w:eastAsiaTheme="minorEastAsia" w:hAnsiTheme="minorHAnsi" w:cstheme="minorBidi"/>
      <w:lang w:val="en-US" w:eastAsia="en-US"/>
    </w:rPr>
  </w:style>
  <w:style w:type="paragraph" w:styleId="Sommario2">
    <w:name w:val="toc 2"/>
    <w:basedOn w:val="Normale"/>
    <w:next w:val="Normale"/>
    <w:autoRedefine/>
    <w:uiPriority w:val="39"/>
    <w:unhideWhenUsed/>
    <w:rsid w:val="00FB63E7"/>
    <w:pPr>
      <w:spacing w:after="100"/>
      <w:ind w:left="240"/>
    </w:pPr>
    <w:rPr>
      <w:rFonts w:asciiTheme="minorHAnsi" w:eastAsiaTheme="minorEastAsia" w:hAnsiTheme="minorHAnsi" w:cstheme="minorBidi"/>
      <w:lang w:val="en-US"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B63E7"/>
    <w:rPr>
      <w:rFonts w:ascii="Lucida Grande" w:eastAsiaTheme="minorEastAsia" w:hAnsi="Lucida Grande" w:cstheme="minorBidi"/>
      <w:sz w:val="18"/>
      <w:szCs w:val="18"/>
      <w:lang w:val="en-US"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B63E7"/>
    <w:rPr>
      <w:rFonts w:ascii="Lucida Grande" w:hAnsi="Lucida Grande"/>
      <w:sz w:val="18"/>
      <w:szCs w:val="18"/>
    </w:rPr>
  </w:style>
  <w:style w:type="character" w:customStyle="1" w:styleId="referenceid">
    <w:name w:val="reference_id"/>
    <w:basedOn w:val="Carpredefinitoparagrafo"/>
    <w:uiPriority w:val="1"/>
    <w:rsid w:val="00457CF1"/>
    <w:rPr>
      <w:vertAlign w:val="superscript"/>
    </w:rPr>
  </w:style>
  <w:style w:type="paragraph" w:customStyle="1" w:styleId="graphictitle">
    <w:name w:val="graphic title"/>
    <w:basedOn w:val="ImageCaption"/>
    <w:next w:val="Normale"/>
    <w:rsid w:val="0035500D"/>
  </w:style>
  <w:style w:type="paragraph" w:customStyle="1" w:styleId="tabletitle">
    <w:name w:val="table title"/>
    <w:basedOn w:val="TableCaption"/>
    <w:next w:val="Normale"/>
    <w:rsid w:val="00901463"/>
  </w:style>
  <w:style w:type="table" w:styleId="Grigliatabella">
    <w:name w:val="Table Grid"/>
    <w:basedOn w:val="Tabellanormale"/>
    <w:uiPriority w:val="59"/>
    <w:rsid w:val="00E108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chiara">
    <w:name w:val="Grid Table Light"/>
    <w:basedOn w:val="Tabellanormale"/>
    <w:uiPriority w:val="99"/>
    <w:rsid w:val="00A06F99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20E95"/>
    <w:pPr>
      <w:tabs>
        <w:tab w:val="center" w:pos="4819"/>
        <w:tab w:val="right" w:pos="9638"/>
      </w:tabs>
    </w:pPr>
    <w:rPr>
      <w:rFonts w:asciiTheme="minorHAnsi" w:eastAsiaTheme="minorEastAsia" w:hAnsiTheme="minorHAnsi" w:cstheme="minorBidi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0E95"/>
  </w:style>
  <w:style w:type="paragraph" w:styleId="Pidipagina">
    <w:name w:val="footer"/>
    <w:basedOn w:val="Normale"/>
    <w:link w:val="PidipaginaCarattere"/>
    <w:uiPriority w:val="99"/>
    <w:unhideWhenUsed/>
    <w:rsid w:val="00320E95"/>
    <w:pPr>
      <w:tabs>
        <w:tab w:val="center" w:pos="4819"/>
        <w:tab w:val="right" w:pos="9638"/>
      </w:tabs>
    </w:pPr>
    <w:rPr>
      <w:rFonts w:asciiTheme="minorHAnsi" w:eastAsiaTheme="minorEastAsia" w:hAnsiTheme="minorHAnsi" w:cstheme="minorBidi"/>
      <w:lang w:val="en-US"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0E95"/>
  </w:style>
  <w:style w:type="character" w:styleId="Rimandocommento">
    <w:name w:val="annotation reference"/>
    <w:basedOn w:val="Carpredefinitoparagrafo"/>
    <w:uiPriority w:val="99"/>
    <w:semiHidden/>
    <w:unhideWhenUsed/>
    <w:rsid w:val="0069139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9139C"/>
    <w:rPr>
      <w:rFonts w:asciiTheme="minorHAnsi" w:eastAsiaTheme="minorEastAsia" w:hAnsiTheme="minorHAnsi" w:cstheme="minorBidi"/>
      <w:sz w:val="20"/>
      <w:szCs w:val="20"/>
      <w:lang w:val="en-US" w:eastAsia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69139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9139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9139C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300939"/>
  </w:style>
  <w:style w:type="paragraph" w:styleId="Paragrafoelenco">
    <w:name w:val="List Paragraph"/>
    <w:basedOn w:val="Normale"/>
    <w:uiPriority w:val="34"/>
    <w:qFormat/>
    <w:rsid w:val="000F7D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9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6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63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7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1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696</Words>
  <Characters>3973</Characters>
  <Application>Microsoft Office Word</Application>
  <DocSecurity>0</DocSecurity>
  <Lines>33</Lines>
  <Paragraphs>9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Manager/>
  <Company/>
  <LinksUpToDate>false</LinksUpToDate>
  <CharactersWithSpaces>4660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TAPPERO</dc:creator>
  <cp:keywords/>
  <dc:description/>
  <cp:lastModifiedBy>Francesco Prata</cp:lastModifiedBy>
  <cp:revision>3</cp:revision>
  <dcterms:created xsi:type="dcterms:W3CDTF">2025-08-24T16:51:00Z</dcterms:created>
  <dcterms:modified xsi:type="dcterms:W3CDTF">2025-08-24T16:51:00Z</dcterms:modified>
  <cp:category/>
</cp:coreProperties>
</file>