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857046" w14:textId="77777777" w:rsidR="001B2AA2" w:rsidRPr="00724426" w:rsidRDefault="001B2AA2" w:rsidP="00724426">
      <w:pPr>
        <w:jc w:val="both"/>
        <w:rPr>
          <w:rFonts w:eastAsia="Times New Roman" w:cs="Times New Roman"/>
          <w:b/>
          <w:bCs/>
          <w:lang w:val="en-US"/>
          <w14:ligatures w14:val="none"/>
        </w:rPr>
      </w:pPr>
      <w:r w:rsidRPr="00724426">
        <w:rPr>
          <w:rFonts w:eastAsia="Times New Roman" w:cs="Times New Roman"/>
          <w:b/>
          <w:bCs/>
          <w:lang w:val="en-US"/>
          <w14:ligatures w14:val="none"/>
        </w:rPr>
        <w:t>Supplementary material</w:t>
      </w:r>
    </w:p>
    <w:p w14:paraId="1430FB48" w14:textId="77777777" w:rsidR="001B2AA2" w:rsidRPr="00724426" w:rsidRDefault="001B2AA2" w:rsidP="00724426">
      <w:pPr>
        <w:jc w:val="both"/>
        <w:rPr>
          <w:rFonts w:eastAsia="Times New Roman" w:cs="Times New Roman"/>
          <w:b/>
          <w:bCs/>
          <w:lang w:val="en-US"/>
          <w14:ligatures w14:val="none"/>
        </w:rPr>
      </w:pPr>
    </w:p>
    <w:p w14:paraId="3624C86E" w14:textId="77777777" w:rsidR="001B2AA2" w:rsidRPr="00724426" w:rsidRDefault="001B2AA2" w:rsidP="00724426">
      <w:pPr>
        <w:jc w:val="both"/>
        <w:rPr>
          <w:rFonts w:eastAsia="Times New Roman" w:cs="Times New Roman"/>
          <w:b/>
          <w:bCs/>
          <w:lang w:val="en-US"/>
          <w14:ligatures w14:val="none"/>
        </w:rPr>
      </w:pPr>
      <w:r w:rsidRPr="00724426">
        <w:rPr>
          <w:rFonts w:eastAsia="Times New Roman" w:cs="Times New Roman"/>
          <w:b/>
          <w:bCs/>
          <w:lang w:val="en-US"/>
          <w14:ligatures w14:val="none"/>
        </w:rPr>
        <w:t>Supplementary methods</w:t>
      </w:r>
    </w:p>
    <w:p w14:paraId="3C2A048B" w14:textId="77777777" w:rsidR="001B2AA2" w:rsidRPr="00724426" w:rsidRDefault="001B2AA2" w:rsidP="00724426">
      <w:pPr>
        <w:jc w:val="both"/>
        <w:rPr>
          <w:rFonts w:eastAsia="Times New Roman" w:cs="Times New Roman"/>
          <w:b/>
          <w:bCs/>
          <w:lang w:val="en-US"/>
          <w14:ligatures w14:val="none"/>
        </w:rPr>
      </w:pPr>
      <w:r w:rsidRPr="00724426">
        <w:rPr>
          <w:rFonts w:eastAsia="Times New Roman" w:cs="Times New Roman"/>
          <w:b/>
          <w:bCs/>
          <w:lang w:val="en-US"/>
          <w14:ligatures w14:val="none"/>
        </w:rPr>
        <w:t>Statistical analysis</w:t>
      </w:r>
    </w:p>
    <w:p w14:paraId="32FD2782"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 xml:space="preserve">An inverse-probability-treatment-weighted (IPTW) adjusted analysis was applied to compare the impact of EET on risk of 14- and 30-day all-cause mortality after balancing the cohort for variables influencing treatment assignment. The analysis was performed using the treatment effects module implemented in Stata 16.1 Special Edition. </w:t>
      </w:r>
    </w:p>
    <w:p w14:paraId="34E165FE" w14:textId="77777777" w:rsidR="001B2AA2" w:rsidRPr="00724426" w:rsidRDefault="001B2AA2" w:rsidP="00724426">
      <w:pPr>
        <w:autoSpaceDE w:val="0"/>
        <w:autoSpaceDN w:val="0"/>
        <w:jc w:val="both"/>
        <w:rPr>
          <w:rFonts w:eastAsia="Times New Roman" w:cs="Times New Roman"/>
          <w:lang w:val="en-CA"/>
          <w14:ligatures w14:val="none"/>
        </w:rPr>
      </w:pPr>
      <w:r w:rsidRPr="00724426">
        <w:rPr>
          <w:rFonts w:eastAsia="Times New Roman" w:cs="Times New Roman"/>
          <w:lang w:val="en-US"/>
          <w14:ligatures w14:val="none"/>
        </w:rPr>
        <w:t>Hence, the final analysis was balanced in terms of variables influencing assignment to treatment, as follows: each patient’s probability of receiving one treatment or another was determined through a non-parsimonious multivariable logistic regression model (Supplementary Table S1) constructed to estimate each patient’s probability of receiving each therapy (</w:t>
      </w:r>
      <w:proofErr w:type="spellStart"/>
      <w:r w:rsidRPr="00724426">
        <w:rPr>
          <w:rFonts w:eastAsia="Times New Roman" w:cs="Times New Roman"/>
          <w:lang w:val="en-US"/>
          <w14:ligatures w14:val="none"/>
        </w:rPr>
        <w:t>ie</w:t>
      </w:r>
      <w:proofErr w:type="spellEnd"/>
      <w:r w:rsidRPr="00724426">
        <w:rPr>
          <w:rFonts w:eastAsia="Times New Roman" w:cs="Times New Roman"/>
          <w:lang w:val="en-US"/>
          <w14:ligatures w14:val="none"/>
        </w:rPr>
        <w:t>, the propensity score)</w:t>
      </w:r>
      <w:r w:rsidRPr="00724426">
        <w:rPr>
          <w:rFonts w:eastAsia="Times New Roman" w:cs="Times New Roman"/>
          <w:color w:val="000000"/>
          <w:lang w:val="en-US"/>
          <w14:ligatures w14:val="none"/>
        </w:rPr>
        <w:t>[</w:t>
      </w:r>
      <w:r w:rsidRPr="00724426">
        <w:rPr>
          <w:rFonts w:eastAsia="Times New Roman" w:cs="Times New Roman"/>
          <w:lang w:val="en-CA"/>
          <w14:ligatures w14:val="none"/>
        </w:rPr>
        <w:t xml:space="preserve"> Austin PC, Stuart EA. Moving towards best practice when using inverse probability of treatment weighting (IPTW) using the propensity score to estimate causal treatment effects in observational studies. Stat Med </w:t>
      </w:r>
      <w:proofErr w:type="gramStart"/>
      <w:r w:rsidRPr="00724426">
        <w:rPr>
          <w:rFonts w:eastAsia="Times New Roman" w:cs="Times New Roman"/>
          <w:lang w:val="en-CA"/>
          <w14:ligatures w14:val="none"/>
        </w:rPr>
        <w:t>2015;34:3661</w:t>
      </w:r>
      <w:proofErr w:type="gramEnd"/>
      <w:r w:rsidRPr="00724426">
        <w:rPr>
          <w:rFonts w:eastAsia="Times New Roman" w:cs="Times New Roman"/>
          <w:lang w:val="en-CA"/>
          <w14:ligatures w14:val="none"/>
        </w:rPr>
        <w:t>–79. https://doi.org/10.1002/sim.6607].</w:t>
      </w:r>
    </w:p>
    <w:p w14:paraId="46128ADA"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 xml:space="preserve">Stabilized weights (Supplementary Table S2), based on the inverse of the propensity score, were then applied to generate a weighted cohort in which covariate distributions were independent of treatment assignment. Standardized differences were examined to assess balance using a threshold of 10% to indicate clinically meaningful imbalance requiring a further adjustment in outcome analyses </w:t>
      </w:r>
      <w:r w:rsidRPr="00724426">
        <w:rPr>
          <w:rFonts w:eastAsia="Times New Roman" w:cs="Times New Roman"/>
          <w:color w:val="000000"/>
          <w:lang w:val="en-US"/>
          <w14:ligatures w14:val="none"/>
        </w:rPr>
        <w:t>[</w:t>
      </w:r>
      <w:r w:rsidRPr="00724426">
        <w:rPr>
          <w:rFonts w:eastAsia="Times New Roman" w:cs="Times New Roman"/>
          <w:lang w:val="en-CA"/>
          <w14:ligatures w14:val="none"/>
        </w:rPr>
        <w:t xml:space="preserve">Raman G, Avendano E, Berger S, Menon V. Appropriate initial antibiotic therapy in hospitalized patients with gram-negative infections: systematic review and meta-analysis. BMC Infect Dis </w:t>
      </w:r>
      <w:proofErr w:type="gramStart"/>
      <w:r w:rsidRPr="00724426">
        <w:rPr>
          <w:rFonts w:eastAsia="Times New Roman" w:cs="Times New Roman"/>
          <w:lang w:val="en-CA"/>
          <w14:ligatures w14:val="none"/>
        </w:rPr>
        <w:t>2015;15:395</w:t>
      </w:r>
      <w:proofErr w:type="gramEnd"/>
      <w:r w:rsidRPr="00724426">
        <w:rPr>
          <w:rFonts w:eastAsia="Times New Roman" w:cs="Times New Roman"/>
          <w:lang w:val="en-CA"/>
          <w14:ligatures w14:val="none"/>
        </w:rPr>
        <w:t>. https://doi.org/10.1186/s12879-015-1123-5</w:t>
      </w:r>
      <w:r w:rsidRPr="00724426">
        <w:rPr>
          <w:rFonts w:eastAsia="Times New Roman" w:cs="Times New Roman"/>
          <w:color w:val="000000"/>
          <w:lang w:val="en-US"/>
          <w14:ligatures w14:val="none"/>
        </w:rPr>
        <w:t>].</w:t>
      </w:r>
      <w:r w:rsidRPr="00724426">
        <w:rPr>
          <w:rFonts w:eastAsia="Times New Roman" w:cs="Times New Roman"/>
          <w:lang w:val="en-US"/>
          <w14:ligatures w14:val="none"/>
        </w:rPr>
        <w:t xml:space="preserve"> </w:t>
      </w:r>
    </w:p>
    <w:p w14:paraId="5065B545"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 xml:space="preserve">The weighted propensity score distributions were visually inspected and an overidentification test for covariate balance was performed to ensure that the final model and all covariates were balanced between groups, to allow valid comparisons. Similarly, the treatment group was conditioned on covariates that were not optimally balanced after IPTW (standardized difference </w:t>
      </w:r>
      <w:r w:rsidRPr="00724426">
        <w:rPr>
          <w:rFonts w:ascii="Arial" w:eastAsia="Times New Roman" w:hAnsi="Arial" w:cs="Arial"/>
          <w:lang w:val="en-US"/>
          <w14:ligatures w14:val="none"/>
        </w:rPr>
        <w:t>≥</w:t>
      </w:r>
      <w:r w:rsidRPr="00724426">
        <w:rPr>
          <w:rFonts w:eastAsia="Times New Roman" w:cs="Times New Roman"/>
          <w:lang w:val="en-US"/>
          <w14:ligatures w14:val="none"/>
        </w:rPr>
        <w:t>10%). Finally, the IPTW-adjusted Cox regression was computed by taking the average of the difference between the observed and potential outcomes for each patient.</w:t>
      </w:r>
    </w:p>
    <w:p w14:paraId="68E7FD5E"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 xml:space="preserve">In addition, the IPTW-adjusted treatment effect regression was also performed to estimate the potential mortality risk reduction associated with EET. </w:t>
      </w:r>
    </w:p>
    <w:p w14:paraId="26EFEF2B" w14:textId="77777777" w:rsidR="001B2AA2" w:rsidRPr="00724426" w:rsidRDefault="001B2AA2" w:rsidP="00724426">
      <w:pPr>
        <w:jc w:val="both"/>
        <w:rPr>
          <w:rFonts w:eastAsia="Times New Roman" w:cs="Times New Roman"/>
          <w:b/>
          <w:bCs/>
          <w:lang w:val="en-US"/>
          <w14:ligatures w14:val="none"/>
        </w:rPr>
      </w:pPr>
    </w:p>
    <w:p w14:paraId="5DB70D4D" w14:textId="77777777" w:rsidR="001B2AA2" w:rsidRPr="00724426" w:rsidRDefault="001B2AA2" w:rsidP="00724426">
      <w:pPr>
        <w:jc w:val="both"/>
        <w:rPr>
          <w:rFonts w:eastAsia="Times New Roman" w:cs="Times New Roman"/>
          <w:b/>
          <w:bCs/>
          <w:lang w:val="en-US"/>
          <w14:ligatures w14:val="none"/>
        </w:rPr>
      </w:pPr>
    </w:p>
    <w:p w14:paraId="52862427" w14:textId="77777777" w:rsidR="001B2AA2" w:rsidRPr="00724426" w:rsidRDefault="001B2AA2" w:rsidP="00724426">
      <w:pPr>
        <w:jc w:val="both"/>
        <w:rPr>
          <w:rFonts w:eastAsia="Times New Roman" w:cs="Times New Roman"/>
          <w:b/>
          <w:bCs/>
          <w:lang w:val="en-US"/>
          <w14:ligatures w14:val="none"/>
        </w:rPr>
      </w:pPr>
    </w:p>
    <w:p w14:paraId="7F25DC8F" w14:textId="77777777" w:rsidR="001B2AA2" w:rsidRPr="00724426" w:rsidRDefault="001B2AA2" w:rsidP="00724426">
      <w:pPr>
        <w:jc w:val="both"/>
        <w:rPr>
          <w:rFonts w:eastAsia="Times New Roman" w:cs="Times New Roman"/>
          <w:b/>
          <w:bCs/>
          <w:lang w:val="en-US"/>
          <w14:ligatures w14:val="none"/>
        </w:rPr>
      </w:pPr>
      <w:r w:rsidRPr="00724426">
        <w:rPr>
          <w:rFonts w:eastAsia="Times New Roman" w:cs="Times New Roman"/>
          <w:b/>
          <w:bCs/>
          <w:lang w:val="en-US"/>
          <w14:ligatures w14:val="none"/>
        </w:rPr>
        <w:br w:type="page"/>
      </w:r>
    </w:p>
    <w:p w14:paraId="6A8B4578" w14:textId="77777777" w:rsidR="001B2AA2" w:rsidRPr="00724426" w:rsidRDefault="001B2AA2" w:rsidP="00724426">
      <w:pPr>
        <w:jc w:val="both"/>
        <w:rPr>
          <w:rFonts w:eastAsia="Times New Roman" w:cs="Times New Roman"/>
          <w:b/>
          <w:bCs/>
          <w:lang w:val="en-US"/>
          <w14:ligatures w14:val="none"/>
        </w:rPr>
      </w:pPr>
      <w:r w:rsidRPr="00724426">
        <w:rPr>
          <w:rFonts w:eastAsia="Times New Roman" w:cs="Times New Roman"/>
          <w:b/>
          <w:bCs/>
          <w:lang w:val="en-US"/>
          <w14:ligatures w14:val="none"/>
        </w:rPr>
        <w:lastRenderedPageBreak/>
        <w:t xml:space="preserve">Supplementary Table S1. Non-parsimonious logistic regression model for predictors of variables influencing administration on active </w:t>
      </w:r>
      <w:proofErr w:type="gramStart"/>
      <w:r w:rsidRPr="00724426">
        <w:rPr>
          <w:rFonts w:eastAsia="Times New Roman" w:cs="Times New Roman"/>
          <w:b/>
          <w:bCs/>
          <w:lang w:val="en-US"/>
          <w14:ligatures w14:val="none"/>
        </w:rPr>
        <w:t>EET</w:t>
      </w:r>
      <w:proofErr w:type="gramEnd"/>
    </w:p>
    <w:p w14:paraId="7BF4FF9B"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 xml:space="preserve"> </w:t>
      </w:r>
    </w:p>
    <w:tbl>
      <w:tblPr>
        <w:tblW w:w="8320" w:type="dxa"/>
        <w:tblCellMar>
          <w:left w:w="70" w:type="dxa"/>
          <w:right w:w="70" w:type="dxa"/>
        </w:tblCellMar>
        <w:tblLook w:val="04A0" w:firstRow="1" w:lastRow="0" w:firstColumn="1" w:lastColumn="0" w:noHBand="0" w:noVBand="1"/>
      </w:tblPr>
      <w:tblGrid>
        <w:gridCol w:w="4820"/>
        <w:gridCol w:w="1040"/>
        <w:gridCol w:w="1500"/>
        <w:gridCol w:w="960"/>
      </w:tblGrid>
      <w:tr w:rsidR="001B2AA2" w:rsidRPr="00724426" w14:paraId="55490AF3" w14:textId="77777777" w:rsidTr="008E4A87">
        <w:trPr>
          <w:trHeight w:val="312"/>
        </w:trPr>
        <w:tc>
          <w:tcPr>
            <w:tcW w:w="4820" w:type="dxa"/>
            <w:tcBorders>
              <w:top w:val="nil"/>
              <w:left w:val="nil"/>
              <w:bottom w:val="single" w:sz="4" w:space="0" w:color="auto"/>
              <w:right w:val="nil"/>
            </w:tcBorders>
            <w:shd w:val="clear" w:color="000000" w:fill="FFFFFF"/>
            <w:noWrap/>
            <w:vAlign w:val="center"/>
            <w:hideMark/>
          </w:tcPr>
          <w:p w14:paraId="00FED68C" w14:textId="77777777" w:rsidR="001B2AA2" w:rsidRPr="00724426" w:rsidRDefault="001B2AA2" w:rsidP="00724426">
            <w:pPr>
              <w:spacing w:after="0" w:line="240" w:lineRule="auto"/>
              <w:jc w:val="both"/>
              <w:rPr>
                <w:rFonts w:ascii="Times New Roman" w:eastAsia="Times New Roman" w:hAnsi="Times New Roman" w:cs="Times New Roman"/>
                <w:b/>
                <w:bCs/>
                <w:color w:val="000000"/>
                <w:kern w:val="0"/>
                <w:lang w:val="en-US" w:eastAsia="it-IT"/>
                <w14:ligatures w14:val="none"/>
              </w:rPr>
            </w:pPr>
            <w:r w:rsidRPr="00724426">
              <w:rPr>
                <w:rFonts w:ascii="Times New Roman" w:eastAsia="Times New Roman" w:hAnsi="Times New Roman" w:cs="Times New Roman"/>
                <w:b/>
                <w:bCs/>
                <w:color w:val="000000"/>
                <w:kern w:val="0"/>
                <w:lang w:val="en-US" w:eastAsia="it-IT"/>
                <w14:ligatures w14:val="none"/>
              </w:rPr>
              <w:t>Variables</w:t>
            </w:r>
          </w:p>
        </w:tc>
        <w:tc>
          <w:tcPr>
            <w:tcW w:w="1040" w:type="dxa"/>
            <w:tcBorders>
              <w:top w:val="nil"/>
              <w:left w:val="nil"/>
              <w:bottom w:val="single" w:sz="4" w:space="0" w:color="auto"/>
              <w:right w:val="nil"/>
            </w:tcBorders>
            <w:shd w:val="clear" w:color="000000" w:fill="FFFFFF"/>
            <w:noWrap/>
            <w:vAlign w:val="center"/>
            <w:hideMark/>
          </w:tcPr>
          <w:p w14:paraId="4B796870" w14:textId="77777777" w:rsidR="001B2AA2" w:rsidRPr="00724426" w:rsidRDefault="001B2AA2" w:rsidP="00724426">
            <w:pPr>
              <w:spacing w:after="0" w:line="240" w:lineRule="auto"/>
              <w:jc w:val="both"/>
              <w:rPr>
                <w:rFonts w:ascii="Times New Roman" w:eastAsia="Times New Roman" w:hAnsi="Times New Roman" w:cs="Times New Roman"/>
                <w:b/>
                <w:bCs/>
                <w:color w:val="000000"/>
                <w:kern w:val="0"/>
                <w:lang w:val="en-US" w:eastAsia="it-IT"/>
                <w14:ligatures w14:val="none"/>
              </w:rPr>
            </w:pPr>
            <w:proofErr w:type="spellStart"/>
            <w:r w:rsidRPr="00724426">
              <w:rPr>
                <w:rFonts w:ascii="Times New Roman" w:eastAsia="Times New Roman" w:hAnsi="Times New Roman" w:cs="Times New Roman"/>
                <w:b/>
                <w:bCs/>
                <w:color w:val="000000"/>
                <w:kern w:val="0"/>
                <w:lang w:val="en-US" w:eastAsia="it-IT"/>
                <w14:ligatures w14:val="none"/>
              </w:rPr>
              <w:t>aOR</w:t>
            </w:r>
            <w:proofErr w:type="spellEnd"/>
          </w:p>
        </w:tc>
        <w:tc>
          <w:tcPr>
            <w:tcW w:w="1500" w:type="dxa"/>
            <w:tcBorders>
              <w:top w:val="nil"/>
              <w:left w:val="nil"/>
              <w:bottom w:val="single" w:sz="4" w:space="0" w:color="auto"/>
              <w:right w:val="nil"/>
            </w:tcBorders>
            <w:shd w:val="clear" w:color="000000" w:fill="FFFFFF"/>
            <w:noWrap/>
            <w:vAlign w:val="center"/>
            <w:hideMark/>
          </w:tcPr>
          <w:p w14:paraId="0BA877A5" w14:textId="77777777" w:rsidR="001B2AA2" w:rsidRPr="00724426" w:rsidRDefault="001B2AA2" w:rsidP="00724426">
            <w:pPr>
              <w:spacing w:after="0" w:line="240" w:lineRule="auto"/>
              <w:jc w:val="both"/>
              <w:rPr>
                <w:rFonts w:ascii="Times New Roman" w:eastAsia="Times New Roman" w:hAnsi="Times New Roman" w:cs="Times New Roman"/>
                <w:b/>
                <w:bCs/>
                <w:color w:val="000000"/>
                <w:kern w:val="0"/>
                <w:lang w:val="en-US" w:eastAsia="it-IT"/>
                <w14:ligatures w14:val="none"/>
              </w:rPr>
            </w:pPr>
            <w:r w:rsidRPr="00724426">
              <w:rPr>
                <w:rFonts w:ascii="Times New Roman" w:eastAsia="Times New Roman" w:hAnsi="Times New Roman" w:cs="Times New Roman"/>
                <w:b/>
                <w:bCs/>
                <w:color w:val="000000"/>
                <w:kern w:val="0"/>
                <w:lang w:val="en-US" w:eastAsia="it-IT"/>
                <w14:ligatures w14:val="none"/>
              </w:rPr>
              <w:t>95%CI</w:t>
            </w:r>
          </w:p>
        </w:tc>
        <w:tc>
          <w:tcPr>
            <w:tcW w:w="960" w:type="dxa"/>
            <w:tcBorders>
              <w:top w:val="nil"/>
              <w:left w:val="nil"/>
              <w:bottom w:val="single" w:sz="4" w:space="0" w:color="auto"/>
              <w:right w:val="nil"/>
            </w:tcBorders>
            <w:shd w:val="clear" w:color="000000" w:fill="FFFFFF"/>
            <w:noWrap/>
            <w:vAlign w:val="center"/>
            <w:hideMark/>
          </w:tcPr>
          <w:p w14:paraId="5902A38C" w14:textId="77777777" w:rsidR="001B2AA2" w:rsidRPr="00724426" w:rsidRDefault="001B2AA2" w:rsidP="00724426">
            <w:pPr>
              <w:spacing w:after="0" w:line="240" w:lineRule="auto"/>
              <w:jc w:val="both"/>
              <w:rPr>
                <w:rFonts w:ascii="Times New Roman" w:eastAsia="Times New Roman" w:hAnsi="Times New Roman" w:cs="Times New Roman"/>
                <w:b/>
                <w:bCs/>
                <w:color w:val="000000"/>
                <w:kern w:val="0"/>
                <w:lang w:val="en-US" w:eastAsia="it-IT"/>
                <w14:ligatures w14:val="none"/>
              </w:rPr>
            </w:pPr>
            <w:r w:rsidRPr="00724426">
              <w:rPr>
                <w:rFonts w:ascii="Times New Roman" w:eastAsia="Times New Roman" w:hAnsi="Times New Roman" w:cs="Times New Roman"/>
                <w:b/>
                <w:bCs/>
                <w:color w:val="000000"/>
                <w:kern w:val="0"/>
                <w:lang w:val="en-US" w:eastAsia="it-IT"/>
                <w14:ligatures w14:val="none"/>
              </w:rPr>
              <w:t>p value</w:t>
            </w:r>
          </w:p>
        </w:tc>
      </w:tr>
      <w:tr w:rsidR="001B2AA2" w:rsidRPr="00724426" w14:paraId="77850AB1" w14:textId="77777777" w:rsidTr="008E4A87">
        <w:trPr>
          <w:trHeight w:val="288"/>
        </w:trPr>
        <w:tc>
          <w:tcPr>
            <w:tcW w:w="4820" w:type="dxa"/>
            <w:tcBorders>
              <w:top w:val="nil"/>
              <w:left w:val="nil"/>
              <w:bottom w:val="nil"/>
              <w:right w:val="nil"/>
            </w:tcBorders>
            <w:noWrap/>
            <w:vAlign w:val="bottom"/>
            <w:hideMark/>
          </w:tcPr>
          <w:p w14:paraId="6E35E4FD"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Demographics</w:t>
            </w:r>
          </w:p>
        </w:tc>
        <w:tc>
          <w:tcPr>
            <w:tcW w:w="1040" w:type="dxa"/>
            <w:tcBorders>
              <w:top w:val="nil"/>
              <w:left w:val="nil"/>
              <w:bottom w:val="nil"/>
              <w:right w:val="nil"/>
            </w:tcBorders>
            <w:noWrap/>
            <w:vAlign w:val="center"/>
            <w:hideMark/>
          </w:tcPr>
          <w:p w14:paraId="249EC083"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p>
        </w:tc>
        <w:tc>
          <w:tcPr>
            <w:tcW w:w="1500" w:type="dxa"/>
            <w:tcBorders>
              <w:top w:val="nil"/>
              <w:left w:val="nil"/>
              <w:bottom w:val="nil"/>
              <w:right w:val="nil"/>
            </w:tcBorders>
            <w:noWrap/>
            <w:vAlign w:val="center"/>
            <w:hideMark/>
          </w:tcPr>
          <w:p w14:paraId="794C2C24"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c>
          <w:tcPr>
            <w:tcW w:w="960" w:type="dxa"/>
            <w:tcBorders>
              <w:top w:val="nil"/>
              <w:left w:val="nil"/>
              <w:bottom w:val="nil"/>
              <w:right w:val="nil"/>
            </w:tcBorders>
            <w:noWrap/>
            <w:vAlign w:val="center"/>
            <w:hideMark/>
          </w:tcPr>
          <w:p w14:paraId="7A465703"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r>
      <w:tr w:rsidR="001B2AA2" w:rsidRPr="00724426" w14:paraId="72C3E080" w14:textId="77777777" w:rsidTr="008E4A87">
        <w:trPr>
          <w:trHeight w:val="288"/>
        </w:trPr>
        <w:tc>
          <w:tcPr>
            <w:tcW w:w="4820" w:type="dxa"/>
            <w:tcBorders>
              <w:top w:val="nil"/>
              <w:left w:val="nil"/>
              <w:bottom w:val="nil"/>
              <w:right w:val="nil"/>
            </w:tcBorders>
            <w:vAlign w:val="center"/>
            <w:hideMark/>
          </w:tcPr>
          <w:p w14:paraId="45F82B33"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Male</w:t>
            </w:r>
          </w:p>
        </w:tc>
        <w:tc>
          <w:tcPr>
            <w:tcW w:w="1040" w:type="dxa"/>
            <w:tcBorders>
              <w:top w:val="nil"/>
              <w:left w:val="nil"/>
              <w:bottom w:val="nil"/>
              <w:right w:val="nil"/>
            </w:tcBorders>
            <w:noWrap/>
            <w:vAlign w:val="center"/>
            <w:hideMark/>
          </w:tcPr>
          <w:p w14:paraId="5C9E29F4"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1.19</w:t>
            </w:r>
          </w:p>
        </w:tc>
        <w:tc>
          <w:tcPr>
            <w:tcW w:w="1500" w:type="dxa"/>
            <w:tcBorders>
              <w:top w:val="nil"/>
              <w:left w:val="nil"/>
              <w:bottom w:val="nil"/>
              <w:right w:val="nil"/>
            </w:tcBorders>
            <w:noWrap/>
            <w:vAlign w:val="center"/>
            <w:hideMark/>
          </w:tcPr>
          <w:p w14:paraId="3ABC5B18"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0.87 - 1.63</w:t>
            </w:r>
          </w:p>
        </w:tc>
        <w:tc>
          <w:tcPr>
            <w:tcW w:w="960" w:type="dxa"/>
            <w:tcBorders>
              <w:top w:val="nil"/>
              <w:left w:val="nil"/>
              <w:bottom w:val="nil"/>
              <w:right w:val="nil"/>
            </w:tcBorders>
            <w:noWrap/>
            <w:vAlign w:val="center"/>
            <w:hideMark/>
          </w:tcPr>
          <w:p w14:paraId="66FF7F4F"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0.259</w:t>
            </w:r>
          </w:p>
        </w:tc>
      </w:tr>
      <w:tr w:rsidR="001B2AA2" w:rsidRPr="00724426" w14:paraId="2E33AAC8" w14:textId="77777777" w:rsidTr="008E4A87">
        <w:trPr>
          <w:trHeight w:val="288"/>
        </w:trPr>
        <w:tc>
          <w:tcPr>
            <w:tcW w:w="4820" w:type="dxa"/>
            <w:tcBorders>
              <w:top w:val="nil"/>
              <w:left w:val="nil"/>
              <w:bottom w:val="nil"/>
              <w:right w:val="nil"/>
            </w:tcBorders>
            <w:vAlign w:val="center"/>
            <w:hideMark/>
          </w:tcPr>
          <w:p w14:paraId="5F88706E"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Age, years (per 1 point increase)</w:t>
            </w:r>
          </w:p>
        </w:tc>
        <w:tc>
          <w:tcPr>
            <w:tcW w:w="1040" w:type="dxa"/>
            <w:tcBorders>
              <w:top w:val="nil"/>
              <w:left w:val="nil"/>
              <w:bottom w:val="nil"/>
              <w:right w:val="nil"/>
            </w:tcBorders>
            <w:noWrap/>
            <w:vAlign w:val="center"/>
            <w:hideMark/>
          </w:tcPr>
          <w:p w14:paraId="104E1563"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0.99</w:t>
            </w:r>
          </w:p>
        </w:tc>
        <w:tc>
          <w:tcPr>
            <w:tcW w:w="1500" w:type="dxa"/>
            <w:tcBorders>
              <w:top w:val="nil"/>
              <w:left w:val="nil"/>
              <w:bottom w:val="nil"/>
              <w:right w:val="nil"/>
            </w:tcBorders>
            <w:noWrap/>
            <w:vAlign w:val="center"/>
            <w:hideMark/>
          </w:tcPr>
          <w:p w14:paraId="1E97403F"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0.97 - 1.00</w:t>
            </w:r>
          </w:p>
        </w:tc>
        <w:tc>
          <w:tcPr>
            <w:tcW w:w="960" w:type="dxa"/>
            <w:tcBorders>
              <w:top w:val="nil"/>
              <w:left w:val="nil"/>
              <w:bottom w:val="nil"/>
              <w:right w:val="nil"/>
            </w:tcBorders>
            <w:noWrap/>
            <w:vAlign w:val="center"/>
            <w:hideMark/>
          </w:tcPr>
          <w:p w14:paraId="2B887D17"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0.169</w:t>
            </w:r>
          </w:p>
        </w:tc>
      </w:tr>
      <w:tr w:rsidR="001B2AA2" w:rsidRPr="00724426" w14:paraId="26C1184D" w14:textId="77777777" w:rsidTr="008E4A87">
        <w:trPr>
          <w:trHeight w:val="288"/>
        </w:trPr>
        <w:tc>
          <w:tcPr>
            <w:tcW w:w="4820" w:type="dxa"/>
            <w:tcBorders>
              <w:top w:val="nil"/>
              <w:left w:val="nil"/>
              <w:bottom w:val="nil"/>
              <w:right w:val="nil"/>
            </w:tcBorders>
            <w:vAlign w:val="center"/>
            <w:hideMark/>
          </w:tcPr>
          <w:p w14:paraId="0F2B82D1"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Charlson comorbidity index (per 1 point increase)</w:t>
            </w:r>
          </w:p>
        </w:tc>
        <w:tc>
          <w:tcPr>
            <w:tcW w:w="1040" w:type="dxa"/>
            <w:tcBorders>
              <w:top w:val="nil"/>
              <w:left w:val="nil"/>
              <w:bottom w:val="nil"/>
              <w:right w:val="nil"/>
            </w:tcBorders>
            <w:noWrap/>
            <w:vAlign w:val="center"/>
            <w:hideMark/>
          </w:tcPr>
          <w:p w14:paraId="13463C55"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1.06</w:t>
            </w:r>
          </w:p>
        </w:tc>
        <w:tc>
          <w:tcPr>
            <w:tcW w:w="1500" w:type="dxa"/>
            <w:tcBorders>
              <w:top w:val="nil"/>
              <w:left w:val="nil"/>
              <w:bottom w:val="nil"/>
              <w:right w:val="nil"/>
            </w:tcBorders>
            <w:noWrap/>
            <w:vAlign w:val="center"/>
            <w:hideMark/>
          </w:tcPr>
          <w:p w14:paraId="08854965"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0.99 - 1.13</w:t>
            </w:r>
          </w:p>
        </w:tc>
        <w:tc>
          <w:tcPr>
            <w:tcW w:w="960" w:type="dxa"/>
            <w:tcBorders>
              <w:top w:val="nil"/>
              <w:left w:val="nil"/>
              <w:bottom w:val="nil"/>
              <w:right w:val="nil"/>
            </w:tcBorders>
            <w:noWrap/>
            <w:vAlign w:val="center"/>
            <w:hideMark/>
          </w:tcPr>
          <w:p w14:paraId="7C5D6A39"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0.053</w:t>
            </w:r>
          </w:p>
        </w:tc>
      </w:tr>
      <w:tr w:rsidR="001B2AA2" w:rsidRPr="00724426" w14:paraId="764975BA" w14:textId="77777777" w:rsidTr="008E4A87">
        <w:trPr>
          <w:trHeight w:val="288"/>
        </w:trPr>
        <w:tc>
          <w:tcPr>
            <w:tcW w:w="4820" w:type="dxa"/>
            <w:tcBorders>
              <w:top w:val="nil"/>
              <w:left w:val="nil"/>
              <w:bottom w:val="nil"/>
              <w:right w:val="nil"/>
            </w:tcBorders>
            <w:vAlign w:val="center"/>
            <w:hideMark/>
          </w:tcPr>
          <w:p w14:paraId="58CE04BC"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Microbiology</w:t>
            </w:r>
          </w:p>
        </w:tc>
        <w:tc>
          <w:tcPr>
            <w:tcW w:w="1040" w:type="dxa"/>
            <w:tcBorders>
              <w:top w:val="nil"/>
              <w:left w:val="nil"/>
              <w:bottom w:val="nil"/>
              <w:right w:val="nil"/>
            </w:tcBorders>
            <w:noWrap/>
            <w:vAlign w:val="center"/>
            <w:hideMark/>
          </w:tcPr>
          <w:p w14:paraId="72987410"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p>
        </w:tc>
        <w:tc>
          <w:tcPr>
            <w:tcW w:w="1500" w:type="dxa"/>
            <w:tcBorders>
              <w:top w:val="nil"/>
              <w:left w:val="nil"/>
              <w:bottom w:val="nil"/>
              <w:right w:val="nil"/>
            </w:tcBorders>
            <w:noWrap/>
            <w:vAlign w:val="center"/>
            <w:hideMark/>
          </w:tcPr>
          <w:p w14:paraId="5DA98CDC"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c>
          <w:tcPr>
            <w:tcW w:w="960" w:type="dxa"/>
            <w:tcBorders>
              <w:top w:val="nil"/>
              <w:left w:val="nil"/>
              <w:bottom w:val="nil"/>
              <w:right w:val="nil"/>
            </w:tcBorders>
            <w:noWrap/>
            <w:vAlign w:val="center"/>
            <w:hideMark/>
          </w:tcPr>
          <w:p w14:paraId="4C8DC849"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r>
      <w:tr w:rsidR="001B2AA2" w:rsidRPr="00724426" w14:paraId="116DC0EF" w14:textId="77777777" w:rsidTr="008E4A87">
        <w:trPr>
          <w:trHeight w:val="288"/>
        </w:trPr>
        <w:tc>
          <w:tcPr>
            <w:tcW w:w="4820" w:type="dxa"/>
            <w:tcBorders>
              <w:top w:val="nil"/>
              <w:left w:val="nil"/>
              <w:bottom w:val="nil"/>
              <w:right w:val="nil"/>
            </w:tcBorders>
            <w:vAlign w:val="center"/>
            <w:hideMark/>
          </w:tcPr>
          <w:p w14:paraId="7B365F45"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 xml:space="preserve">Enterococcus faecalis </w:t>
            </w:r>
          </w:p>
        </w:tc>
        <w:tc>
          <w:tcPr>
            <w:tcW w:w="1040" w:type="dxa"/>
            <w:tcBorders>
              <w:top w:val="nil"/>
              <w:left w:val="nil"/>
              <w:bottom w:val="nil"/>
              <w:right w:val="nil"/>
            </w:tcBorders>
            <w:noWrap/>
            <w:vAlign w:val="center"/>
            <w:hideMark/>
          </w:tcPr>
          <w:p w14:paraId="6FF1E043"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3.09</w:t>
            </w:r>
          </w:p>
        </w:tc>
        <w:tc>
          <w:tcPr>
            <w:tcW w:w="1500" w:type="dxa"/>
            <w:tcBorders>
              <w:top w:val="nil"/>
              <w:left w:val="nil"/>
              <w:bottom w:val="nil"/>
              <w:right w:val="nil"/>
            </w:tcBorders>
            <w:noWrap/>
            <w:vAlign w:val="center"/>
            <w:hideMark/>
          </w:tcPr>
          <w:p w14:paraId="2D355078"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0.24 - 39.1</w:t>
            </w:r>
          </w:p>
        </w:tc>
        <w:tc>
          <w:tcPr>
            <w:tcW w:w="960" w:type="dxa"/>
            <w:tcBorders>
              <w:top w:val="nil"/>
              <w:left w:val="nil"/>
              <w:bottom w:val="nil"/>
              <w:right w:val="nil"/>
            </w:tcBorders>
            <w:noWrap/>
            <w:vAlign w:val="center"/>
            <w:hideMark/>
          </w:tcPr>
          <w:p w14:paraId="715CD53F"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0.382</w:t>
            </w:r>
          </w:p>
        </w:tc>
      </w:tr>
      <w:tr w:rsidR="001B2AA2" w:rsidRPr="00724426" w14:paraId="12BA2D77" w14:textId="77777777" w:rsidTr="008E4A87">
        <w:trPr>
          <w:trHeight w:val="288"/>
        </w:trPr>
        <w:tc>
          <w:tcPr>
            <w:tcW w:w="4820" w:type="dxa"/>
            <w:tcBorders>
              <w:top w:val="nil"/>
              <w:left w:val="nil"/>
              <w:bottom w:val="nil"/>
              <w:right w:val="nil"/>
            </w:tcBorders>
            <w:vAlign w:val="center"/>
            <w:hideMark/>
          </w:tcPr>
          <w:p w14:paraId="3A8F4BCB"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Enterococcus faecium</w:t>
            </w:r>
          </w:p>
        </w:tc>
        <w:tc>
          <w:tcPr>
            <w:tcW w:w="1040" w:type="dxa"/>
            <w:tcBorders>
              <w:top w:val="nil"/>
              <w:left w:val="nil"/>
              <w:bottom w:val="nil"/>
              <w:right w:val="nil"/>
            </w:tcBorders>
            <w:noWrap/>
            <w:vAlign w:val="center"/>
            <w:hideMark/>
          </w:tcPr>
          <w:p w14:paraId="265B82B7"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5.45</w:t>
            </w:r>
          </w:p>
        </w:tc>
        <w:tc>
          <w:tcPr>
            <w:tcW w:w="1500" w:type="dxa"/>
            <w:tcBorders>
              <w:top w:val="nil"/>
              <w:left w:val="nil"/>
              <w:bottom w:val="nil"/>
              <w:right w:val="nil"/>
            </w:tcBorders>
            <w:noWrap/>
            <w:vAlign w:val="center"/>
            <w:hideMark/>
          </w:tcPr>
          <w:p w14:paraId="1FB26366"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0.40 - 73.15</w:t>
            </w:r>
          </w:p>
        </w:tc>
        <w:tc>
          <w:tcPr>
            <w:tcW w:w="960" w:type="dxa"/>
            <w:tcBorders>
              <w:top w:val="nil"/>
              <w:left w:val="nil"/>
              <w:bottom w:val="nil"/>
              <w:right w:val="nil"/>
            </w:tcBorders>
            <w:noWrap/>
            <w:vAlign w:val="center"/>
            <w:hideMark/>
          </w:tcPr>
          <w:p w14:paraId="199C0D62"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0.200</w:t>
            </w:r>
          </w:p>
        </w:tc>
      </w:tr>
      <w:tr w:rsidR="001B2AA2" w:rsidRPr="00724426" w14:paraId="268B45D1" w14:textId="77777777" w:rsidTr="008E4A87">
        <w:trPr>
          <w:trHeight w:val="288"/>
        </w:trPr>
        <w:tc>
          <w:tcPr>
            <w:tcW w:w="4820" w:type="dxa"/>
            <w:tcBorders>
              <w:top w:val="nil"/>
              <w:left w:val="nil"/>
              <w:bottom w:val="nil"/>
              <w:right w:val="nil"/>
            </w:tcBorders>
            <w:vAlign w:val="center"/>
            <w:hideMark/>
          </w:tcPr>
          <w:p w14:paraId="0B6EDEF0"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Other enterococci</w:t>
            </w:r>
          </w:p>
        </w:tc>
        <w:tc>
          <w:tcPr>
            <w:tcW w:w="1040" w:type="dxa"/>
            <w:tcBorders>
              <w:top w:val="nil"/>
              <w:left w:val="nil"/>
              <w:bottom w:val="nil"/>
              <w:right w:val="nil"/>
            </w:tcBorders>
            <w:noWrap/>
            <w:vAlign w:val="center"/>
            <w:hideMark/>
          </w:tcPr>
          <w:p w14:paraId="376B5336"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3.96</w:t>
            </w:r>
          </w:p>
        </w:tc>
        <w:tc>
          <w:tcPr>
            <w:tcW w:w="1500" w:type="dxa"/>
            <w:tcBorders>
              <w:top w:val="nil"/>
              <w:left w:val="nil"/>
              <w:bottom w:val="nil"/>
              <w:right w:val="nil"/>
            </w:tcBorders>
            <w:noWrap/>
            <w:vAlign w:val="center"/>
            <w:hideMark/>
          </w:tcPr>
          <w:p w14:paraId="2B641709"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0.32 - 47.95</w:t>
            </w:r>
          </w:p>
        </w:tc>
        <w:tc>
          <w:tcPr>
            <w:tcW w:w="960" w:type="dxa"/>
            <w:tcBorders>
              <w:top w:val="nil"/>
              <w:left w:val="nil"/>
              <w:bottom w:val="nil"/>
              <w:right w:val="nil"/>
            </w:tcBorders>
            <w:noWrap/>
            <w:vAlign w:val="center"/>
            <w:hideMark/>
          </w:tcPr>
          <w:p w14:paraId="39D474A2"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0.279</w:t>
            </w:r>
          </w:p>
        </w:tc>
      </w:tr>
      <w:tr w:rsidR="001B2AA2" w:rsidRPr="00724426" w14:paraId="3208749E" w14:textId="77777777" w:rsidTr="008E4A87">
        <w:trPr>
          <w:trHeight w:val="288"/>
        </w:trPr>
        <w:tc>
          <w:tcPr>
            <w:tcW w:w="4820" w:type="dxa"/>
            <w:tcBorders>
              <w:top w:val="nil"/>
              <w:left w:val="nil"/>
              <w:bottom w:val="nil"/>
              <w:right w:val="nil"/>
            </w:tcBorders>
            <w:vAlign w:val="center"/>
            <w:hideMark/>
          </w:tcPr>
          <w:p w14:paraId="48022A08"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Ampicillin resistance</w:t>
            </w:r>
          </w:p>
        </w:tc>
        <w:tc>
          <w:tcPr>
            <w:tcW w:w="1040" w:type="dxa"/>
            <w:tcBorders>
              <w:top w:val="nil"/>
              <w:left w:val="nil"/>
              <w:bottom w:val="nil"/>
              <w:right w:val="nil"/>
            </w:tcBorders>
            <w:noWrap/>
            <w:vAlign w:val="center"/>
            <w:hideMark/>
          </w:tcPr>
          <w:p w14:paraId="16135D36"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0.55</w:t>
            </w:r>
          </w:p>
        </w:tc>
        <w:tc>
          <w:tcPr>
            <w:tcW w:w="1500" w:type="dxa"/>
            <w:tcBorders>
              <w:top w:val="nil"/>
              <w:left w:val="nil"/>
              <w:bottom w:val="nil"/>
              <w:right w:val="nil"/>
            </w:tcBorders>
            <w:noWrap/>
            <w:vAlign w:val="center"/>
            <w:hideMark/>
          </w:tcPr>
          <w:p w14:paraId="7FEB8E18"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0.32 - 0.93</w:t>
            </w:r>
          </w:p>
        </w:tc>
        <w:tc>
          <w:tcPr>
            <w:tcW w:w="960" w:type="dxa"/>
            <w:tcBorders>
              <w:top w:val="nil"/>
              <w:left w:val="nil"/>
              <w:bottom w:val="nil"/>
              <w:right w:val="nil"/>
            </w:tcBorders>
            <w:noWrap/>
            <w:vAlign w:val="center"/>
            <w:hideMark/>
          </w:tcPr>
          <w:p w14:paraId="0AB738BE"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0.028</w:t>
            </w:r>
          </w:p>
        </w:tc>
      </w:tr>
      <w:tr w:rsidR="001B2AA2" w:rsidRPr="00724426" w14:paraId="0ADD376B" w14:textId="77777777" w:rsidTr="008E4A87">
        <w:trPr>
          <w:trHeight w:val="288"/>
        </w:trPr>
        <w:tc>
          <w:tcPr>
            <w:tcW w:w="4820" w:type="dxa"/>
            <w:tcBorders>
              <w:top w:val="nil"/>
              <w:left w:val="nil"/>
              <w:bottom w:val="nil"/>
              <w:right w:val="nil"/>
            </w:tcBorders>
            <w:vAlign w:val="center"/>
            <w:hideMark/>
          </w:tcPr>
          <w:p w14:paraId="096E8F98"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Vancomycin resistance</w:t>
            </w:r>
          </w:p>
        </w:tc>
        <w:tc>
          <w:tcPr>
            <w:tcW w:w="1040" w:type="dxa"/>
            <w:tcBorders>
              <w:top w:val="nil"/>
              <w:left w:val="nil"/>
              <w:bottom w:val="nil"/>
              <w:right w:val="nil"/>
            </w:tcBorders>
            <w:noWrap/>
            <w:vAlign w:val="center"/>
            <w:hideMark/>
          </w:tcPr>
          <w:p w14:paraId="7187648D"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0.44</w:t>
            </w:r>
          </w:p>
        </w:tc>
        <w:tc>
          <w:tcPr>
            <w:tcW w:w="1500" w:type="dxa"/>
            <w:tcBorders>
              <w:top w:val="nil"/>
              <w:left w:val="nil"/>
              <w:bottom w:val="nil"/>
              <w:right w:val="nil"/>
            </w:tcBorders>
            <w:noWrap/>
            <w:vAlign w:val="center"/>
            <w:hideMark/>
          </w:tcPr>
          <w:p w14:paraId="7229671C"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0.21 - 0.93</w:t>
            </w:r>
          </w:p>
        </w:tc>
        <w:tc>
          <w:tcPr>
            <w:tcW w:w="960" w:type="dxa"/>
            <w:tcBorders>
              <w:top w:val="nil"/>
              <w:left w:val="nil"/>
              <w:bottom w:val="nil"/>
              <w:right w:val="nil"/>
            </w:tcBorders>
            <w:noWrap/>
            <w:vAlign w:val="center"/>
            <w:hideMark/>
          </w:tcPr>
          <w:p w14:paraId="3965A0F9"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0.032</w:t>
            </w:r>
          </w:p>
        </w:tc>
      </w:tr>
      <w:tr w:rsidR="001B2AA2" w:rsidRPr="00724426" w14:paraId="75C7B103" w14:textId="77777777" w:rsidTr="008E4A87">
        <w:trPr>
          <w:trHeight w:val="288"/>
        </w:trPr>
        <w:tc>
          <w:tcPr>
            <w:tcW w:w="4820" w:type="dxa"/>
            <w:tcBorders>
              <w:top w:val="nil"/>
              <w:left w:val="nil"/>
              <w:bottom w:val="nil"/>
              <w:right w:val="nil"/>
            </w:tcBorders>
            <w:vAlign w:val="center"/>
            <w:hideMark/>
          </w:tcPr>
          <w:p w14:paraId="63A3B7DF"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Unit of admission</w:t>
            </w:r>
          </w:p>
        </w:tc>
        <w:tc>
          <w:tcPr>
            <w:tcW w:w="1040" w:type="dxa"/>
            <w:tcBorders>
              <w:top w:val="nil"/>
              <w:left w:val="nil"/>
              <w:bottom w:val="nil"/>
              <w:right w:val="nil"/>
            </w:tcBorders>
            <w:noWrap/>
            <w:vAlign w:val="center"/>
            <w:hideMark/>
          </w:tcPr>
          <w:p w14:paraId="1AD1C21A"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p>
        </w:tc>
        <w:tc>
          <w:tcPr>
            <w:tcW w:w="1500" w:type="dxa"/>
            <w:tcBorders>
              <w:top w:val="nil"/>
              <w:left w:val="nil"/>
              <w:bottom w:val="nil"/>
              <w:right w:val="nil"/>
            </w:tcBorders>
            <w:noWrap/>
            <w:vAlign w:val="center"/>
            <w:hideMark/>
          </w:tcPr>
          <w:p w14:paraId="7C101BFC"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c>
          <w:tcPr>
            <w:tcW w:w="960" w:type="dxa"/>
            <w:tcBorders>
              <w:top w:val="nil"/>
              <w:left w:val="nil"/>
              <w:bottom w:val="nil"/>
              <w:right w:val="nil"/>
            </w:tcBorders>
            <w:noWrap/>
            <w:vAlign w:val="center"/>
            <w:hideMark/>
          </w:tcPr>
          <w:p w14:paraId="110E89C3"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r>
      <w:tr w:rsidR="001B2AA2" w:rsidRPr="00724426" w14:paraId="08802DC7" w14:textId="77777777" w:rsidTr="008E4A87">
        <w:trPr>
          <w:trHeight w:val="288"/>
        </w:trPr>
        <w:tc>
          <w:tcPr>
            <w:tcW w:w="4820" w:type="dxa"/>
            <w:tcBorders>
              <w:top w:val="nil"/>
              <w:left w:val="nil"/>
              <w:bottom w:val="nil"/>
              <w:right w:val="nil"/>
            </w:tcBorders>
            <w:vAlign w:val="center"/>
            <w:hideMark/>
          </w:tcPr>
          <w:p w14:paraId="08DEC29E"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Emergency department</w:t>
            </w:r>
          </w:p>
        </w:tc>
        <w:tc>
          <w:tcPr>
            <w:tcW w:w="1040" w:type="dxa"/>
            <w:tcBorders>
              <w:top w:val="nil"/>
              <w:left w:val="nil"/>
              <w:bottom w:val="nil"/>
              <w:right w:val="nil"/>
            </w:tcBorders>
            <w:noWrap/>
            <w:vAlign w:val="center"/>
            <w:hideMark/>
          </w:tcPr>
          <w:p w14:paraId="64DCEB0F"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11.4</w:t>
            </w:r>
          </w:p>
        </w:tc>
        <w:tc>
          <w:tcPr>
            <w:tcW w:w="1500" w:type="dxa"/>
            <w:tcBorders>
              <w:top w:val="nil"/>
              <w:left w:val="nil"/>
              <w:bottom w:val="nil"/>
              <w:right w:val="nil"/>
            </w:tcBorders>
            <w:noWrap/>
            <w:vAlign w:val="center"/>
            <w:hideMark/>
          </w:tcPr>
          <w:p w14:paraId="0A32791E"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1.36 - 96.1</w:t>
            </w:r>
          </w:p>
        </w:tc>
        <w:tc>
          <w:tcPr>
            <w:tcW w:w="960" w:type="dxa"/>
            <w:tcBorders>
              <w:top w:val="nil"/>
              <w:left w:val="nil"/>
              <w:bottom w:val="nil"/>
              <w:right w:val="nil"/>
            </w:tcBorders>
            <w:noWrap/>
            <w:vAlign w:val="center"/>
            <w:hideMark/>
          </w:tcPr>
          <w:p w14:paraId="4D5D1F22"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0.025</w:t>
            </w:r>
          </w:p>
        </w:tc>
      </w:tr>
      <w:tr w:rsidR="001B2AA2" w:rsidRPr="00724426" w14:paraId="7BDF4FA1" w14:textId="77777777" w:rsidTr="008E4A87">
        <w:trPr>
          <w:trHeight w:val="288"/>
        </w:trPr>
        <w:tc>
          <w:tcPr>
            <w:tcW w:w="4820" w:type="dxa"/>
            <w:tcBorders>
              <w:top w:val="nil"/>
              <w:left w:val="nil"/>
              <w:bottom w:val="nil"/>
              <w:right w:val="nil"/>
            </w:tcBorders>
            <w:vAlign w:val="center"/>
            <w:hideMark/>
          </w:tcPr>
          <w:p w14:paraId="3868D747"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Medical ward</w:t>
            </w:r>
          </w:p>
        </w:tc>
        <w:tc>
          <w:tcPr>
            <w:tcW w:w="1040" w:type="dxa"/>
            <w:tcBorders>
              <w:top w:val="nil"/>
              <w:left w:val="nil"/>
              <w:bottom w:val="nil"/>
              <w:right w:val="nil"/>
            </w:tcBorders>
            <w:noWrap/>
            <w:vAlign w:val="center"/>
            <w:hideMark/>
          </w:tcPr>
          <w:p w14:paraId="29178A2C"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1.86</w:t>
            </w:r>
          </w:p>
        </w:tc>
        <w:tc>
          <w:tcPr>
            <w:tcW w:w="1500" w:type="dxa"/>
            <w:tcBorders>
              <w:top w:val="nil"/>
              <w:left w:val="nil"/>
              <w:bottom w:val="nil"/>
              <w:right w:val="nil"/>
            </w:tcBorders>
            <w:noWrap/>
            <w:vAlign w:val="center"/>
            <w:hideMark/>
          </w:tcPr>
          <w:p w14:paraId="071C897D"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0.26 - 13.0</w:t>
            </w:r>
          </w:p>
        </w:tc>
        <w:tc>
          <w:tcPr>
            <w:tcW w:w="960" w:type="dxa"/>
            <w:tcBorders>
              <w:top w:val="nil"/>
              <w:left w:val="nil"/>
              <w:bottom w:val="nil"/>
              <w:right w:val="nil"/>
            </w:tcBorders>
            <w:noWrap/>
            <w:vAlign w:val="center"/>
            <w:hideMark/>
          </w:tcPr>
          <w:p w14:paraId="6CD3292B"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0.532</w:t>
            </w:r>
          </w:p>
        </w:tc>
      </w:tr>
      <w:tr w:rsidR="001B2AA2" w:rsidRPr="00724426" w14:paraId="08E05AE7" w14:textId="77777777" w:rsidTr="008E4A87">
        <w:trPr>
          <w:trHeight w:val="288"/>
        </w:trPr>
        <w:tc>
          <w:tcPr>
            <w:tcW w:w="4820" w:type="dxa"/>
            <w:tcBorders>
              <w:top w:val="nil"/>
              <w:left w:val="nil"/>
              <w:bottom w:val="nil"/>
              <w:right w:val="nil"/>
            </w:tcBorders>
            <w:vAlign w:val="center"/>
            <w:hideMark/>
          </w:tcPr>
          <w:p w14:paraId="40FEBAD1"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Surgical ward</w:t>
            </w:r>
          </w:p>
        </w:tc>
        <w:tc>
          <w:tcPr>
            <w:tcW w:w="1040" w:type="dxa"/>
            <w:tcBorders>
              <w:top w:val="nil"/>
              <w:left w:val="nil"/>
              <w:bottom w:val="nil"/>
              <w:right w:val="nil"/>
            </w:tcBorders>
            <w:noWrap/>
            <w:vAlign w:val="center"/>
            <w:hideMark/>
          </w:tcPr>
          <w:p w14:paraId="0751A9FD"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1.94</w:t>
            </w:r>
          </w:p>
        </w:tc>
        <w:tc>
          <w:tcPr>
            <w:tcW w:w="1500" w:type="dxa"/>
            <w:tcBorders>
              <w:top w:val="nil"/>
              <w:left w:val="nil"/>
              <w:bottom w:val="nil"/>
              <w:right w:val="nil"/>
            </w:tcBorders>
            <w:noWrap/>
            <w:vAlign w:val="center"/>
            <w:hideMark/>
          </w:tcPr>
          <w:p w14:paraId="62F2FC04"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0.27 - 13.77</w:t>
            </w:r>
          </w:p>
        </w:tc>
        <w:tc>
          <w:tcPr>
            <w:tcW w:w="960" w:type="dxa"/>
            <w:tcBorders>
              <w:top w:val="nil"/>
              <w:left w:val="nil"/>
              <w:bottom w:val="nil"/>
              <w:right w:val="nil"/>
            </w:tcBorders>
            <w:noWrap/>
            <w:vAlign w:val="center"/>
            <w:hideMark/>
          </w:tcPr>
          <w:p w14:paraId="1EBB0CA2"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0.504</w:t>
            </w:r>
          </w:p>
        </w:tc>
      </w:tr>
      <w:tr w:rsidR="001B2AA2" w:rsidRPr="00724426" w14:paraId="15E78211" w14:textId="77777777" w:rsidTr="008E4A87">
        <w:trPr>
          <w:trHeight w:val="288"/>
        </w:trPr>
        <w:tc>
          <w:tcPr>
            <w:tcW w:w="4820" w:type="dxa"/>
            <w:tcBorders>
              <w:top w:val="nil"/>
              <w:left w:val="nil"/>
              <w:bottom w:val="nil"/>
              <w:right w:val="nil"/>
            </w:tcBorders>
            <w:vAlign w:val="center"/>
            <w:hideMark/>
          </w:tcPr>
          <w:p w14:paraId="220BFE4D"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Hematologic ward</w:t>
            </w:r>
          </w:p>
        </w:tc>
        <w:tc>
          <w:tcPr>
            <w:tcW w:w="1040" w:type="dxa"/>
            <w:tcBorders>
              <w:top w:val="nil"/>
              <w:left w:val="nil"/>
              <w:bottom w:val="nil"/>
              <w:right w:val="nil"/>
            </w:tcBorders>
            <w:noWrap/>
            <w:vAlign w:val="center"/>
            <w:hideMark/>
          </w:tcPr>
          <w:p w14:paraId="41279428"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2.15</w:t>
            </w:r>
          </w:p>
        </w:tc>
        <w:tc>
          <w:tcPr>
            <w:tcW w:w="1500" w:type="dxa"/>
            <w:tcBorders>
              <w:top w:val="nil"/>
              <w:left w:val="nil"/>
              <w:bottom w:val="nil"/>
              <w:right w:val="nil"/>
            </w:tcBorders>
            <w:noWrap/>
            <w:vAlign w:val="center"/>
            <w:hideMark/>
          </w:tcPr>
          <w:p w14:paraId="266BA79D"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0.31 - 14.84</w:t>
            </w:r>
          </w:p>
        </w:tc>
        <w:tc>
          <w:tcPr>
            <w:tcW w:w="960" w:type="dxa"/>
            <w:tcBorders>
              <w:top w:val="nil"/>
              <w:left w:val="nil"/>
              <w:bottom w:val="nil"/>
              <w:right w:val="nil"/>
            </w:tcBorders>
            <w:noWrap/>
            <w:vAlign w:val="center"/>
            <w:hideMark/>
          </w:tcPr>
          <w:p w14:paraId="0B09E6CA"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0.435</w:t>
            </w:r>
          </w:p>
        </w:tc>
      </w:tr>
      <w:tr w:rsidR="001B2AA2" w:rsidRPr="00724426" w14:paraId="05FB0E8F" w14:textId="77777777" w:rsidTr="008E4A87">
        <w:trPr>
          <w:trHeight w:val="288"/>
        </w:trPr>
        <w:tc>
          <w:tcPr>
            <w:tcW w:w="4820" w:type="dxa"/>
            <w:tcBorders>
              <w:top w:val="nil"/>
              <w:left w:val="nil"/>
              <w:bottom w:val="nil"/>
              <w:right w:val="nil"/>
            </w:tcBorders>
            <w:vAlign w:val="center"/>
            <w:hideMark/>
          </w:tcPr>
          <w:p w14:paraId="6D757FDE"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ICU</w:t>
            </w:r>
          </w:p>
        </w:tc>
        <w:tc>
          <w:tcPr>
            <w:tcW w:w="1040" w:type="dxa"/>
            <w:tcBorders>
              <w:top w:val="nil"/>
              <w:left w:val="nil"/>
              <w:bottom w:val="nil"/>
              <w:right w:val="nil"/>
            </w:tcBorders>
            <w:noWrap/>
            <w:vAlign w:val="center"/>
            <w:hideMark/>
          </w:tcPr>
          <w:p w14:paraId="4FB7629B"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1.27</w:t>
            </w:r>
          </w:p>
        </w:tc>
        <w:tc>
          <w:tcPr>
            <w:tcW w:w="1500" w:type="dxa"/>
            <w:tcBorders>
              <w:top w:val="nil"/>
              <w:left w:val="nil"/>
              <w:bottom w:val="nil"/>
              <w:right w:val="nil"/>
            </w:tcBorders>
            <w:noWrap/>
            <w:vAlign w:val="center"/>
            <w:hideMark/>
          </w:tcPr>
          <w:p w14:paraId="494EB0FF"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0.18 - 8.90</w:t>
            </w:r>
          </w:p>
        </w:tc>
        <w:tc>
          <w:tcPr>
            <w:tcW w:w="960" w:type="dxa"/>
            <w:tcBorders>
              <w:top w:val="nil"/>
              <w:left w:val="nil"/>
              <w:bottom w:val="nil"/>
              <w:right w:val="nil"/>
            </w:tcBorders>
            <w:noWrap/>
            <w:vAlign w:val="center"/>
            <w:hideMark/>
          </w:tcPr>
          <w:p w14:paraId="6AE8F48F"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0.809</w:t>
            </w:r>
          </w:p>
        </w:tc>
      </w:tr>
      <w:tr w:rsidR="001B2AA2" w:rsidRPr="00724426" w14:paraId="7916B2F7" w14:textId="77777777" w:rsidTr="008E4A87">
        <w:trPr>
          <w:trHeight w:val="288"/>
        </w:trPr>
        <w:tc>
          <w:tcPr>
            <w:tcW w:w="4820" w:type="dxa"/>
            <w:tcBorders>
              <w:top w:val="nil"/>
              <w:left w:val="nil"/>
              <w:bottom w:val="nil"/>
              <w:right w:val="nil"/>
            </w:tcBorders>
            <w:vAlign w:val="center"/>
            <w:hideMark/>
          </w:tcPr>
          <w:p w14:paraId="0B6A3A20"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Type of infection</w:t>
            </w:r>
          </w:p>
        </w:tc>
        <w:tc>
          <w:tcPr>
            <w:tcW w:w="1040" w:type="dxa"/>
            <w:tcBorders>
              <w:top w:val="nil"/>
              <w:left w:val="nil"/>
              <w:bottom w:val="nil"/>
              <w:right w:val="nil"/>
            </w:tcBorders>
            <w:noWrap/>
            <w:vAlign w:val="center"/>
            <w:hideMark/>
          </w:tcPr>
          <w:p w14:paraId="05449D9E"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p>
        </w:tc>
        <w:tc>
          <w:tcPr>
            <w:tcW w:w="1500" w:type="dxa"/>
            <w:tcBorders>
              <w:top w:val="nil"/>
              <w:left w:val="nil"/>
              <w:bottom w:val="nil"/>
              <w:right w:val="nil"/>
            </w:tcBorders>
            <w:noWrap/>
            <w:vAlign w:val="center"/>
            <w:hideMark/>
          </w:tcPr>
          <w:p w14:paraId="345F6E85"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c>
          <w:tcPr>
            <w:tcW w:w="960" w:type="dxa"/>
            <w:tcBorders>
              <w:top w:val="nil"/>
              <w:left w:val="nil"/>
              <w:bottom w:val="nil"/>
              <w:right w:val="nil"/>
            </w:tcBorders>
            <w:noWrap/>
            <w:vAlign w:val="center"/>
            <w:hideMark/>
          </w:tcPr>
          <w:p w14:paraId="4C1FC007"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r>
      <w:tr w:rsidR="001B2AA2" w:rsidRPr="00724426" w14:paraId="0A1AE850" w14:textId="77777777" w:rsidTr="008E4A87">
        <w:trPr>
          <w:trHeight w:val="288"/>
        </w:trPr>
        <w:tc>
          <w:tcPr>
            <w:tcW w:w="4820" w:type="dxa"/>
            <w:tcBorders>
              <w:top w:val="nil"/>
              <w:left w:val="nil"/>
              <w:bottom w:val="nil"/>
              <w:right w:val="nil"/>
            </w:tcBorders>
            <w:vAlign w:val="center"/>
            <w:hideMark/>
          </w:tcPr>
          <w:p w14:paraId="76DCB98B"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Community acquired infection</w:t>
            </w:r>
          </w:p>
        </w:tc>
        <w:tc>
          <w:tcPr>
            <w:tcW w:w="1040" w:type="dxa"/>
            <w:tcBorders>
              <w:top w:val="nil"/>
              <w:left w:val="nil"/>
              <w:bottom w:val="nil"/>
              <w:right w:val="nil"/>
            </w:tcBorders>
            <w:noWrap/>
            <w:vAlign w:val="center"/>
            <w:hideMark/>
          </w:tcPr>
          <w:p w14:paraId="0CC7079B"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1</w:t>
            </w:r>
          </w:p>
        </w:tc>
        <w:tc>
          <w:tcPr>
            <w:tcW w:w="1500" w:type="dxa"/>
            <w:tcBorders>
              <w:top w:val="nil"/>
              <w:left w:val="nil"/>
              <w:bottom w:val="nil"/>
              <w:right w:val="nil"/>
            </w:tcBorders>
            <w:noWrap/>
            <w:vAlign w:val="center"/>
            <w:hideMark/>
          </w:tcPr>
          <w:p w14:paraId="4A7B6D65"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p>
        </w:tc>
        <w:tc>
          <w:tcPr>
            <w:tcW w:w="960" w:type="dxa"/>
            <w:tcBorders>
              <w:top w:val="nil"/>
              <w:left w:val="nil"/>
              <w:bottom w:val="nil"/>
              <w:right w:val="nil"/>
            </w:tcBorders>
            <w:noWrap/>
            <w:vAlign w:val="center"/>
            <w:hideMark/>
          </w:tcPr>
          <w:p w14:paraId="7C209C58"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r>
      <w:tr w:rsidR="001B2AA2" w:rsidRPr="00724426" w14:paraId="1B295EF5" w14:textId="77777777" w:rsidTr="008E4A87">
        <w:trPr>
          <w:trHeight w:val="288"/>
        </w:trPr>
        <w:tc>
          <w:tcPr>
            <w:tcW w:w="4820" w:type="dxa"/>
            <w:tcBorders>
              <w:top w:val="nil"/>
              <w:left w:val="nil"/>
              <w:bottom w:val="nil"/>
              <w:right w:val="nil"/>
            </w:tcBorders>
            <w:vAlign w:val="center"/>
            <w:hideMark/>
          </w:tcPr>
          <w:p w14:paraId="454F00C8"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Nosocomial infection</w:t>
            </w:r>
          </w:p>
        </w:tc>
        <w:tc>
          <w:tcPr>
            <w:tcW w:w="1040" w:type="dxa"/>
            <w:tcBorders>
              <w:top w:val="nil"/>
              <w:left w:val="nil"/>
              <w:bottom w:val="nil"/>
              <w:right w:val="nil"/>
            </w:tcBorders>
            <w:noWrap/>
            <w:vAlign w:val="center"/>
            <w:hideMark/>
          </w:tcPr>
          <w:p w14:paraId="02DDC995"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0.95</w:t>
            </w:r>
          </w:p>
        </w:tc>
        <w:tc>
          <w:tcPr>
            <w:tcW w:w="1500" w:type="dxa"/>
            <w:tcBorders>
              <w:top w:val="nil"/>
              <w:left w:val="nil"/>
              <w:bottom w:val="nil"/>
              <w:right w:val="nil"/>
            </w:tcBorders>
            <w:noWrap/>
            <w:vAlign w:val="center"/>
            <w:hideMark/>
          </w:tcPr>
          <w:p w14:paraId="118B1334"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0.65 - 1.39</w:t>
            </w:r>
          </w:p>
        </w:tc>
        <w:tc>
          <w:tcPr>
            <w:tcW w:w="960" w:type="dxa"/>
            <w:tcBorders>
              <w:top w:val="nil"/>
              <w:left w:val="nil"/>
              <w:bottom w:val="nil"/>
              <w:right w:val="nil"/>
            </w:tcBorders>
            <w:noWrap/>
            <w:vAlign w:val="center"/>
            <w:hideMark/>
          </w:tcPr>
          <w:p w14:paraId="1F6C5C9B"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0.807</w:t>
            </w:r>
          </w:p>
        </w:tc>
      </w:tr>
      <w:tr w:rsidR="001B2AA2" w:rsidRPr="00724426" w14:paraId="73C1B8A1" w14:textId="77777777" w:rsidTr="008E4A87">
        <w:trPr>
          <w:trHeight w:val="288"/>
        </w:trPr>
        <w:tc>
          <w:tcPr>
            <w:tcW w:w="4820" w:type="dxa"/>
            <w:tcBorders>
              <w:top w:val="nil"/>
              <w:left w:val="nil"/>
              <w:bottom w:val="nil"/>
              <w:right w:val="nil"/>
            </w:tcBorders>
            <w:vAlign w:val="center"/>
            <w:hideMark/>
          </w:tcPr>
          <w:p w14:paraId="1D2C9CC5"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Severity</w:t>
            </w:r>
          </w:p>
        </w:tc>
        <w:tc>
          <w:tcPr>
            <w:tcW w:w="1040" w:type="dxa"/>
            <w:tcBorders>
              <w:top w:val="nil"/>
              <w:left w:val="nil"/>
              <w:bottom w:val="nil"/>
              <w:right w:val="nil"/>
            </w:tcBorders>
            <w:noWrap/>
            <w:vAlign w:val="center"/>
            <w:hideMark/>
          </w:tcPr>
          <w:p w14:paraId="5386FB25"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p>
        </w:tc>
        <w:tc>
          <w:tcPr>
            <w:tcW w:w="1500" w:type="dxa"/>
            <w:tcBorders>
              <w:top w:val="nil"/>
              <w:left w:val="nil"/>
              <w:bottom w:val="nil"/>
              <w:right w:val="nil"/>
            </w:tcBorders>
            <w:noWrap/>
            <w:vAlign w:val="center"/>
            <w:hideMark/>
          </w:tcPr>
          <w:p w14:paraId="7C5DA283"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c>
          <w:tcPr>
            <w:tcW w:w="960" w:type="dxa"/>
            <w:tcBorders>
              <w:top w:val="nil"/>
              <w:left w:val="nil"/>
              <w:bottom w:val="nil"/>
              <w:right w:val="nil"/>
            </w:tcBorders>
            <w:noWrap/>
            <w:vAlign w:val="center"/>
            <w:hideMark/>
          </w:tcPr>
          <w:p w14:paraId="2F308742"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r>
      <w:tr w:rsidR="001B2AA2" w:rsidRPr="00724426" w14:paraId="569A871B" w14:textId="77777777" w:rsidTr="008E4A87">
        <w:trPr>
          <w:trHeight w:val="288"/>
        </w:trPr>
        <w:tc>
          <w:tcPr>
            <w:tcW w:w="4820" w:type="dxa"/>
            <w:tcBorders>
              <w:top w:val="nil"/>
              <w:left w:val="nil"/>
              <w:bottom w:val="nil"/>
              <w:right w:val="nil"/>
            </w:tcBorders>
            <w:vAlign w:val="center"/>
            <w:hideMark/>
          </w:tcPr>
          <w:p w14:paraId="69D4E788"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Sepsis or septic shock</w:t>
            </w:r>
          </w:p>
        </w:tc>
        <w:tc>
          <w:tcPr>
            <w:tcW w:w="1040" w:type="dxa"/>
            <w:tcBorders>
              <w:top w:val="nil"/>
              <w:left w:val="nil"/>
              <w:bottom w:val="nil"/>
              <w:right w:val="nil"/>
            </w:tcBorders>
            <w:noWrap/>
            <w:vAlign w:val="center"/>
            <w:hideMark/>
          </w:tcPr>
          <w:p w14:paraId="27C32DBD"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0.96</w:t>
            </w:r>
          </w:p>
        </w:tc>
        <w:tc>
          <w:tcPr>
            <w:tcW w:w="1500" w:type="dxa"/>
            <w:tcBorders>
              <w:top w:val="nil"/>
              <w:left w:val="nil"/>
              <w:bottom w:val="nil"/>
              <w:right w:val="nil"/>
            </w:tcBorders>
            <w:noWrap/>
            <w:vAlign w:val="center"/>
            <w:hideMark/>
          </w:tcPr>
          <w:p w14:paraId="05BE83A1"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0.70 - 1.31</w:t>
            </w:r>
          </w:p>
        </w:tc>
        <w:tc>
          <w:tcPr>
            <w:tcW w:w="960" w:type="dxa"/>
            <w:tcBorders>
              <w:top w:val="nil"/>
              <w:left w:val="nil"/>
              <w:bottom w:val="nil"/>
              <w:right w:val="nil"/>
            </w:tcBorders>
            <w:noWrap/>
            <w:vAlign w:val="center"/>
            <w:hideMark/>
          </w:tcPr>
          <w:p w14:paraId="78CC7467"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0.824</w:t>
            </w:r>
          </w:p>
        </w:tc>
      </w:tr>
      <w:tr w:rsidR="001B2AA2" w:rsidRPr="00724426" w14:paraId="0AF38A0C" w14:textId="77777777" w:rsidTr="008E4A87">
        <w:trPr>
          <w:trHeight w:val="288"/>
        </w:trPr>
        <w:tc>
          <w:tcPr>
            <w:tcW w:w="4820" w:type="dxa"/>
            <w:tcBorders>
              <w:top w:val="nil"/>
              <w:left w:val="nil"/>
              <w:bottom w:val="nil"/>
              <w:right w:val="nil"/>
            </w:tcBorders>
            <w:vAlign w:val="center"/>
            <w:hideMark/>
          </w:tcPr>
          <w:p w14:paraId="013E0209"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Source of bacteremia</w:t>
            </w:r>
          </w:p>
        </w:tc>
        <w:tc>
          <w:tcPr>
            <w:tcW w:w="1040" w:type="dxa"/>
            <w:tcBorders>
              <w:top w:val="nil"/>
              <w:left w:val="nil"/>
              <w:bottom w:val="nil"/>
              <w:right w:val="nil"/>
            </w:tcBorders>
            <w:noWrap/>
            <w:vAlign w:val="center"/>
            <w:hideMark/>
          </w:tcPr>
          <w:p w14:paraId="42E0C3F9"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p>
        </w:tc>
        <w:tc>
          <w:tcPr>
            <w:tcW w:w="1500" w:type="dxa"/>
            <w:tcBorders>
              <w:top w:val="nil"/>
              <w:left w:val="nil"/>
              <w:bottom w:val="nil"/>
              <w:right w:val="nil"/>
            </w:tcBorders>
            <w:noWrap/>
            <w:vAlign w:val="center"/>
            <w:hideMark/>
          </w:tcPr>
          <w:p w14:paraId="43CB03D8"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c>
          <w:tcPr>
            <w:tcW w:w="960" w:type="dxa"/>
            <w:tcBorders>
              <w:top w:val="nil"/>
              <w:left w:val="nil"/>
              <w:bottom w:val="nil"/>
              <w:right w:val="nil"/>
            </w:tcBorders>
            <w:noWrap/>
            <w:vAlign w:val="center"/>
            <w:hideMark/>
          </w:tcPr>
          <w:p w14:paraId="5E5F5959" w14:textId="77777777" w:rsidR="001B2AA2" w:rsidRPr="00724426" w:rsidRDefault="001B2AA2" w:rsidP="00724426">
            <w:pPr>
              <w:spacing w:after="0" w:line="240" w:lineRule="auto"/>
              <w:jc w:val="both"/>
              <w:rPr>
                <w:rFonts w:ascii="Times New Roman" w:eastAsia="Times New Roman" w:hAnsi="Times New Roman" w:cs="Times New Roman"/>
                <w:kern w:val="0"/>
                <w:sz w:val="20"/>
                <w:szCs w:val="20"/>
                <w:lang w:val="en-US" w:eastAsia="it-IT"/>
                <w14:ligatures w14:val="none"/>
              </w:rPr>
            </w:pPr>
          </w:p>
        </w:tc>
      </w:tr>
      <w:tr w:rsidR="001B2AA2" w:rsidRPr="00724426" w14:paraId="687C6B9A" w14:textId="77777777" w:rsidTr="008E4A87">
        <w:trPr>
          <w:trHeight w:val="288"/>
        </w:trPr>
        <w:tc>
          <w:tcPr>
            <w:tcW w:w="4820" w:type="dxa"/>
            <w:tcBorders>
              <w:top w:val="nil"/>
              <w:left w:val="nil"/>
              <w:bottom w:val="nil"/>
              <w:right w:val="nil"/>
            </w:tcBorders>
            <w:vAlign w:val="center"/>
            <w:hideMark/>
          </w:tcPr>
          <w:p w14:paraId="3C039240"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CVC</w:t>
            </w:r>
          </w:p>
        </w:tc>
        <w:tc>
          <w:tcPr>
            <w:tcW w:w="1040" w:type="dxa"/>
            <w:tcBorders>
              <w:top w:val="nil"/>
              <w:left w:val="nil"/>
              <w:bottom w:val="nil"/>
              <w:right w:val="nil"/>
            </w:tcBorders>
            <w:noWrap/>
            <w:vAlign w:val="center"/>
            <w:hideMark/>
          </w:tcPr>
          <w:p w14:paraId="700E7B50"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0.64</w:t>
            </w:r>
          </w:p>
        </w:tc>
        <w:tc>
          <w:tcPr>
            <w:tcW w:w="1500" w:type="dxa"/>
            <w:tcBorders>
              <w:top w:val="nil"/>
              <w:left w:val="nil"/>
              <w:bottom w:val="nil"/>
              <w:right w:val="nil"/>
            </w:tcBorders>
            <w:noWrap/>
            <w:vAlign w:val="center"/>
            <w:hideMark/>
          </w:tcPr>
          <w:p w14:paraId="769D92A3"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0.32 - 1.29</w:t>
            </w:r>
          </w:p>
        </w:tc>
        <w:tc>
          <w:tcPr>
            <w:tcW w:w="960" w:type="dxa"/>
            <w:tcBorders>
              <w:top w:val="nil"/>
              <w:left w:val="nil"/>
              <w:bottom w:val="nil"/>
              <w:right w:val="nil"/>
            </w:tcBorders>
            <w:noWrap/>
            <w:vAlign w:val="center"/>
            <w:hideMark/>
          </w:tcPr>
          <w:p w14:paraId="160F6AAF"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0.215</w:t>
            </w:r>
          </w:p>
        </w:tc>
      </w:tr>
      <w:tr w:rsidR="001B2AA2" w:rsidRPr="00724426" w14:paraId="3F924A58" w14:textId="77777777" w:rsidTr="008E4A87">
        <w:trPr>
          <w:trHeight w:val="288"/>
        </w:trPr>
        <w:tc>
          <w:tcPr>
            <w:tcW w:w="4820" w:type="dxa"/>
            <w:tcBorders>
              <w:top w:val="nil"/>
              <w:left w:val="nil"/>
              <w:bottom w:val="nil"/>
              <w:right w:val="nil"/>
            </w:tcBorders>
            <w:vAlign w:val="center"/>
            <w:hideMark/>
          </w:tcPr>
          <w:p w14:paraId="0838DD59"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Surgical site infection</w:t>
            </w:r>
          </w:p>
        </w:tc>
        <w:tc>
          <w:tcPr>
            <w:tcW w:w="1040" w:type="dxa"/>
            <w:tcBorders>
              <w:top w:val="nil"/>
              <w:left w:val="nil"/>
              <w:bottom w:val="nil"/>
              <w:right w:val="nil"/>
            </w:tcBorders>
            <w:noWrap/>
            <w:vAlign w:val="center"/>
            <w:hideMark/>
          </w:tcPr>
          <w:p w14:paraId="0890501D"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0.82</w:t>
            </w:r>
          </w:p>
        </w:tc>
        <w:tc>
          <w:tcPr>
            <w:tcW w:w="1500" w:type="dxa"/>
            <w:tcBorders>
              <w:top w:val="nil"/>
              <w:left w:val="nil"/>
              <w:bottom w:val="nil"/>
              <w:right w:val="nil"/>
            </w:tcBorders>
            <w:noWrap/>
            <w:vAlign w:val="center"/>
            <w:hideMark/>
          </w:tcPr>
          <w:p w14:paraId="235E2587"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0.29 - 2.36</w:t>
            </w:r>
          </w:p>
        </w:tc>
        <w:tc>
          <w:tcPr>
            <w:tcW w:w="960" w:type="dxa"/>
            <w:tcBorders>
              <w:top w:val="nil"/>
              <w:left w:val="nil"/>
              <w:bottom w:val="nil"/>
              <w:right w:val="nil"/>
            </w:tcBorders>
            <w:noWrap/>
            <w:vAlign w:val="center"/>
            <w:hideMark/>
          </w:tcPr>
          <w:p w14:paraId="6DD28056"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0.726</w:t>
            </w:r>
          </w:p>
        </w:tc>
      </w:tr>
      <w:tr w:rsidR="001B2AA2" w:rsidRPr="00724426" w14:paraId="04970FD6" w14:textId="77777777" w:rsidTr="008E4A87">
        <w:trPr>
          <w:trHeight w:val="288"/>
        </w:trPr>
        <w:tc>
          <w:tcPr>
            <w:tcW w:w="4820" w:type="dxa"/>
            <w:tcBorders>
              <w:top w:val="nil"/>
              <w:left w:val="nil"/>
              <w:bottom w:val="nil"/>
              <w:right w:val="nil"/>
            </w:tcBorders>
            <w:vAlign w:val="center"/>
            <w:hideMark/>
          </w:tcPr>
          <w:p w14:paraId="6A3AE968"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Skin and soft tissue</w:t>
            </w:r>
          </w:p>
        </w:tc>
        <w:tc>
          <w:tcPr>
            <w:tcW w:w="1040" w:type="dxa"/>
            <w:tcBorders>
              <w:top w:val="nil"/>
              <w:left w:val="nil"/>
              <w:bottom w:val="nil"/>
              <w:right w:val="nil"/>
            </w:tcBorders>
            <w:noWrap/>
            <w:vAlign w:val="center"/>
            <w:hideMark/>
          </w:tcPr>
          <w:p w14:paraId="71193A02"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0.22</w:t>
            </w:r>
          </w:p>
        </w:tc>
        <w:tc>
          <w:tcPr>
            <w:tcW w:w="1500" w:type="dxa"/>
            <w:tcBorders>
              <w:top w:val="nil"/>
              <w:left w:val="nil"/>
              <w:bottom w:val="nil"/>
              <w:right w:val="nil"/>
            </w:tcBorders>
            <w:noWrap/>
            <w:vAlign w:val="center"/>
            <w:hideMark/>
          </w:tcPr>
          <w:p w14:paraId="6FD348E6"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0.03 - 1.34</w:t>
            </w:r>
          </w:p>
        </w:tc>
        <w:tc>
          <w:tcPr>
            <w:tcW w:w="960" w:type="dxa"/>
            <w:tcBorders>
              <w:top w:val="nil"/>
              <w:left w:val="nil"/>
              <w:bottom w:val="nil"/>
              <w:right w:val="nil"/>
            </w:tcBorders>
            <w:noWrap/>
            <w:vAlign w:val="center"/>
            <w:hideMark/>
          </w:tcPr>
          <w:p w14:paraId="17A0883B"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0.101</w:t>
            </w:r>
          </w:p>
        </w:tc>
      </w:tr>
      <w:tr w:rsidR="001B2AA2" w:rsidRPr="00724426" w14:paraId="6512946A" w14:textId="77777777" w:rsidTr="008E4A87">
        <w:trPr>
          <w:trHeight w:val="288"/>
        </w:trPr>
        <w:tc>
          <w:tcPr>
            <w:tcW w:w="4820" w:type="dxa"/>
            <w:tcBorders>
              <w:top w:val="nil"/>
              <w:left w:val="nil"/>
              <w:bottom w:val="nil"/>
              <w:right w:val="nil"/>
            </w:tcBorders>
            <w:vAlign w:val="center"/>
            <w:hideMark/>
          </w:tcPr>
          <w:p w14:paraId="32473466"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Intra-abdominal infections</w:t>
            </w:r>
          </w:p>
        </w:tc>
        <w:tc>
          <w:tcPr>
            <w:tcW w:w="1040" w:type="dxa"/>
            <w:tcBorders>
              <w:top w:val="nil"/>
              <w:left w:val="nil"/>
              <w:bottom w:val="nil"/>
              <w:right w:val="nil"/>
            </w:tcBorders>
            <w:noWrap/>
            <w:vAlign w:val="center"/>
            <w:hideMark/>
          </w:tcPr>
          <w:p w14:paraId="70B1F49C"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0.66</w:t>
            </w:r>
          </w:p>
        </w:tc>
        <w:tc>
          <w:tcPr>
            <w:tcW w:w="1500" w:type="dxa"/>
            <w:tcBorders>
              <w:top w:val="nil"/>
              <w:left w:val="nil"/>
              <w:bottom w:val="nil"/>
              <w:right w:val="nil"/>
            </w:tcBorders>
            <w:noWrap/>
            <w:vAlign w:val="center"/>
            <w:hideMark/>
          </w:tcPr>
          <w:p w14:paraId="7601F06A"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0.32 - 1.38</w:t>
            </w:r>
          </w:p>
        </w:tc>
        <w:tc>
          <w:tcPr>
            <w:tcW w:w="960" w:type="dxa"/>
            <w:tcBorders>
              <w:top w:val="nil"/>
              <w:left w:val="nil"/>
              <w:bottom w:val="nil"/>
              <w:right w:val="nil"/>
            </w:tcBorders>
            <w:noWrap/>
            <w:vAlign w:val="center"/>
            <w:hideMark/>
          </w:tcPr>
          <w:p w14:paraId="43711A81"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0.278</w:t>
            </w:r>
          </w:p>
        </w:tc>
      </w:tr>
      <w:tr w:rsidR="001B2AA2" w:rsidRPr="00724426" w14:paraId="2A740EFE" w14:textId="77777777" w:rsidTr="008E4A87">
        <w:trPr>
          <w:trHeight w:val="288"/>
        </w:trPr>
        <w:tc>
          <w:tcPr>
            <w:tcW w:w="4820" w:type="dxa"/>
            <w:tcBorders>
              <w:top w:val="nil"/>
              <w:left w:val="nil"/>
              <w:bottom w:val="nil"/>
              <w:right w:val="nil"/>
            </w:tcBorders>
            <w:vAlign w:val="center"/>
            <w:hideMark/>
          </w:tcPr>
          <w:p w14:paraId="14D48046"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UTI</w:t>
            </w:r>
          </w:p>
        </w:tc>
        <w:tc>
          <w:tcPr>
            <w:tcW w:w="1040" w:type="dxa"/>
            <w:tcBorders>
              <w:top w:val="nil"/>
              <w:left w:val="nil"/>
              <w:bottom w:val="nil"/>
              <w:right w:val="nil"/>
            </w:tcBorders>
            <w:noWrap/>
            <w:vAlign w:val="center"/>
            <w:hideMark/>
          </w:tcPr>
          <w:p w14:paraId="3749C822"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0.74</w:t>
            </w:r>
          </w:p>
        </w:tc>
        <w:tc>
          <w:tcPr>
            <w:tcW w:w="1500" w:type="dxa"/>
            <w:tcBorders>
              <w:top w:val="nil"/>
              <w:left w:val="nil"/>
              <w:bottom w:val="nil"/>
              <w:right w:val="nil"/>
            </w:tcBorders>
            <w:noWrap/>
            <w:vAlign w:val="center"/>
            <w:hideMark/>
          </w:tcPr>
          <w:p w14:paraId="248F9DDD"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0.34 - 1.58</w:t>
            </w:r>
          </w:p>
        </w:tc>
        <w:tc>
          <w:tcPr>
            <w:tcW w:w="960" w:type="dxa"/>
            <w:tcBorders>
              <w:top w:val="nil"/>
              <w:left w:val="nil"/>
              <w:bottom w:val="nil"/>
              <w:right w:val="nil"/>
            </w:tcBorders>
            <w:noWrap/>
            <w:vAlign w:val="center"/>
            <w:hideMark/>
          </w:tcPr>
          <w:p w14:paraId="34A7F523"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0.439</w:t>
            </w:r>
          </w:p>
        </w:tc>
      </w:tr>
      <w:tr w:rsidR="001B2AA2" w:rsidRPr="00724426" w14:paraId="79CFEB86" w14:textId="77777777" w:rsidTr="008E4A87">
        <w:trPr>
          <w:trHeight w:val="288"/>
        </w:trPr>
        <w:tc>
          <w:tcPr>
            <w:tcW w:w="4820" w:type="dxa"/>
            <w:tcBorders>
              <w:top w:val="nil"/>
              <w:left w:val="nil"/>
              <w:bottom w:val="single" w:sz="4" w:space="0" w:color="auto"/>
              <w:right w:val="nil"/>
            </w:tcBorders>
            <w:vAlign w:val="center"/>
            <w:hideMark/>
          </w:tcPr>
          <w:p w14:paraId="416FE07E" w14:textId="77777777" w:rsidR="001B2AA2" w:rsidRPr="00724426" w:rsidRDefault="001B2AA2" w:rsidP="00724426">
            <w:pPr>
              <w:spacing w:after="0" w:line="240" w:lineRule="auto"/>
              <w:jc w:val="both"/>
              <w:rPr>
                <w:rFonts w:ascii="Calibri" w:eastAsia="Times New Roman" w:hAnsi="Calibri" w:cs="Calibri"/>
                <w:i/>
                <w:iCs/>
                <w:kern w:val="0"/>
                <w:lang w:val="en-US" w:eastAsia="it-IT"/>
                <w14:ligatures w14:val="none"/>
              </w:rPr>
            </w:pPr>
            <w:r w:rsidRPr="00724426">
              <w:rPr>
                <w:rFonts w:ascii="Calibri" w:eastAsia="Times New Roman" w:hAnsi="Calibri" w:cs="Calibri"/>
                <w:i/>
                <w:iCs/>
                <w:kern w:val="0"/>
                <w:lang w:val="en-US" w:eastAsia="it-IT"/>
                <w14:ligatures w14:val="none"/>
              </w:rPr>
              <w:t>Unidentified source</w:t>
            </w:r>
          </w:p>
        </w:tc>
        <w:tc>
          <w:tcPr>
            <w:tcW w:w="1040" w:type="dxa"/>
            <w:tcBorders>
              <w:top w:val="nil"/>
              <w:left w:val="nil"/>
              <w:bottom w:val="single" w:sz="4" w:space="0" w:color="auto"/>
              <w:right w:val="nil"/>
            </w:tcBorders>
            <w:noWrap/>
            <w:vAlign w:val="center"/>
            <w:hideMark/>
          </w:tcPr>
          <w:p w14:paraId="7C0420C7"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0.70</w:t>
            </w:r>
          </w:p>
        </w:tc>
        <w:tc>
          <w:tcPr>
            <w:tcW w:w="1500" w:type="dxa"/>
            <w:tcBorders>
              <w:top w:val="nil"/>
              <w:left w:val="nil"/>
              <w:bottom w:val="single" w:sz="4" w:space="0" w:color="auto"/>
              <w:right w:val="nil"/>
            </w:tcBorders>
            <w:noWrap/>
            <w:vAlign w:val="center"/>
            <w:hideMark/>
          </w:tcPr>
          <w:p w14:paraId="456A7EC9"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0.33 - 1.47</w:t>
            </w:r>
          </w:p>
        </w:tc>
        <w:tc>
          <w:tcPr>
            <w:tcW w:w="960" w:type="dxa"/>
            <w:tcBorders>
              <w:top w:val="nil"/>
              <w:left w:val="nil"/>
              <w:bottom w:val="single" w:sz="4" w:space="0" w:color="auto"/>
              <w:right w:val="nil"/>
            </w:tcBorders>
            <w:noWrap/>
            <w:vAlign w:val="center"/>
            <w:hideMark/>
          </w:tcPr>
          <w:p w14:paraId="218EAEAD" w14:textId="77777777" w:rsidR="001B2AA2" w:rsidRPr="00724426" w:rsidRDefault="001B2AA2" w:rsidP="00724426">
            <w:pPr>
              <w:spacing w:after="0" w:line="240" w:lineRule="auto"/>
              <w:jc w:val="both"/>
              <w:rPr>
                <w:rFonts w:ascii="Calibri" w:eastAsia="Times New Roman" w:hAnsi="Calibri" w:cs="Calibri"/>
                <w:kern w:val="0"/>
                <w:lang w:val="en-US" w:eastAsia="it-IT"/>
                <w14:ligatures w14:val="none"/>
              </w:rPr>
            </w:pPr>
            <w:r w:rsidRPr="00724426">
              <w:rPr>
                <w:rFonts w:ascii="Calibri" w:eastAsia="Times New Roman" w:hAnsi="Calibri" w:cs="Calibri"/>
                <w:kern w:val="0"/>
                <w:lang w:val="en-US" w:eastAsia="it-IT"/>
                <w14:ligatures w14:val="none"/>
              </w:rPr>
              <w:t>0.358</w:t>
            </w:r>
          </w:p>
        </w:tc>
      </w:tr>
    </w:tbl>
    <w:p w14:paraId="388B7B3A" w14:textId="77777777" w:rsidR="001B2AA2" w:rsidRPr="00724426" w:rsidRDefault="001B2AA2" w:rsidP="00724426">
      <w:pPr>
        <w:jc w:val="both"/>
        <w:rPr>
          <w:rFonts w:eastAsia="Times New Roman" w:cs="Times New Roman"/>
          <w:lang w:val="en-US"/>
          <w14:ligatures w14:val="none"/>
        </w:rPr>
      </w:pPr>
    </w:p>
    <w:p w14:paraId="5A032A2C"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b/>
          <w:bCs/>
          <w:lang w:val="en-US"/>
          <w14:ligatures w14:val="none"/>
        </w:rPr>
        <w:t>Legend</w:t>
      </w:r>
      <w:r w:rsidRPr="00724426">
        <w:rPr>
          <w:rFonts w:eastAsia="Times New Roman" w:cs="Times New Roman"/>
          <w:lang w:val="en-US"/>
          <w14:ligatures w14:val="none"/>
        </w:rPr>
        <w:t>: COPD: Chronic Obstructive Pulmonary Disease; CVC: central venous catheter; ICU: Intensive Care Unit; VRE: Vancomycin-resistant Enterococci.</w:t>
      </w:r>
    </w:p>
    <w:p w14:paraId="4675CC7A"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Boldface means statistically significant (p&lt;0.05)</w:t>
      </w:r>
    </w:p>
    <w:p w14:paraId="30322CC7"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Goodness-of-fit test after logistic model: Pearson chi2(731) = 759.12</w:t>
      </w:r>
      <w:proofErr w:type="gramStart"/>
      <w:r w:rsidRPr="00724426">
        <w:rPr>
          <w:rFonts w:eastAsia="Times New Roman" w:cs="Times New Roman"/>
          <w:lang w:val="en-US"/>
          <w14:ligatures w14:val="none"/>
        </w:rPr>
        <w:t>;  Prob</w:t>
      </w:r>
      <w:proofErr w:type="gramEnd"/>
      <w:r w:rsidRPr="00724426">
        <w:rPr>
          <w:rFonts w:eastAsia="Times New Roman" w:cs="Times New Roman"/>
          <w:lang w:val="en-US"/>
          <w14:ligatures w14:val="none"/>
        </w:rPr>
        <w:t xml:space="preserve"> &gt; chi</w:t>
      </w:r>
      <w:r w:rsidRPr="00724426">
        <w:rPr>
          <w:rFonts w:eastAsia="Times New Roman" w:cs="Times New Roman"/>
          <w:vertAlign w:val="superscript"/>
          <w:lang w:val="en-US"/>
          <w14:ligatures w14:val="none"/>
        </w:rPr>
        <w:t>2</w:t>
      </w:r>
      <w:r w:rsidRPr="00724426">
        <w:rPr>
          <w:rFonts w:eastAsia="Times New Roman" w:cs="Times New Roman"/>
          <w:lang w:val="en-US"/>
          <w14:ligatures w14:val="none"/>
        </w:rPr>
        <w:t xml:space="preserve"> = 0.2286</w:t>
      </w:r>
    </w:p>
    <w:p w14:paraId="0FEC9A93"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br w:type="page"/>
      </w:r>
    </w:p>
    <w:p w14:paraId="02F2A96F" w14:textId="77777777" w:rsidR="001B2AA2" w:rsidRPr="00724426" w:rsidRDefault="001B2AA2" w:rsidP="00724426">
      <w:pPr>
        <w:jc w:val="both"/>
        <w:rPr>
          <w:rFonts w:eastAsia="Times New Roman" w:cs="Times New Roman"/>
          <w:b/>
          <w:bCs/>
          <w:lang w:val="en-US"/>
          <w14:ligatures w14:val="none"/>
        </w:rPr>
      </w:pPr>
      <w:r w:rsidRPr="00724426">
        <w:rPr>
          <w:rFonts w:eastAsia="Times New Roman" w:cs="Times New Roman"/>
          <w:b/>
          <w:bCs/>
          <w:lang w:val="en-US"/>
          <w14:ligatures w14:val="none"/>
        </w:rPr>
        <w:lastRenderedPageBreak/>
        <w:t>Supplementary Table S2. Standardized differences of variables used to generate the IPTW model.</w:t>
      </w:r>
    </w:p>
    <w:p w14:paraId="325ACB5C" w14:textId="77777777" w:rsidR="001B2AA2" w:rsidRPr="00724426" w:rsidRDefault="001B2AA2" w:rsidP="00724426">
      <w:pPr>
        <w:jc w:val="both"/>
        <w:rPr>
          <w:rFonts w:eastAsia="Times New Roman" w:cs="Times New Roman"/>
          <w:b/>
          <w:bCs/>
          <w:lang w:val="en-US"/>
          <w14:ligatures w14:val="none"/>
        </w:rPr>
      </w:pPr>
    </w:p>
    <w:tbl>
      <w:tblPr>
        <w:tblW w:w="9880" w:type="dxa"/>
        <w:tblCellMar>
          <w:left w:w="70" w:type="dxa"/>
          <w:right w:w="70" w:type="dxa"/>
        </w:tblCellMar>
        <w:tblLook w:val="04A0" w:firstRow="1" w:lastRow="0" w:firstColumn="1" w:lastColumn="0" w:noHBand="0" w:noVBand="1"/>
      </w:tblPr>
      <w:tblGrid>
        <w:gridCol w:w="3440"/>
        <w:gridCol w:w="3280"/>
        <w:gridCol w:w="3160"/>
      </w:tblGrid>
      <w:tr w:rsidR="001B2AA2" w:rsidRPr="00724426" w14:paraId="2CFA340B" w14:textId="77777777" w:rsidTr="008E4A87">
        <w:trPr>
          <w:trHeight w:val="660"/>
        </w:trPr>
        <w:tc>
          <w:tcPr>
            <w:tcW w:w="3440" w:type="dxa"/>
            <w:tcBorders>
              <w:top w:val="single" w:sz="4" w:space="0" w:color="auto"/>
              <w:left w:val="nil"/>
              <w:bottom w:val="single" w:sz="4" w:space="0" w:color="auto"/>
              <w:right w:val="nil"/>
            </w:tcBorders>
            <w:noWrap/>
            <w:vAlign w:val="center"/>
            <w:hideMark/>
          </w:tcPr>
          <w:p w14:paraId="60385F90" w14:textId="77777777" w:rsidR="001B2AA2" w:rsidRPr="00724426" w:rsidRDefault="001B2AA2" w:rsidP="00724426">
            <w:pPr>
              <w:spacing w:after="0" w:line="240" w:lineRule="auto"/>
              <w:jc w:val="both"/>
              <w:rPr>
                <w:rFonts w:ascii="Calibri" w:eastAsia="Times New Roman" w:hAnsi="Calibri" w:cs="Calibri"/>
                <w:b/>
                <w:bCs/>
                <w:color w:val="000000"/>
                <w:kern w:val="0"/>
                <w:lang w:val="en-US" w:eastAsia="it-IT"/>
                <w14:ligatures w14:val="none"/>
              </w:rPr>
            </w:pPr>
            <w:r w:rsidRPr="00724426">
              <w:rPr>
                <w:rFonts w:ascii="Calibri" w:eastAsia="Times New Roman" w:hAnsi="Calibri" w:cs="Calibri"/>
                <w:b/>
                <w:bCs/>
                <w:color w:val="000000"/>
                <w:kern w:val="0"/>
                <w:lang w:val="en-US" w:eastAsia="it-IT"/>
                <w14:ligatures w14:val="none"/>
              </w:rPr>
              <w:t> </w:t>
            </w:r>
          </w:p>
        </w:tc>
        <w:tc>
          <w:tcPr>
            <w:tcW w:w="3280" w:type="dxa"/>
            <w:tcBorders>
              <w:top w:val="single" w:sz="4" w:space="0" w:color="auto"/>
              <w:left w:val="nil"/>
              <w:bottom w:val="single" w:sz="4" w:space="0" w:color="auto"/>
              <w:right w:val="nil"/>
            </w:tcBorders>
            <w:vAlign w:val="center"/>
            <w:hideMark/>
          </w:tcPr>
          <w:p w14:paraId="6DB711AB" w14:textId="77777777" w:rsidR="001B2AA2" w:rsidRPr="00724426" w:rsidRDefault="001B2AA2" w:rsidP="00724426">
            <w:pPr>
              <w:spacing w:after="0" w:line="240" w:lineRule="auto"/>
              <w:jc w:val="both"/>
              <w:rPr>
                <w:rFonts w:ascii="Calibri" w:eastAsia="Times New Roman" w:hAnsi="Calibri" w:cs="Calibri"/>
                <w:b/>
                <w:bCs/>
                <w:color w:val="000000"/>
                <w:kern w:val="0"/>
                <w:lang w:val="en-US" w:eastAsia="it-IT"/>
                <w14:ligatures w14:val="none"/>
              </w:rPr>
            </w:pPr>
            <w:r w:rsidRPr="00724426">
              <w:rPr>
                <w:rFonts w:ascii="Calibri" w:eastAsia="Times New Roman" w:hAnsi="Calibri" w:cs="Calibri"/>
                <w:b/>
                <w:bCs/>
                <w:color w:val="000000"/>
                <w:kern w:val="0"/>
                <w:lang w:val="en-US" w:eastAsia="it-IT"/>
                <w14:ligatures w14:val="none"/>
              </w:rPr>
              <w:t>Standardized differences before applying IPTW (</w:t>
            </w:r>
            <w:proofErr w:type="gramStart"/>
            <w:r w:rsidRPr="00724426">
              <w:rPr>
                <w:rFonts w:ascii="Calibri" w:eastAsia="Times New Roman" w:hAnsi="Calibri" w:cs="Calibri"/>
                <w:b/>
                <w:bCs/>
                <w:color w:val="000000"/>
                <w:kern w:val="0"/>
                <w:lang w:val="en-US" w:eastAsia="it-IT"/>
                <w14:ligatures w14:val="none"/>
              </w:rPr>
              <w:t>%)</w:t>
            </w:r>
            <w:r w:rsidRPr="00724426">
              <w:rPr>
                <w:rFonts w:ascii="Calibri" w:eastAsia="Times New Roman" w:hAnsi="Calibri" w:cs="Calibri"/>
                <w:b/>
                <w:bCs/>
                <w:color w:val="000000"/>
                <w:kern w:val="0"/>
                <w:vertAlign w:val="superscript"/>
                <w:lang w:val="en-US" w:eastAsia="it-IT"/>
                <w14:ligatures w14:val="none"/>
              </w:rPr>
              <w:t>a</w:t>
            </w:r>
            <w:proofErr w:type="gramEnd"/>
          </w:p>
        </w:tc>
        <w:tc>
          <w:tcPr>
            <w:tcW w:w="3160" w:type="dxa"/>
            <w:tcBorders>
              <w:top w:val="single" w:sz="4" w:space="0" w:color="auto"/>
              <w:left w:val="nil"/>
              <w:bottom w:val="single" w:sz="4" w:space="0" w:color="auto"/>
              <w:right w:val="nil"/>
            </w:tcBorders>
            <w:vAlign w:val="center"/>
            <w:hideMark/>
          </w:tcPr>
          <w:p w14:paraId="232DBEB7" w14:textId="77777777" w:rsidR="001B2AA2" w:rsidRPr="00724426" w:rsidRDefault="001B2AA2" w:rsidP="00724426">
            <w:pPr>
              <w:spacing w:after="0" w:line="240" w:lineRule="auto"/>
              <w:jc w:val="both"/>
              <w:rPr>
                <w:rFonts w:ascii="Calibri" w:eastAsia="Times New Roman" w:hAnsi="Calibri" w:cs="Calibri"/>
                <w:b/>
                <w:bCs/>
                <w:color w:val="000000"/>
                <w:kern w:val="0"/>
                <w:lang w:val="en-US" w:eastAsia="it-IT"/>
                <w14:ligatures w14:val="none"/>
              </w:rPr>
            </w:pPr>
            <w:r w:rsidRPr="00724426">
              <w:rPr>
                <w:rFonts w:ascii="Calibri" w:eastAsia="Times New Roman" w:hAnsi="Calibri" w:cs="Calibri"/>
                <w:b/>
                <w:bCs/>
                <w:color w:val="000000"/>
                <w:kern w:val="0"/>
                <w:lang w:val="en-US" w:eastAsia="it-IT"/>
                <w14:ligatures w14:val="none"/>
              </w:rPr>
              <w:t>Standardized differences after applying IPTW (</w:t>
            </w:r>
            <w:proofErr w:type="gramStart"/>
            <w:r w:rsidRPr="00724426">
              <w:rPr>
                <w:rFonts w:ascii="Calibri" w:eastAsia="Times New Roman" w:hAnsi="Calibri" w:cs="Calibri"/>
                <w:b/>
                <w:bCs/>
                <w:color w:val="000000"/>
                <w:kern w:val="0"/>
                <w:lang w:val="en-US" w:eastAsia="it-IT"/>
                <w14:ligatures w14:val="none"/>
              </w:rPr>
              <w:t>%)</w:t>
            </w:r>
            <w:r w:rsidRPr="00724426">
              <w:rPr>
                <w:rFonts w:ascii="Calibri" w:eastAsia="Times New Roman" w:hAnsi="Calibri" w:cs="Calibri"/>
                <w:b/>
                <w:bCs/>
                <w:color w:val="000000"/>
                <w:kern w:val="0"/>
                <w:vertAlign w:val="superscript"/>
                <w:lang w:val="en-US" w:eastAsia="it-IT"/>
                <w14:ligatures w14:val="none"/>
              </w:rPr>
              <w:t>a</w:t>
            </w:r>
            <w:proofErr w:type="gramEnd"/>
          </w:p>
        </w:tc>
      </w:tr>
      <w:tr w:rsidR="001B2AA2" w:rsidRPr="00724426" w14:paraId="0D110818" w14:textId="77777777" w:rsidTr="008E4A87">
        <w:trPr>
          <w:trHeight w:val="624"/>
        </w:trPr>
        <w:tc>
          <w:tcPr>
            <w:tcW w:w="3440" w:type="dxa"/>
            <w:tcBorders>
              <w:top w:val="nil"/>
              <w:left w:val="nil"/>
              <w:bottom w:val="single" w:sz="4" w:space="0" w:color="auto"/>
              <w:right w:val="nil"/>
            </w:tcBorders>
            <w:vAlign w:val="center"/>
            <w:hideMark/>
          </w:tcPr>
          <w:p w14:paraId="15AB615E" w14:textId="77777777" w:rsidR="001B2AA2" w:rsidRPr="00724426" w:rsidRDefault="001B2AA2" w:rsidP="00724426">
            <w:pPr>
              <w:spacing w:after="0" w:line="240" w:lineRule="auto"/>
              <w:jc w:val="both"/>
              <w:rPr>
                <w:rFonts w:ascii="Calibri" w:eastAsia="Times New Roman" w:hAnsi="Calibri" w:cs="Calibri"/>
                <w:b/>
                <w:bCs/>
                <w:color w:val="000000"/>
                <w:kern w:val="0"/>
                <w:lang w:val="en-US" w:eastAsia="it-IT"/>
                <w14:ligatures w14:val="none"/>
              </w:rPr>
            </w:pPr>
            <w:r w:rsidRPr="00724426">
              <w:rPr>
                <w:rFonts w:ascii="Calibri" w:eastAsia="Times New Roman" w:hAnsi="Calibri" w:cs="Calibri"/>
                <w:b/>
                <w:bCs/>
                <w:color w:val="000000"/>
                <w:kern w:val="0"/>
                <w:lang w:val="en-US" w:eastAsia="it-IT"/>
                <w14:ligatures w14:val="none"/>
              </w:rPr>
              <w:t>Variables influencing Treatment assignment</w:t>
            </w:r>
          </w:p>
        </w:tc>
        <w:tc>
          <w:tcPr>
            <w:tcW w:w="3280" w:type="dxa"/>
            <w:tcBorders>
              <w:top w:val="nil"/>
              <w:left w:val="nil"/>
              <w:bottom w:val="single" w:sz="4" w:space="0" w:color="auto"/>
              <w:right w:val="nil"/>
            </w:tcBorders>
            <w:noWrap/>
            <w:vAlign w:val="bottom"/>
            <w:hideMark/>
          </w:tcPr>
          <w:p w14:paraId="6AC2FEAE" w14:textId="77777777" w:rsidR="001B2AA2" w:rsidRPr="00724426" w:rsidRDefault="001B2AA2" w:rsidP="00724426">
            <w:pPr>
              <w:spacing w:after="0" w:line="240" w:lineRule="auto"/>
              <w:jc w:val="both"/>
              <w:rPr>
                <w:rFonts w:ascii="Calibri" w:eastAsia="Times New Roman" w:hAnsi="Calibri" w:cs="Calibri"/>
                <w:b/>
                <w:bCs/>
                <w:color w:val="000000"/>
                <w:kern w:val="0"/>
                <w:lang w:val="en-US" w:eastAsia="it-IT"/>
                <w14:ligatures w14:val="none"/>
              </w:rPr>
            </w:pPr>
            <w:r w:rsidRPr="00724426">
              <w:rPr>
                <w:rFonts w:ascii="Calibri" w:eastAsia="Times New Roman" w:hAnsi="Calibri" w:cs="Calibri"/>
                <w:b/>
                <w:bCs/>
                <w:color w:val="000000"/>
                <w:kern w:val="0"/>
                <w:lang w:val="en-US" w:eastAsia="it-IT"/>
                <w14:ligatures w14:val="none"/>
              </w:rPr>
              <w:t> </w:t>
            </w:r>
          </w:p>
        </w:tc>
        <w:tc>
          <w:tcPr>
            <w:tcW w:w="3160" w:type="dxa"/>
            <w:tcBorders>
              <w:top w:val="nil"/>
              <w:left w:val="nil"/>
              <w:bottom w:val="single" w:sz="4" w:space="0" w:color="auto"/>
              <w:right w:val="nil"/>
            </w:tcBorders>
            <w:noWrap/>
            <w:vAlign w:val="bottom"/>
            <w:hideMark/>
          </w:tcPr>
          <w:p w14:paraId="55B14781" w14:textId="77777777" w:rsidR="001B2AA2" w:rsidRPr="00724426" w:rsidRDefault="001B2AA2" w:rsidP="00724426">
            <w:pPr>
              <w:spacing w:after="0" w:line="240" w:lineRule="auto"/>
              <w:jc w:val="both"/>
              <w:rPr>
                <w:rFonts w:ascii="Calibri" w:eastAsia="Times New Roman" w:hAnsi="Calibri" w:cs="Calibri"/>
                <w:b/>
                <w:bCs/>
                <w:color w:val="000000"/>
                <w:kern w:val="0"/>
                <w:lang w:val="en-US" w:eastAsia="it-IT"/>
                <w14:ligatures w14:val="none"/>
              </w:rPr>
            </w:pPr>
            <w:r w:rsidRPr="00724426">
              <w:rPr>
                <w:rFonts w:ascii="Calibri" w:eastAsia="Times New Roman" w:hAnsi="Calibri" w:cs="Calibri"/>
                <w:b/>
                <w:bCs/>
                <w:color w:val="000000"/>
                <w:kern w:val="0"/>
                <w:lang w:val="en-US" w:eastAsia="it-IT"/>
                <w14:ligatures w14:val="none"/>
              </w:rPr>
              <w:t> </w:t>
            </w:r>
          </w:p>
        </w:tc>
      </w:tr>
      <w:tr w:rsidR="001B2AA2" w:rsidRPr="00724426" w14:paraId="08C91D80" w14:textId="77777777" w:rsidTr="008E4A87">
        <w:trPr>
          <w:trHeight w:val="312"/>
        </w:trPr>
        <w:tc>
          <w:tcPr>
            <w:tcW w:w="3440" w:type="dxa"/>
            <w:tcBorders>
              <w:top w:val="nil"/>
              <w:left w:val="nil"/>
              <w:bottom w:val="nil"/>
              <w:right w:val="nil"/>
            </w:tcBorders>
            <w:noWrap/>
            <w:vAlign w:val="center"/>
            <w:hideMark/>
          </w:tcPr>
          <w:p w14:paraId="6170273B" w14:textId="77777777" w:rsidR="001B2AA2" w:rsidRPr="00724426" w:rsidRDefault="001B2AA2" w:rsidP="00724426">
            <w:pPr>
              <w:spacing w:after="0" w:line="240" w:lineRule="auto"/>
              <w:jc w:val="both"/>
              <w:rPr>
                <w:rFonts w:ascii="Calibri" w:eastAsia="Times New Roman" w:hAnsi="Calibri" w:cs="Calibri"/>
                <w:b/>
                <w:bCs/>
                <w:color w:val="000000"/>
                <w:kern w:val="0"/>
                <w:lang w:val="en-US" w:eastAsia="it-IT"/>
                <w14:ligatures w14:val="none"/>
              </w:rPr>
            </w:pPr>
            <w:r w:rsidRPr="00724426">
              <w:rPr>
                <w:rFonts w:ascii="Calibri" w:eastAsia="Times New Roman" w:hAnsi="Calibri" w:cs="Calibri"/>
                <w:b/>
                <w:bCs/>
                <w:color w:val="000000"/>
                <w:kern w:val="0"/>
                <w:lang w:val="en-US" w:eastAsia="it-IT"/>
                <w14:ligatures w14:val="none"/>
              </w:rPr>
              <w:t>Charlson index</w:t>
            </w:r>
          </w:p>
        </w:tc>
        <w:tc>
          <w:tcPr>
            <w:tcW w:w="3280" w:type="dxa"/>
            <w:tcBorders>
              <w:top w:val="nil"/>
              <w:left w:val="nil"/>
              <w:bottom w:val="nil"/>
              <w:right w:val="nil"/>
            </w:tcBorders>
            <w:noWrap/>
            <w:vAlign w:val="center"/>
            <w:hideMark/>
          </w:tcPr>
          <w:p w14:paraId="269DEA36" w14:textId="77777777" w:rsidR="001B2AA2" w:rsidRPr="00724426" w:rsidRDefault="001B2AA2" w:rsidP="00724426">
            <w:pPr>
              <w:spacing w:after="0" w:line="240" w:lineRule="auto"/>
              <w:jc w:val="both"/>
              <w:rPr>
                <w:rFonts w:ascii="Calibri" w:eastAsia="Times New Roman" w:hAnsi="Calibri" w:cs="Calibri"/>
                <w:color w:val="000000"/>
                <w:kern w:val="0"/>
                <w:lang w:val="en-US" w:eastAsia="it-IT"/>
                <w14:ligatures w14:val="none"/>
              </w:rPr>
            </w:pPr>
            <w:r w:rsidRPr="00724426">
              <w:rPr>
                <w:rFonts w:ascii="Calibri" w:eastAsia="Times New Roman" w:hAnsi="Calibri" w:cs="Calibri"/>
                <w:color w:val="000000"/>
                <w:kern w:val="0"/>
                <w:lang w:val="en-US" w:eastAsia="it-IT"/>
                <w14:ligatures w14:val="none"/>
              </w:rPr>
              <w:t>9.1%</w:t>
            </w:r>
          </w:p>
        </w:tc>
        <w:tc>
          <w:tcPr>
            <w:tcW w:w="3160" w:type="dxa"/>
            <w:tcBorders>
              <w:top w:val="nil"/>
              <w:left w:val="nil"/>
              <w:bottom w:val="nil"/>
              <w:right w:val="nil"/>
            </w:tcBorders>
            <w:noWrap/>
            <w:vAlign w:val="center"/>
            <w:hideMark/>
          </w:tcPr>
          <w:p w14:paraId="132EE30D" w14:textId="77777777" w:rsidR="001B2AA2" w:rsidRPr="00724426" w:rsidRDefault="001B2AA2" w:rsidP="00724426">
            <w:pPr>
              <w:spacing w:after="0" w:line="240" w:lineRule="auto"/>
              <w:jc w:val="both"/>
              <w:rPr>
                <w:rFonts w:ascii="Calibri" w:eastAsia="Times New Roman" w:hAnsi="Calibri" w:cs="Calibri"/>
                <w:color w:val="000000"/>
                <w:kern w:val="0"/>
                <w:lang w:val="en-US" w:eastAsia="it-IT"/>
                <w14:ligatures w14:val="none"/>
              </w:rPr>
            </w:pPr>
            <w:r w:rsidRPr="00724426">
              <w:rPr>
                <w:rFonts w:ascii="Calibri" w:eastAsia="Times New Roman" w:hAnsi="Calibri" w:cs="Calibri"/>
                <w:color w:val="000000"/>
                <w:kern w:val="0"/>
                <w:lang w:val="en-US" w:eastAsia="it-IT"/>
                <w14:ligatures w14:val="none"/>
              </w:rPr>
              <w:t>1.5%</w:t>
            </w:r>
          </w:p>
        </w:tc>
      </w:tr>
      <w:tr w:rsidR="001B2AA2" w:rsidRPr="00724426" w14:paraId="59A807CF" w14:textId="77777777" w:rsidTr="008E4A87">
        <w:trPr>
          <w:trHeight w:val="312"/>
        </w:trPr>
        <w:tc>
          <w:tcPr>
            <w:tcW w:w="3440" w:type="dxa"/>
            <w:tcBorders>
              <w:top w:val="nil"/>
              <w:left w:val="nil"/>
              <w:bottom w:val="nil"/>
              <w:right w:val="nil"/>
            </w:tcBorders>
            <w:vAlign w:val="center"/>
            <w:hideMark/>
          </w:tcPr>
          <w:p w14:paraId="267D7EAF"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Ampicillin resistance</w:t>
            </w:r>
          </w:p>
        </w:tc>
        <w:tc>
          <w:tcPr>
            <w:tcW w:w="3280" w:type="dxa"/>
            <w:tcBorders>
              <w:top w:val="nil"/>
              <w:left w:val="nil"/>
              <w:bottom w:val="nil"/>
              <w:right w:val="nil"/>
            </w:tcBorders>
            <w:noWrap/>
            <w:vAlign w:val="center"/>
            <w:hideMark/>
          </w:tcPr>
          <w:p w14:paraId="3771C87B" w14:textId="77777777" w:rsidR="001B2AA2" w:rsidRPr="00724426" w:rsidRDefault="001B2AA2" w:rsidP="00724426">
            <w:pPr>
              <w:spacing w:after="0" w:line="240" w:lineRule="auto"/>
              <w:jc w:val="both"/>
              <w:rPr>
                <w:rFonts w:ascii="Calibri" w:eastAsia="Times New Roman" w:hAnsi="Calibri" w:cs="Calibri"/>
                <w:color w:val="000000"/>
                <w:kern w:val="0"/>
                <w:lang w:val="en-US" w:eastAsia="it-IT"/>
                <w14:ligatures w14:val="none"/>
              </w:rPr>
            </w:pPr>
            <w:r w:rsidRPr="00724426">
              <w:rPr>
                <w:rFonts w:ascii="Calibri" w:eastAsia="Times New Roman" w:hAnsi="Calibri" w:cs="Calibri"/>
                <w:color w:val="000000"/>
                <w:kern w:val="0"/>
                <w:lang w:val="en-US" w:eastAsia="it-IT"/>
                <w14:ligatures w14:val="none"/>
              </w:rPr>
              <w:t>16.0%</w:t>
            </w:r>
          </w:p>
        </w:tc>
        <w:tc>
          <w:tcPr>
            <w:tcW w:w="3160" w:type="dxa"/>
            <w:tcBorders>
              <w:top w:val="nil"/>
              <w:left w:val="nil"/>
              <w:bottom w:val="nil"/>
              <w:right w:val="nil"/>
            </w:tcBorders>
            <w:noWrap/>
            <w:vAlign w:val="center"/>
            <w:hideMark/>
          </w:tcPr>
          <w:p w14:paraId="2324E669" w14:textId="77777777" w:rsidR="001B2AA2" w:rsidRPr="00724426" w:rsidRDefault="001B2AA2" w:rsidP="00724426">
            <w:pPr>
              <w:spacing w:after="0" w:line="240" w:lineRule="auto"/>
              <w:jc w:val="both"/>
              <w:rPr>
                <w:rFonts w:ascii="Calibri" w:eastAsia="Times New Roman" w:hAnsi="Calibri" w:cs="Calibri"/>
                <w:color w:val="000000"/>
                <w:kern w:val="0"/>
                <w:lang w:val="en-US" w:eastAsia="it-IT"/>
                <w14:ligatures w14:val="none"/>
              </w:rPr>
            </w:pPr>
            <w:r w:rsidRPr="00724426">
              <w:rPr>
                <w:rFonts w:ascii="Calibri" w:eastAsia="Times New Roman" w:hAnsi="Calibri" w:cs="Calibri"/>
                <w:color w:val="000000"/>
                <w:kern w:val="0"/>
                <w:lang w:val="en-US" w:eastAsia="it-IT"/>
                <w14:ligatures w14:val="none"/>
              </w:rPr>
              <w:t>2.2%</w:t>
            </w:r>
          </w:p>
        </w:tc>
      </w:tr>
      <w:tr w:rsidR="001B2AA2" w:rsidRPr="00724426" w14:paraId="5A57C0B0" w14:textId="77777777" w:rsidTr="008E4A87">
        <w:trPr>
          <w:trHeight w:val="312"/>
        </w:trPr>
        <w:tc>
          <w:tcPr>
            <w:tcW w:w="3440" w:type="dxa"/>
            <w:tcBorders>
              <w:top w:val="nil"/>
              <w:left w:val="nil"/>
              <w:bottom w:val="nil"/>
              <w:right w:val="nil"/>
            </w:tcBorders>
            <w:vAlign w:val="center"/>
            <w:hideMark/>
          </w:tcPr>
          <w:p w14:paraId="1E407CD9" w14:textId="77777777" w:rsidR="001B2AA2" w:rsidRPr="00724426" w:rsidRDefault="001B2AA2" w:rsidP="00724426">
            <w:pPr>
              <w:spacing w:after="0" w:line="240" w:lineRule="auto"/>
              <w:jc w:val="both"/>
              <w:rPr>
                <w:rFonts w:ascii="Calibri" w:eastAsia="Times New Roman" w:hAnsi="Calibri" w:cs="Calibri"/>
                <w:b/>
                <w:bCs/>
                <w:kern w:val="0"/>
                <w:lang w:val="en-US" w:eastAsia="it-IT"/>
                <w14:ligatures w14:val="none"/>
              </w:rPr>
            </w:pPr>
            <w:r w:rsidRPr="00724426">
              <w:rPr>
                <w:rFonts w:ascii="Calibri" w:eastAsia="Times New Roman" w:hAnsi="Calibri" w:cs="Calibri"/>
                <w:b/>
                <w:bCs/>
                <w:kern w:val="0"/>
                <w:lang w:val="en-US" w:eastAsia="it-IT"/>
                <w14:ligatures w14:val="none"/>
              </w:rPr>
              <w:t>Vancomycin resistance</w:t>
            </w:r>
          </w:p>
        </w:tc>
        <w:tc>
          <w:tcPr>
            <w:tcW w:w="3280" w:type="dxa"/>
            <w:tcBorders>
              <w:top w:val="nil"/>
              <w:left w:val="nil"/>
              <w:bottom w:val="nil"/>
              <w:right w:val="nil"/>
            </w:tcBorders>
            <w:noWrap/>
            <w:vAlign w:val="center"/>
            <w:hideMark/>
          </w:tcPr>
          <w:p w14:paraId="2B0252D8" w14:textId="77777777" w:rsidR="001B2AA2" w:rsidRPr="00724426" w:rsidRDefault="001B2AA2" w:rsidP="00724426">
            <w:pPr>
              <w:spacing w:after="0" w:line="240" w:lineRule="auto"/>
              <w:jc w:val="both"/>
              <w:rPr>
                <w:rFonts w:ascii="Calibri" w:eastAsia="Times New Roman" w:hAnsi="Calibri" w:cs="Calibri"/>
                <w:color w:val="000000"/>
                <w:kern w:val="0"/>
                <w:lang w:val="en-US" w:eastAsia="it-IT"/>
                <w14:ligatures w14:val="none"/>
              </w:rPr>
            </w:pPr>
            <w:r w:rsidRPr="00724426">
              <w:rPr>
                <w:rFonts w:ascii="Calibri" w:eastAsia="Times New Roman" w:hAnsi="Calibri" w:cs="Calibri"/>
                <w:color w:val="000000"/>
                <w:kern w:val="0"/>
                <w:lang w:val="en-US" w:eastAsia="it-IT"/>
                <w14:ligatures w14:val="none"/>
              </w:rPr>
              <w:t>18.2%</w:t>
            </w:r>
          </w:p>
        </w:tc>
        <w:tc>
          <w:tcPr>
            <w:tcW w:w="3160" w:type="dxa"/>
            <w:tcBorders>
              <w:top w:val="nil"/>
              <w:left w:val="nil"/>
              <w:bottom w:val="nil"/>
              <w:right w:val="nil"/>
            </w:tcBorders>
            <w:noWrap/>
            <w:vAlign w:val="center"/>
            <w:hideMark/>
          </w:tcPr>
          <w:p w14:paraId="13310349" w14:textId="77777777" w:rsidR="001B2AA2" w:rsidRPr="00724426" w:rsidRDefault="001B2AA2" w:rsidP="00724426">
            <w:pPr>
              <w:spacing w:after="0" w:line="240" w:lineRule="auto"/>
              <w:jc w:val="both"/>
              <w:rPr>
                <w:rFonts w:ascii="Calibri" w:eastAsia="Times New Roman" w:hAnsi="Calibri" w:cs="Calibri"/>
                <w:color w:val="000000"/>
                <w:kern w:val="0"/>
                <w:lang w:val="en-US" w:eastAsia="it-IT"/>
                <w14:ligatures w14:val="none"/>
              </w:rPr>
            </w:pPr>
            <w:r w:rsidRPr="00724426">
              <w:rPr>
                <w:rFonts w:ascii="Calibri" w:eastAsia="Times New Roman" w:hAnsi="Calibri" w:cs="Calibri"/>
                <w:color w:val="000000"/>
                <w:kern w:val="0"/>
                <w:lang w:val="en-US" w:eastAsia="it-IT"/>
                <w14:ligatures w14:val="none"/>
              </w:rPr>
              <w:t>0.1%</w:t>
            </w:r>
          </w:p>
        </w:tc>
      </w:tr>
      <w:tr w:rsidR="001B2AA2" w:rsidRPr="00724426" w14:paraId="6D5361CB" w14:textId="77777777" w:rsidTr="008E4A87">
        <w:trPr>
          <w:trHeight w:val="624"/>
        </w:trPr>
        <w:tc>
          <w:tcPr>
            <w:tcW w:w="3440" w:type="dxa"/>
            <w:tcBorders>
              <w:top w:val="nil"/>
              <w:left w:val="nil"/>
              <w:bottom w:val="single" w:sz="4" w:space="0" w:color="auto"/>
              <w:right w:val="nil"/>
            </w:tcBorders>
            <w:vAlign w:val="center"/>
            <w:hideMark/>
          </w:tcPr>
          <w:p w14:paraId="7388107A" w14:textId="77777777" w:rsidR="001B2AA2" w:rsidRPr="00724426" w:rsidRDefault="001B2AA2" w:rsidP="00724426">
            <w:pPr>
              <w:spacing w:after="0" w:line="240" w:lineRule="auto"/>
              <w:jc w:val="both"/>
              <w:rPr>
                <w:rFonts w:ascii="Calibri" w:eastAsia="Times New Roman" w:hAnsi="Calibri" w:cs="Calibri"/>
                <w:b/>
                <w:bCs/>
                <w:color w:val="000000"/>
                <w:kern w:val="0"/>
                <w:lang w:val="en-US" w:eastAsia="it-IT"/>
                <w14:ligatures w14:val="none"/>
              </w:rPr>
            </w:pPr>
            <w:r w:rsidRPr="00724426">
              <w:rPr>
                <w:rFonts w:ascii="Calibri" w:eastAsia="Times New Roman" w:hAnsi="Calibri" w:cs="Calibri"/>
                <w:b/>
                <w:bCs/>
                <w:color w:val="000000"/>
                <w:kern w:val="0"/>
                <w:lang w:val="en-US" w:eastAsia="it-IT"/>
                <w14:ligatures w14:val="none"/>
              </w:rPr>
              <w:t>E-BSI onset in Emergency Department</w:t>
            </w:r>
          </w:p>
        </w:tc>
        <w:tc>
          <w:tcPr>
            <w:tcW w:w="3280" w:type="dxa"/>
            <w:tcBorders>
              <w:top w:val="nil"/>
              <w:left w:val="nil"/>
              <w:bottom w:val="single" w:sz="4" w:space="0" w:color="auto"/>
              <w:right w:val="nil"/>
            </w:tcBorders>
            <w:noWrap/>
            <w:vAlign w:val="center"/>
            <w:hideMark/>
          </w:tcPr>
          <w:p w14:paraId="45ED11C7" w14:textId="77777777" w:rsidR="001B2AA2" w:rsidRPr="00724426" w:rsidRDefault="001B2AA2" w:rsidP="00724426">
            <w:pPr>
              <w:spacing w:after="0" w:line="240" w:lineRule="auto"/>
              <w:jc w:val="both"/>
              <w:rPr>
                <w:rFonts w:ascii="Calibri" w:eastAsia="Times New Roman" w:hAnsi="Calibri" w:cs="Calibri"/>
                <w:color w:val="000000"/>
                <w:kern w:val="0"/>
                <w:lang w:val="en-US" w:eastAsia="it-IT"/>
                <w14:ligatures w14:val="none"/>
              </w:rPr>
            </w:pPr>
            <w:r w:rsidRPr="00724426">
              <w:rPr>
                <w:rFonts w:ascii="Calibri" w:eastAsia="Times New Roman" w:hAnsi="Calibri" w:cs="Calibri"/>
                <w:color w:val="000000"/>
                <w:kern w:val="0"/>
                <w:lang w:val="en-US" w:eastAsia="it-IT"/>
                <w14:ligatures w14:val="none"/>
              </w:rPr>
              <w:t>34.9%</w:t>
            </w:r>
          </w:p>
        </w:tc>
        <w:tc>
          <w:tcPr>
            <w:tcW w:w="3160" w:type="dxa"/>
            <w:tcBorders>
              <w:top w:val="nil"/>
              <w:left w:val="nil"/>
              <w:bottom w:val="single" w:sz="4" w:space="0" w:color="auto"/>
              <w:right w:val="nil"/>
            </w:tcBorders>
            <w:noWrap/>
            <w:vAlign w:val="center"/>
            <w:hideMark/>
          </w:tcPr>
          <w:p w14:paraId="32CFEA11" w14:textId="77777777" w:rsidR="001B2AA2" w:rsidRPr="00724426" w:rsidRDefault="001B2AA2" w:rsidP="00724426">
            <w:pPr>
              <w:spacing w:after="0" w:line="240" w:lineRule="auto"/>
              <w:jc w:val="both"/>
              <w:rPr>
                <w:rFonts w:ascii="Calibri" w:eastAsia="Times New Roman" w:hAnsi="Calibri" w:cs="Calibri"/>
                <w:color w:val="000000"/>
                <w:kern w:val="0"/>
                <w:lang w:val="en-US" w:eastAsia="it-IT"/>
                <w14:ligatures w14:val="none"/>
              </w:rPr>
            </w:pPr>
            <w:r w:rsidRPr="00724426">
              <w:rPr>
                <w:rFonts w:ascii="Calibri" w:eastAsia="Times New Roman" w:hAnsi="Calibri" w:cs="Calibri"/>
                <w:color w:val="000000"/>
                <w:kern w:val="0"/>
                <w:lang w:val="en-US" w:eastAsia="it-IT"/>
                <w14:ligatures w14:val="none"/>
              </w:rPr>
              <w:t>0.4%</w:t>
            </w:r>
          </w:p>
        </w:tc>
      </w:tr>
    </w:tbl>
    <w:p w14:paraId="32DB9DDC" w14:textId="77777777" w:rsidR="001B2AA2" w:rsidRPr="00724426" w:rsidRDefault="001B2AA2" w:rsidP="00724426">
      <w:pPr>
        <w:jc w:val="both"/>
        <w:rPr>
          <w:rFonts w:eastAsia="Times New Roman" w:cs="Times New Roman"/>
          <w:lang w:val="en-US"/>
          <w14:ligatures w14:val="none"/>
        </w:rPr>
      </w:pPr>
    </w:p>
    <w:p w14:paraId="2E43D72A" w14:textId="77777777" w:rsidR="001B2AA2" w:rsidRPr="00724426" w:rsidRDefault="001B2AA2" w:rsidP="00724426">
      <w:pPr>
        <w:jc w:val="both"/>
        <w:rPr>
          <w:rFonts w:eastAsia="Times New Roman" w:cs="Times New Roman"/>
          <w:b/>
          <w:bCs/>
          <w:lang w:val="en-US"/>
          <w14:ligatures w14:val="none"/>
        </w:rPr>
      </w:pPr>
      <w:r w:rsidRPr="00724426">
        <w:rPr>
          <w:rFonts w:eastAsia="Times New Roman" w:cs="Times New Roman"/>
          <w:b/>
          <w:bCs/>
          <w:lang w:val="en-US"/>
          <w14:ligatures w14:val="none"/>
        </w:rPr>
        <w:t xml:space="preserve">Legend: </w:t>
      </w:r>
    </w:p>
    <w:p w14:paraId="7BA242B7" w14:textId="77777777" w:rsidR="001B2AA2" w:rsidRPr="00724426" w:rsidRDefault="001B2AA2" w:rsidP="00724426">
      <w:pPr>
        <w:numPr>
          <w:ilvl w:val="0"/>
          <w:numId w:val="1"/>
        </w:numPr>
        <w:jc w:val="both"/>
        <w:rPr>
          <w:rFonts w:eastAsia="Times New Roman" w:cs="Times New Roman"/>
          <w:lang w:val="en-US"/>
          <w14:ligatures w14:val="none"/>
        </w:rPr>
      </w:pPr>
      <w:r w:rsidRPr="00724426">
        <w:rPr>
          <w:rFonts w:eastAsia="Times New Roman" w:cs="Times New Roman"/>
          <w:lang w:val="en-US"/>
          <w14:ligatures w14:val="none"/>
        </w:rPr>
        <w:t xml:space="preserve">Absolute value of standardized differences displayed. A standardized difference greater than 10% is considered to indicate meaningful imbalance between groups.  </w:t>
      </w:r>
    </w:p>
    <w:p w14:paraId="1AE66C3B"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IPTW= inverse probability of treatment weighting; E-BSI: Enterococcus Bloodstream infection.</w:t>
      </w:r>
    </w:p>
    <w:p w14:paraId="14D2CFC1"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Overidentification test for covariate balance: chi2(</w:t>
      </w:r>
      <w:proofErr w:type="gramStart"/>
      <w:r w:rsidRPr="00724426">
        <w:rPr>
          <w:rFonts w:eastAsia="Times New Roman" w:cs="Times New Roman"/>
          <w:lang w:val="en-US"/>
          <w14:ligatures w14:val="none"/>
        </w:rPr>
        <w:t>5)=</w:t>
      </w:r>
      <w:proofErr w:type="gramEnd"/>
      <w:r w:rsidRPr="00724426">
        <w:rPr>
          <w:rFonts w:eastAsia="Times New Roman" w:cs="Times New Roman"/>
          <w:lang w:val="en-US"/>
          <w14:ligatures w14:val="none"/>
        </w:rPr>
        <w:t xml:space="preserve">   0.59176; Prob &gt; chi</w:t>
      </w:r>
      <w:r w:rsidRPr="00724426">
        <w:rPr>
          <w:rFonts w:eastAsia="Times New Roman" w:cs="Times New Roman"/>
          <w:vertAlign w:val="superscript"/>
          <w:lang w:val="en-US"/>
          <w14:ligatures w14:val="none"/>
        </w:rPr>
        <w:t>2</w:t>
      </w:r>
      <w:r w:rsidRPr="00724426">
        <w:rPr>
          <w:rFonts w:eastAsia="Times New Roman" w:cs="Times New Roman"/>
          <w:lang w:val="en-US"/>
          <w14:ligatures w14:val="none"/>
        </w:rPr>
        <w:t xml:space="preserve">  = 0.9884.</w:t>
      </w:r>
    </w:p>
    <w:p w14:paraId="7678DB0E"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br w:type="page"/>
      </w:r>
    </w:p>
    <w:p w14:paraId="15788DEB" w14:textId="77777777" w:rsidR="001B2AA2" w:rsidRPr="00724426" w:rsidRDefault="001B2AA2" w:rsidP="00724426">
      <w:pPr>
        <w:jc w:val="both"/>
        <w:rPr>
          <w:rFonts w:eastAsia="Times New Roman" w:cs="Times New Roman"/>
          <w:b/>
          <w:bCs/>
          <w:lang w:val="en-US"/>
          <w14:ligatures w14:val="none"/>
        </w:rPr>
      </w:pPr>
      <w:r w:rsidRPr="00724426">
        <w:rPr>
          <w:rFonts w:eastAsia="Times New Roman" w:cs="Times New Roman"/>
          <w:b/>
          <w:bCs/>
          <w:lang w:val="en-US"/>
          <w14:ligatures w14:val="none"/>
        </w:rPr>
        <w:lastRenderedPageBreak/>
        <w:t xml:space="preserve">Supplementary Table S3. Multivariable Cox regression model for predictors of 14-day and 30-day mortality of patients with EBSI </w:t>
      </w:r>
    </w:p>
    <w:tbl>
      <w:tblPr>
        <w:tblW w:w="5000" w:type="pct"/>
        <w:tblCellMar>
          <w:left w:w="70" w:type="dxa"/>
          <w:right w:w="70" w:type="dxa"/>
        </w:tblCellMar>
        <w:tblLook w:val="04A0" w:firstRow="1" w:lastRow="0" w:firstColumn="1" w:lastColumn="0" w:noHBand="0" w:noVBand="1"/>
      </w:tblPr>
      <w:tblGrid>
        <w:gridCol w:w="3131"/>
        <w:gridCol w:w="424"/>
        <w:gridCol w:w="829"/>
        <w:gridCol w:w="623"/>
        <w:gridCol w:w="2755"/>
        <w:gridCol w:w="424"/>
        <w:gridCol w:w="829"/>
        <w:gridCol w:w="623"/>
      </w:tblGrid>
      <w:tr w:rsidR="001B2AA2" w:rsidRPr="00724426" w14:paraId="17587791" w14:textId="77777777" w:rsidTr="008E4A87">
        <w:trPr>
          <w:trHeight w:val="288"/>
        </w:trPr>
        <w:tc>
          <w:tcPr>
            <w:tcW w:w="2624" w:type="pct"/>
            <w:gridSpan w:val="4"/>
            <w:tcBorders>
              <w:top w:val="single" w:sz="4" w:space="0" w:color="auto"/>
              <w:left w:val="nil"/>
              <w:bottom w:val="single" w:sz="4" w:space="0" w:color="auto"/>
              <w:right w:val="single" w:sz="4" w:space="0" w:color="000000"/>
            </w:tcBorders>
            <w:shd w:val="clear" w:color="000000" w:fill="FFFFFF"/>
            <w:noWrap/>
            <w:vAlign w:val="center"/>
            <w:hideMark/>
          </w:tcPr>
          <w:p w14:paraId="4CE91E27"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RISK OF 14-DAY MORTALITY - Multivariable Analysis (Model A)</w:t>
            </w:r>
          </w:p>
        </w:tc>
        <w:tc>
          <w:tcPr>
            <w:tcW w:w="2376" w:type="pct"/>
            <w:gridSpan w:val="4"/>
            <w:tcBorders>
              <w:top w:val="single" w:sz="4" w:space="0" w:color="auto"/>
              <w:left w:val="nil"/>
              <w:bottom w:val="single" w:sz="4" w:space="0" w:color="auto"/>
              <w:right w:val="nil"/>
            </w:tcBorders>
            <w:shd w:val="clear" w:color="000000" w:fill="FFFFFF"/>
            <w:noWrap/>
            <w:vAlign w:val="center"/>
            <w:hideMark/>
          </w:tcPr>
          <w:p w14:paraId="26369756"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RISK OF 14-DAY MORTALITY - Multivariable Analysis (Model B)</w:t>
            </w:r>
          </w:p>
        </w:tc>
      </w:tr>
      <w:tr w:rsidR="001B2AA2" w:rsidRPr="00724426" w14:paraId="28C6584F" w14:textId="77777777" w:rsidTr="008E4A87">
        <w:trPr>
          <w:trHeight w:val="288"/>
        </w:trPr>
        <w:tc>
          <w:tcPr>
            <w:tcW w:w="1776" w:type="pct"/>
            <w:tcBorders>
              <w:top w:val="nil"/>
              <w:left w:val="nil"/>
              <w:bottom w:val="single" w:sz="4" w:space="0" w:color="auto"/>
              <w:right w:val="nil"/>
            </w:tcBorders>
            <w:shd w:val="clear" w:color="000000" w:fill="FFFFFF"/>
            <w:noWrap/>
            <w:vAlign w:val="center"/>
            <w:hideMark/>
          </w:tcPr>
          <w:p w14:paraId="37EFA76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71" w:type="pct"/>
            <w:tcBorders>
              <w:top w:val="nil"/>
              <w:left w:val="nil"/>
              <w:bottom w:val="single" w:sz="4" w:space="0" w:color="auto"/>
              <w:right w:val="nil"/>
            </w:tcBorders>
            <w:shd w:val="clear" w:color="000000" w:fill="FFFFFF"/>
            <w:noWrap/>
            <w:vAlign w:val="center"/>
            <w:hideMark/>
          </w:tcPr>
          <w:p w14:paraId="7FF6F1D0"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proofErr w:type="spellStart"/>
            <w:r w:rsidRPr="00724426">
              <w:rPr>
                <w:rFonts w:ascii="Calibri" w:eastAsia="Times New Roman" w:hAnsi="Calibri" w:cs="Calibri"/>
                <w:b/>
                <w:bCs/>
                <w:kern w:val="0"/>
                <w:sz w:val="16"/>
                <w:szCs w:val="16"/>
                <w:lang w:val="en-US" w:eastAsia="it-IT"/>
                <w14:ligatures w14:val="none"/>
              </w:rPr>
              <w:t>aHR</w:t>
            </w:r>
            <w:proofErr w:type="spellEnd"/>
          </w:p>
        </w:tc>
        <w:tc>
          <w:tcPr>
            <w:tcW w:w="396" w:type="pct"/>
            <w:tcBorders>
              <w:top w:val="nil"/>
              <w:left w:val="nil"/>
              <w:bottom w:val="single" w:sz="4" w:space="0" w:color="auto"/>
              <w:right w:val="nil"/>
            </w:tcBorders>
            <w:shd w:val="clear" w:color="000000" w:fill="FFFFFF"/>
            <w:noWrap/>
            <w:vAlign w:val="center"/>
            <w:hideMark/>
          </w:tcPr>
          <w:p w14:paraId="3FA7A403"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95%CI</w:t>
            </w:r>
          </w:p>
        </w:tc>
        <w:tc>
          <w:tcPr>
            <w:tcW w:w="281" w:type="pct"/>
            <w:tcBorders>
              <w:top w:val="nil"/>
              <w:left w:val="nil"/>
              <w:bottom w:val="single" w:sz="4" w:space="0" w:color="auto"/>
              <w:right w:val="single" w:sz="4" w:space="0" w:color="auto"/>
            </w:tcBorders>
            <w:shd w:val="clear" w:color="000000" w:fill="FFFFFF"/>
            <w:noWrap/>
            <w:vAlign w:val="center"/>
            <w:hideMark/>
          </w:tcPr>
          <w:p w14:paraId="1D4BCCDA"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p value</w:t>
            </w:r>
          </w:p>
        </w:tc>
        <w:tc>
          <w:tcPr>
            <w:tcW w:w="1523" w:type="pct"/>
            <w:tcBorders>
              <w:top w:val="nil"/>
              <w:left w:val="nil"/>
              <w:bottom w:val="single" w:sz="4" w:space="0" w:color="auto"/>
              <w:right w:val="nil"/>
            </w:tcBorders>
            <w:shd w:val="clear" w:color="000000" w:fill="FFFFFF"/>
            <w:noWrap/>
            <w:vAlign w:val="center"/>
            <w:hideMark/>
          </w:tcPr>
          <w:p w14:paraId="7FFE7ECA"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 </w:t>
            </w:r>
          </w:p>
        </w:tc>
        <w:tc>
          <w:tcPr>
            <w:tcW w:w="172" w:type="pct"/>
            <w:tcBorders>
              <w:top w:val="nil"/>
              <w:left w:val="nil"/>
              <w:bottom w:val="single" w:sz="4" w:space="0" w:color="auto"/>
              <w:right w:val="nil"/>
            </w:tcBorders>
            <w:shd w:val="clear" w:color="000000" w:fill="FFFFFF"/>
            <w:noWrap/>
            <w:vAlign w:val="center"/>
            <w:hideMark/>
          </w:tcPr>
          <w:p w14:paraId="6153030B"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proofErr w:type="spellStart"/>
            <w:r w:rsidRPr="00724426">
              <w:rPr>
                <w:rFonts w:ascii="Calibri" w:eastAsia="Times New Roman" w:hAnsi="Calibri" w:cs="Calibri"/>
                <w:b/>
                <w:bCs/>
                <w:kern w:val="0"/>
                <w:sz w:val="16"/>
                <w:szCs w:val="16"/>
                <w:lang w:val="en-US" w:eastAsia="it-IT"/>
                <w14:ligatures w14:val="none"/>
              </w:rPr>
              <w:t>aHR</w:t>
            </w:r>
            <w:proofErr w:type="spellEnd"/>
          </w:p>
        </w:tc>
        <w:tc>
          <w:tcPr>
            <w:tcW w:w="398" w:type="pct"/>
            <w:tcBorders>
              <w:top w:val="nil"/>
              <w:left w:val="nil"/>
              <w:bottom w:val="single" w:sz="4" w:space="0" w:color="auto"/>
              <w:right w:val="nil"/>
            </w:tcBorders>
            <w:shd w:val="clear" w:color="000000" w:fill="FFFFFF"/>
            <w:noWrap/>
            <w:vAlign w:val="center"/>
            <w:hideMark/>
          </w:tcPr>
          <w:p w14:paraId="48A899FB"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95%CI</w:t>
            </w:r>
          </w:p>
        </w:tc>
        <w:tc>
          <w:tcPr>
            <w:tcW w:w="283" w:type="pct"/>
            <w:tcBorders>
              <w:top w:val="nil"/>
              <w:left w:val="nil"/>
              <w:bottom w:val="single" w:sz="4" w:space="0" w:color="auto"/>
              <w:right w:val="nil"/>
            </w:tcBorders>
            <w:shd w:val="clear" w:color="000000" w:fill="FFFFFF"/>
            <w:noWrap/>
            <w:vAlign w:val="center"/>
            <w:hideMark/>
          </w:tcPr>
          <w:p w14:paraId="07281BFC"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p value</w:t>
            </w:r>
          </w:p>
        </w:tc>
      </w:tr>
      <w:tr w:rsidR="001B2AA2" w:rsidRPr="00724426" w14:paraId="5AC2F99B" w14:textId="77777777" w:rsidTr="008E4A87">
        <w:trPr>
          <w:trHeight w:val="288"/>
        </w:trPr>
        <w:tc>
          <w:tcPr>
            <w:tcW w:w="1776" w:type="pct"/>
            <w:tcBorders>
              <w:top w:val="nil"/>
              <w:left w:val="nil"/>
              <w:bottom w:val="nil"/>
              <w:right w:val="nil"/>
            </w:tcBorders>
            <w:shd w:val="clear" w:color="000000" w:fill="FFFFFF"/>
            <w:noWrap/>
            <w:vAlign w:val="center"/>
            <w:hideMark/>
          </w:tcPr>
          <w:p w14:paraId="5C36864B"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Demographics</w:t>
            </w:r>
          </w:p>
        </w:tc>
        <w:tc>
          <w:tcPr>
            <w:tcW w:w="171" w:type="pct"/>
            <w:tcBorders>
              <w:top w:val="nil"/>
              <w:left w:val="nil"/>
              <w:bottom w:val="nil"/>
              <w:right w:val="nil"/>
            </w:tcBorders>
            <w:shd w:val="clear" w:color="000000" w:fill="FFFFFF"/>
            <w:noWrap/>
            <w:vAlign w:val="center"/>
            <w:hideMark/>
          </w:tcPr>
          <w:p w14:paraId="32CAE2E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2C6FBB3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556D29A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noWrap/>
            <w:vAlign w:val="center"/>
            <w:hideMark/>
          </w:tcPr>
          <w:p w14:paraId="57E2F5BB"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Demographics</w:t>
            </w:r>
          </w:p>
        </w:tc>
        <w:tc>
          <w:tcPr>
            <w:tcW w:w="172" w:type="pct"/>
            <w:tcBorders>
              <w:top w:val="nil"/>
              <w:left w:val="nil"/>
              <w:bottom w:val="nil"/>
              <w:right w:val="nil"/>
            </w:tcBorders>
            <w:shd w:val="clear" w:color="000000" w:fill="FFFFFF"/>
            <w:noWrap/>
            <w:vAlign w:val="center"/>
            <w:hideMark/>
          </w:tcPr>
          <w:p w14:paraId="38F9E485"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65C0972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2872E4D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2BF8D4E0" w14:textId="77777777" w:rsidTr="008E4A87">
        <w:trPr>
          <w:trHeight w:val="288"/>
        </w:trPr>
        <w:tc>
          <w:tcPr>
            <w:tcW w:w="1776" w:type="pct"/>
            <w:tcBorders>
              <w:top w:val="nil"/>
              <w:left w:val="nil"/>
              <w:bottom w:val="nil"/>
              <w:right w:val="nil"/>
            </w:tcBorders>
            <w:shd w:val="clear" w:color="000000" w:fill="FFFFFF"/>
            <w:vAlign w:val="center"/>
            <w:hideMark/>
          </w:tcPr>
          <w:p w14:paraId="04EE8ACD"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Age, years (per 1 point increase)</w:t>
            </w:r>
          </w:p>
        </w:tc>
        <w:tc>
          <w:tcPr>
            <w:tcW w:w="171" w:type="pct"/>
            <w:tcBorders>
              <w:top w:val="nil"/>
              <w:left w:val="nil"/>
              <w:bottom w:val="nil"/>
              <w:right w:val="nil"/>
            </w:tcBorders>
            <w:shd w:val="clear" w:color="000000" w:fill="FFFFFF"/>
            <w:noWrap/>
            <w:vAlign w:val="center"/>
            <w:hideMark/>
          </w:tcPr>
          <w:p w14:paraId="4E4F85A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1.01</w:t>
            </w:r>
          </w:p>
        </w:tc>
        <w:tc>
          <w:tcPr>
            <w:tcW w:w="396" w:type="pct"/>
            <w:tcBorders>
              <w:top w:val="nil"/>
              <w:left w:val="nil"/>
              <w:bottom w:val="nil"/>
              <w:right w:val="nil"/>
            </w:tcBorders>
            <w:shd w:val="clear" w:color="000000" w:fill="FFFFFF"/>
            <w:noWrap/>
            <w:vAlign w:val="center"/>
            <w:hideMark/>
          </w:tcPr>
          <w:p w14:paraId="5BC6634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0.99 - 1.02</w:t>
            </w:r>
          </w:p>
        </w:tc>
        <w:tc>
          <w:tcPr>
            <w:tcW w:w="281" w:type="pct"/>
            <w:tcBorders>
              <w:top w:val="nil"/>
              <w:left w:val="nil"/>
              <w:bottom w:val="nil"/>
              <w:right w:val="single" w:sz="4" w:space="0" w:color="auto"/>
            </w:tcBorders>
            <w:shd w:val="clear" w:color="000000" w:fill="FFFFFF"/>
            <w:noWrap/>
            <w:vAlign w:val="center"/>
            <w:hideMark/>
          </w:tcPr>
          <w:p w14:paraId="64DC7DC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0.060</w:t>
            </w:r>
          </w:p>
        </w:tc>
        <w:tc>
          <w:tcPr>
            <w:tcW w:w="1523" w:type="pct"/>
            <w:tcBorders>
              <w:top w:val="nil"/>
              <w:left w:val="nil"/>
              <w:bottom w:val="nil"/>
              <w:right w:val="nil"/>
            </w:tcBorders>
            <w:shd w:val="clear" w:color="000000" w:fill="FFFFFF"/>
            <w:vAlign w:val="center"/>
            <w:hideMark/>
          </w:tcPr>
          <w:p w14:paraId="79D312D6"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Age, years (per 1 point increase)</w:t>
            </w:r>
          </w:p>
        </w:tc>
        <w:tc>
          <w:tcPr>
            <w:tcW w:w="172" w:type="pct"/>
            <w:tcBorders>
              <w:top w:val="nil"/>
              <w:left w:val="nil"/>
              <w:bottom w:val="nil"/>
              <w:right w:val="nil"/>
            </w:tcBorders>
            <w:shd w:val="clear" w:color="000000" w:fill="FFFFFF"/>
            <w:noWrap/>
            <w:vAlign w:val="center"/>
            <w:hideMark/>
          </w:tcPr>
          <w:p w14:paraId="3186952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1.01</w:t>
            </w:r>
          </w:p>
        </w:tc>
        <w:tc>
          <w:tcPr>
            <w:tcW w:w="398" w:type="pct"/>
            <w:tcBorders>
              <w:top w:val="nil"/>
              <w:left w:val="nil"/>
              <w:bottom w:val="nil"/>
              <w:right w:val="nil"/>
            </w:tcBorders>
            <w:shd w:val="clear" w:color="000000" w:fill="FFFFFF"/>
            <w:noWrap/>
            <w:vAlign w:val="center"/>
            <w:hideMark/>
          </w:tcPr>
          <w:p w14:paraId="1313D05C"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0.99 - 1.02</w:t>
            </w:r>
          </w:p>
        </w:tc>
        <w:tc>
          <w:tcPr>
            <w:tcW w:w="283" w:type="pct"/>
            <w:tcBorders>
              <w:top w:val="nil"/>
              <w:left w:val="nil"/>
              <w:bottom w:val="nil"/>
              <w:right w:val="nil"/>
            </w:tcBorders>
            <w:shd w:val="clear" w:color="000000" w:fill="FFFFFF"/>
            <w:noWrap/>
            <w:vAlign w:val="center"/>
            <w:hideMark/>
          </w:tcPr>
          <w:p w14:paraId="7A2D03D4"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0.061</w:t>
            </w:r>
          </w:p>
        </w:tc>
      </w:tr>
      <w:tr w:rsidR="001B2AA2" w:rsidRPr="00724426" w14:paraId="6D4569F6" w14:textId="77777777" w:rsidTr="008E4A87">
        <w:trPr>
          <w:trHeight w:val="288"/>
        </w:trPr>
        <w:tc>
          <w:tcPr>
            <w:tcW w:w="1776" w:type="pct"/>
            <w:tcBorders>
              <w:top w:val="nil"/>
              <w:left w:val="nil"/>
              <w:bottom w:val="nil"/>
              <w:right w:val="nil"/>
            </w:tcBorders>
            <w:shd w:val="clear" w:color="000000" w:fill="FFFFFF"/>
            <w:vAlign w:val="center"/>
            <w:hideMark/>
          </w:tcPr>
          <w:p w14:paraId="040B6EC5"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Charlson comorbidity index (per 1 point increase)</w:t>
            </w:r>
          </w:p>
        </w:tc>
        <w:tc>
          <w:tcPr>
            <w:tcW w:w="171" w:type="pct"/>
            <w:tcBorders>
              <w:top w:val="nil"/>
              <w:left w:val="nil"/>
              <w:bottom w:val="nil"/>
              <w:right w:val="nil"/>
            </w:tcBorders>
            <w:shd w:val="clear" w:color="000000" w:fill="FFFFFF"/>
            <w:noWrap/>
            <w:vAlign w:val="center"/>
            <w:hideMark/>
          </w:tcPr>
          <w:p w14:paraId="45A5236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1.13</w:t>
            </w:r>
          </w:p>
        </w:tc>
        <w:tc>
          <w:tcPr>
            <w:tcW w:w="396" w:type="pct"/>
            <w:tcBorders>
              <w:top w:val="nil"/>
              <w:left w:val="nil"/>
              <w:bottom w:val="nil"/>
              <w:right w:val="nil"/>
            </w:tcBorders>
            <w:shd w:val="clear" w:color="000000" w:fill="FFFFFF"/>
            <w:noWrap/>
            <w:vAlign w:val="center"/>
            <w:hideMark/>
          </w:tcPr>
          <w:p w14:paraId="6B4CFEB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1.07 - 1.19</w:t>
            </w:r>
          </w:p>
        </w:tc>
        <w:tc>
          <w:tcPr>
            <w:tcW w:w="281" w:type="pct"/>
            <w:tcBorders>
              <w:top w:val="nil"/>
              <w:left w:val="nil"/>
              <w:bottom w:val="nil"/>
              <w:right w:val="single" w:sz="4" w:space="0" w:color="auto"/>
            </w:tcBorders>
            <w:shd w:val="clear" w:color="000000" w:fill="FFFFFF"/>
            <w:noWrap/>
            <w:vAlign w:val="center"/>
            <w:hideMark/>
          </w:tcPr>
          <w:p w14:paraId="03D47E76"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0.001</w:t>
            </w:r>
          </w:p>
        </w:tc>
        <w:tc>
          <w:tcPr>
            <w:tcW w:w="1523" w:type="pct"/>
            <w:tcBorders>
              <w:top w:val="nil"/>
              <w:left w:val="nil"/>
              <w:bottom w:val="nil"/>
              <w:right w:val="nil"/>
            </w:tcBorders>
            <w:shd w:val="clear" w:color="000000" w:fill="FFFFFF"/>
            <w:vAlign w:val="center"/>
            <w:hideMark/>
          </w:tcPr>
          <w:p w14:paraId="0A042F8A"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Charlson comorbidity index (per 1 point increase)</w:t>
            </w:r>
          </w:p>
        </w:tc>
        <w:tc>
          <w:tcPr>
            <w:tcW w:w="172" w:type="pct"/>
            <w:tcBorders>
              <w:top w:val="nil"/>
              <w:left w:val="nil"/>
              <w:bottom w:val="nil"/>
              <w:right w:val="nil"/>
            </w:tcBorders>
            <w:shd w:val="clear" w:color="000000" w:fill="FFFFFF"/>
            <w:noWrap/>
            <w:vAlign w:val="center"/>
            <w:hideMark/>
          </w:tcPr>
          <w:p w14:paraId="5DA07D39"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1.13</w:t>
            </w:r>
          </w:p>
        </w:tc>
        <w:tc>
          <w:tcPr>
            <w:tcW w:w="398" w:type="pct"/>
            <w:tcBorders>
              <w:top w:val="nil"/>
              <w:left w:val="nil"/>
              <w:bottom w:val="nil"/>
              <w:right w:val="nil"/>
            </w:tcBorders>
            <w:shd w:val="clear" w:color="000000" w:fill="FFFFFF"/>
            <w:noWrap/>
            <w:vAlign w:val="center"/>
            <w:hideMark/>
          </w:tcPr>
          <w:p w14:paraId="70F0E77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1.07 - 1.19</w:t>
            </w:r>
          </w:p>
        </w:tc>
        <w:tc>
          <w:tcPr>
            <w:tcW w:w="283" w:type="pct"/>
            <w:tcBorders>
              <w:top w:val="nil"/>
              <w:left w:val="nil"/>
              <w:bottom w:val="nil"/>
              <w:right w:val="nil"/>
            </w:tcBorders>
            <w:shd w:val="clear" w:color="000000" w:fill="FFFFFF"/>
            <w:noWrap/>
            <w:vAlign w:val="center"/>
            <w:hideMark/>
          </w:tcPr>
          <w:p w14:paraId="64ECD8C8"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&lt;0.001</w:t>
            </w:r>
          </w:p>
        </w:tc>
      </w:tr>
      <w:tr w:rsidR="001B2AA2" w:rsidRPr="00724426" w14:paraId="719EEE47" w14:textId="77777777" w:rsidTr="008E4A87">
        <w:trPr>
          <w:trHeight w:val="288"/>
        </w:trPr>
        <w:tc>
          <w:tcPr>
            <w:tcW w:w="1776" w:type="pct"/>
            <w:tcBorders>
              <w:top w:val="nil"/>
              <w:left w:val="nil"/>
              <w:bottom w:val="nil"/>
              <w:right w:val="nil"/>
            </w:tcBorders>
            <w:shd w:val="clear" w:color="000000" w:fill="FFFFFF"/>
            <w:vAlign w:val="center"/>
            <w:hideMark/>
          </w:tcPr>
          <w:p w14:paraId="1AFF057F"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Unit of admission</w:t>
            </w:r>
          </w:p>
        </w:tc>
        <w:tc>
          <w:tcPr>
            <w:tcW w:w="171" w:type="pct"/>
            <w:tcBorders>
              <w:top w:val="nil"/>
              <w:left w:val="nil"/>
              <w:bottom w:val="nil"/>
              <w:right w:val="nil"/>
            </w:tcBorders>
            <w:shd w:val="clear" w:color="000000" w:fill="FFFFFF"/>
            <w:noWrap/>
            <w:vAlign w:val="center"/>
            <w:hideMark/>
          </w:tcPr>
          <w:p w14:paraId="448287D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5EA13CF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6AAD642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18E795B1"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Unit of admission</w:t>
            </w:r>
          </w:p>
        </w:tc>
        <w:tc>
          <w:tcPr>
            <w:tcW w:w="172" w:type="pct"/>
            <w:tcBorders>
              <w:top w:val="nil"/>
              <w:left w:val="nil"/>
              <w:bottom w:val="nil"/>
              <w:right w:val="nil"/>
            </w:tcBorders>
            <w:shd w:val="clear" w:color="000000" w:fill="FFFFFF"/>
            <w:noWrap/>
            <w:vAlign w:val="center"/>
            <w:hideMark/>
          </w:tcPr>
          <w:p w14:paraId="07666E4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7FA0B45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533349B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4A21C968" w14:textId="77777777" w:rsidTr="008E4A87">
        <w:trPr>
          <w:trHeight w:val="288"/>
        </w:trPr>
        <w:tc>
          <w:tcPr>
            <w:tcW w:w="1776" w:type="pct"/>
            <w:tcBorders>
              <w:top w:val="nil"/>
              <w:left w:val="nil"/>
              <w:bottom w:val="nil"/>
              <w:right w:val="nil"/>
            </w:tcBorders>
            <w:shd w:val="clear" w:color="000000" w:fill="FFFFFF"/>
            <w:vAlign w:val="center"/>
            <w:hideMark/>
          </w:tcPr>
          <w:p w14:paraId="792817F8"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ICU</w:t>
            </w:r>
          </w:p>
        </w:tc>
        <w:tc>
          <w:tcPr>
            <w:tcW w:w="171" w:type="pct"/>
            <w:tcBorders>
              <w:top w:val="nil"/>
              <w:left w:val="nil"/>
              <w:bottom w:val="nil"/>
              <w:right w:val="nil"/>
            </w:tcBorders>
            <w:shd w:val="clear" w:color="000000" w:fill="FFFFFF"/>
            <w:noWrap/>
            <w:vAlign w:val="center"/>
            <w:hideMark/>
          </w:tcPr>
          <w:p w14:paraId="122C80C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1.62</w:t>
            </w:r>
          </w:p>
        </w:tc>
        <w:tc>
          <w:tcPr>
            <w:tcW w:w="396" w:type="pct"/>
            <w:tcBorders>
              <w:top w:val="nil"/>
              <w:left w:val="nil"/>
              <w:bottom w:val="nil"/>
              <w:right w:val="nil"/>
            </w:tcBorders>
            <w:shd w:val="clear" w:color="000000" w:fill="FFFFFF"/>
            <w:noWrap/>
            <w:vAlign w:val="center"/>
            <w:hideMark/>
          </w:tcPr>
          <w:p w14:paraId="50560E1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1.05 - 2.49</w:t>
            </w:r>
          </w:p>
        </w:tc>
        <w:tc>
          <w:tcPr>
            <w:tcW w:w="281" w:type="pct"/>
            <w:tcBorders>
              <w:top w:val="nil"/>
              <w:left w:val="nil"/>
              <w:bottom w:val="nil"/>
              <w:right w:val="single" w:sz="4" w:space="0" w:color="auto"/>
            </w:tcBorders>
            <w:shd w:val="clear" w:color="000000" w:fill="FFFFFF"/>
            <w:noWrap/>
            <w:vAlign w:val="center"/>
            <w:hideMark/>
          </w:tcPr>
          <w:p w14:paraId="10685FFB"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0.028</w:t>
            </w:r>
          </w:p>
        </w:tc>
        <w:tc>
          <w:tcPr>
            <w:tcW w:w="1523" w:type="pct"/>
            <w:tcBorders>
              <w:top w:val="nil"/>
              <w:left w:val="nil"/>
              <w:bottom w:val="nil"/>
              <w:right w:val="nil"/>
            </w:tcBorders>
            <w:shd w:val="clear" w:color="000000" w:fill="FFFFFF"/>
            <w:vAlign w:val="center"/>
            <w:hideMark/>
          </w:tcPr>
          <w:p w14:paraId="0F36D3D0"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ICU</w:t>
            </w:r>
          </w:p>
        </w:tc>
        <w:tc>
          <w:tcPr>
            <w:tcW w:w="172" w:type="pct"/>
            <w:tcBorders>
              <w:top w:val="nil"/>
              <w:left w:val="nil"/>
              <w:bottom w:val="nil"/>
              <w:right w:val="nil"/>
            </w:tcBorders>
            <w:shd w:val="clear" w:color="000000" w:fill="FFFFFF"/>
            <w:noWrap/>
            <w:vAlign w:val="center"/>
            <w:hideMark/>
          </w:tcPr>
          <w:p w14:paraId="45688BC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1.61</w:t>
            </w:r>
          </w:p>
        </w:tc>
        <w:tc>
          <w:tcPr>
            <w:tcW w:w="398" w:type="pct"/>
            <w:tcBorders>
              <w:top w:val="nil"/>
              <w:left w:val="nil"/>
              <w:bottom w:val="nil"/>
              <w:right w:val="nil"/>
            </w:tcBorders>
            <w:shd w:val="clear" w:color="000000" w:fill="FFFFFF"/>
            <w:noWrap/>
            <w:vAlign w:val="center"/>
            <w:hideMark/>
          </w:tcPr>
          <w:p w14:paraId="56C8555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1.04 - 2.48</w:t>
            </w:r>
          </w:p>
        </w:tc>
        <w:tc>
          <w:tcPr>
            <w:tcW w:w="283" w:type="pct"/>
            <w:tcBorders>
              <w:top w:val="nil"/>
              <w:left w:val="nil"/>
              <w:bottom w:val="nil"/>
              <w:right w:val="nil"/>
            </w:tcBorders>
            <w:shd w:val="clear" w:color="000000" w:fill="FFFFFF"/>
            <w:noWrap/>
            <w:vAlign w:val="center"/>
            <w:hideMark/>
          </w:tcPr>
          <w:p w14:paraId="5E7F064E"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0.030</w:t>
            </w:r>
          </w:p>
        </w:tc>
      </w:tr>
      <w:tr w:rsidR="001B2AA2" w:rsidRPr="00724426" w14:paraId="275A96AB" w14:textId="77777777" w:rsidTr="008E4A87">
        <w:trPr>
          <w:trHeight w:val="288"/>
        </w:trPr>
        <w:tc>
          <w:tcPr>
            <w:tcW w:w="1776" w:type="pct"/>
            <w:tcBorders>
              <w:top w:val="nil"/>
              <w:left w:val="nil"/>
              <w:bottom w:val="nil"/>
              <w:right w:val="nil"/>
            </w:tcBorders>
            <w:shd w:val="clear" w:color="000000" w:fill="FFFFFF"/>
            <w:vAlign w:val="center"/>
            <w:hideMark/>
          </w:tcPr>
          <w:p w14:paraId="0D388A47"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Type of infection</w:t>
            </w:r>
          </w:p>
        </w:tc>
        <w:tc>
          <w:tcPr>
            <w:tcW w:w="171" w:type="pct"/>
            <w:tcBorders>
              <w:top w:val="nil"/>
              <w:left w:val="nil"/>
              <w:bottom w:val="nil"/>
              <w:right w:val="nil"/>
            </w:tcBorders>
            <w:shd w:val="clear" w:color="000000" w:fill="FFFFFF"/>
            <w:noWrap/>
            <w:vAlign w:val="center"/>
            <w:hideMark/>
          </w:tcPr>
          <w:p w14:paraId="4D1D840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00600B1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7F97454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694A9F25"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Type of infection</w:t>
            </w:r>
          </w:p>
        </w:tc>
        <w:tc>
          <w:tcPr>
            <w:tcW w:w="172" w:type="pct"/>
            <w:tcBorders>
              <w:top w:val="nil"/>
              <w:left w:val="nil"/>
              <w:bottom w:val="nil"/>
              <w:right w:val="nil"/>
            </w:tcBorders>
            <w:shd w:val="clear" w:color="000000" w:fill="FFFFFF"/>
            <w:noWrap/>
            <w:vAlign w:val="center"/>
            <w:hideMark/>
          </w:tcPr>
          <w:p w14:paraId="6EC8468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14476F95"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1390716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0EDB4748" w14:textId="77777777" w:rsidTr="008E4A87">
        <w:trPr>
          <w:trHeight w:val="288"/>
        </w:trPr>
        <w:tc>
          <w:tcPr>
            <w:tcW w:w="1776" w:type="pct"/>
            <w:tcBorders>
              <w:top w:val="nil"/>
              <w:left w:val="nil"/>
              <w:bottom w:val="nil"/>
              <w:right w:val="nil"/>
            </w:tcBorders>
            <w:shd w:val="clear" w:color="000000" w:fill="FFFFFF"/>
            <w:vAlign w:val="center"/>
            <w:hideMark/>
          </w:tcPr>
          <w:p w14:paraId="5952DE55"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Community acquired infection</w:t>
            </w:r>
          </w:p>
        </w:tc>
        <w:tc>
          <w:tcPr>
            <w:tcW w:w="171" w:type="pct"/>
            <w:tcBorders>
              <w:top w:val="nil"/>
              <w:left w:val="nil"/>
              <w:bottom w:val="nil"/>
              <w:right w:val="nil"/>
            </w:tcBorders>
            <w:shd w:val="clear" w:color="000000" w:fill="FFFFFF"/>
            <w:noWrap/>
            <w:vAlign w:val="center"/>
            <w:hideMark/>
          </w:tcPr>
          <w:p w14:paraId="5B285644"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w:t>
            </w:r>
          </w:p>
        </w:tc>
        <w:tc>
          <w:tcPr>
            <w:tcW w:w="396" w:type="pct"/>
            <w:tcBorders>
              <w:top w:val="nil"/>
              <w:left w:val="nil"/>
              <w:bottom w:val="nil"/>
              <w:right w:val="nil"/>
            </w:tcBorders>
            <w:shd w:val="clear" w:color="000000" w:fill="FFFFFF"/>
            <w:noWrap/>
            <w:vAlign w:val="center"/>
            <w:hideMark/>
          </w:tcPr>
          <w:p w14:paraId="3582646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66531E0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1DB50057"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Community acquired infection</w:t>
            </w:r>
          </w:p>
        </w:tc>
        <w:tc>
          <w:tcPr>
            <w:tcW w:w="172" w:type="pct"/>
            <w:tcBorders>
              <w:top w:val="nil"/>
              <w:left w:val="nil"/>
              <w:bottom w:val="nil"/>
              <w:right w:val="nil"/>
            </w:tcBorders>
            <w:shd w:val="clear" w:color="000000" w:fill="FFFFFF"/>
            <w:noWrap/>
            <w:vAlign w:val="center"/>
            <w:hideMark/>
          </w:tcPr>
          <w:p w14:paraId="43DAC9B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w:t>
            </w:r>
          </w:p>
        </w:tc>
        <w:tc>
          <w:tcPr>
            <w:tcW w:w="398" w:type="pct"/>
            <w:tcBorders>
              <w:top w:val="nil"/>
              <w:left w:val="nil"/>
              <w:bottom w:val="nil"/>
              <w:right w:val="nil"/>
            </w:tcBorders>
            <w:shd w:val="clear" w:color="000000" w:fill="FFFFFF"/>
            <w:noWrap/>
            <w:vAlign w:val="center"/>
            <w:hideMark/>
          </w:tcPr>
          <w:p w14:paraId="3B7A6A7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62526AE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344C69CA" w14:textId="77777777" w:rsidTr="008E4A87">
        <w:trPr>
          <w:trHeight w:val="288"/>
        </w:trPr>
        <w:tc>
          <w:tcPr>
            <w:tcW w:w="1776" w:type="pct"/>
            <w:tcBorders>
              <w:top w:val="nil"/>
              <w:left w:val="nil"/>
              <w:bottom w:val="nil"/>
              <w:right w:val="nil"/>
            </w:tcBorders>
            <w:shd w:val="clear" w:color="000000" w:fill="FFFFFF"/>
            <w:vAlign w:val="center"/>
            <w:hideMark/>
          </w:tcPr>
          <w:p w14:paraId="0D4A4D35"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Nosocomial infection</w:t>
            </w:r>
          </w:p>
        </w:tc>
        <w:tc>
          <w:tcPr>
            <w:tcW w:w="171" w:type="pct"/>
            <w:tcBorders>
              <w:top w:val="nil"/>
              <w:left w:val="nil"/>
              <w:bottom w:val="nil"/>
              <w:right w:val="nil"/>
            </w:tcBorders>
            <w:shd w:val="clear" w:color="000000" w:fill="FFFFFF"/>
            <w:noWrap/>
            <w:vAlign w:val="center"/>
            <w:hideMark/>
          </w:tcPr>
          <w:p w14:paraId="768098A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1.29</w:t>
            </w:r>
          </w:p>
        </w:tc>
        <w:tc>
          <w:tcPr>
            <w:tcW w:w="396" w:type="pct"/>
            <w:tcBorders>
              <w:top w:val="nil"/>
              <w:left w:val="nil"/>
              <w:bottom w:val="nil"/>
              <w:right w:val="nil"/>
            </w:tcBorders>
            <w:shd w:val="clear" w:color="000000" w:fill="FFFFFF"/>
            <w:noWrap/>
            <w:vAlign w:val="center"/>
            <w:hideMark/>
          </w:tcPr>
          <w:p w14:paraId="3E6C696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0.91 - 1.82</w:t>
            </w:r>
          </w:p>
        </w:tc>
        <w:tc>
          <w:tcPr>
            <w:tcW w:w="281" w:type="pct"/>
            <w:tcBorders>
              <w:top w:val="nil"/>
              <w:left w:val="nil"/>
              <w:bottom w:val="nil"/>
              <w:right w:val="single" w:sz="4" w:space="0" w:color="auto"/>
            </w:tcBorders>
            <w:shd w:val="clear" w:color="000000" w:fill="FFFFFF"/>
            <w:noWrap/>
            <w:vAlign w:val="center"/>
            <w:hideMark/>
          </w:tcPr>
          <w:p w14:paraId="6014534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0.148</w:t>
            </w:r>
          </w:p>
        </w:tc>
        <w:tc>
          <w:tcPr>
            <w:tcW w:w="1523" w:type="pct"/>
            <w:tcBorders>
              <w:top w:val="nil"/>
              <w:left w:val="nil"/>
              <w:bottom w:val="nil"/>
              <w:right w:val="nil"/>
            </w:tcBorders>
            <w:shd w:val="clear" w:color="000000" w:fill="FFFFFF"/>
            <w:vAlign w:val="center"/>
            <w:hideMark/>
          </w:tcPr>
          <w:p w14:paraId="06CBDA36"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Nosocomial infection</w:t>
            </w:r>
          </w:p>
        </w:tc>
        <w:tc>
          <w:tcPr>
            <w:tcW w:w="172" w:type="pct"/>
            <w:tcBorders>
              <w:top w:val="nil"/>
              <w:left w:val="nil"/>
              <w:bottom w:val="nil"/>
              <w:right w:val="nil"/>
            </w:tcBorders>
            <w:shd w:val="clear" w:color="000000" w:fill="FFFFFF"/>
            <w:noWrap/>
            <w:vAlign w:val="center"/>
            <w:hideMark/>
          </w:tcPr>
          <w:p w14:paraId="557EF00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1.28</w:t>
            </w:r>
          </w:p>
        </w:tc>
        <w:tc>
          <w:tcPr>
            <w:tcW w:w="398" w:type="pct"/>
            <w:tcBorders>
              <w:top w:val="nil"/>
              <w:left w:val="nil"/>
              <w:bottom w:val="nil"/>
              <w:right w:val="nil"/>
            </w:tcBorders>
            <w:shd w:val="clear" w:color="000000" w:fill="FFFFFF"/>
            <w:noWrap/>
            <w:vAlign w:val="center"/>
            <w:hideMark/>
          </w:tcPr>
          <w:p w14:paraId="01CC29E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0.91 - 1.81</w:t>
            </w:r>
          </w:p>
        </w:tc>
        <w:tc>
          <w:tcPr>
            <w:tcW w:w="283" w:type="pct"/>
            <w:tcBorders>
              <w:top w:val="nil"/>
              <w:left w:val="nil"/>
              <w:bottom w:val="nil"/>
              <w:right w:val="nil"/>
            </w:tcBorders>
            <w:shd w:val="clear" w:color="000000" w:fill="FFFFFF"/>
            <w:noWrap/>
            <w:vAlign w:val="center"/>
            <w:hideMark/>
          </w:tcPr>
          <w:p w14:paraId="107003B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0.150</w:t>
            </w:r>
          </w:p>
        </w:tc>
      </w:tr>
      <w:tr w:rsidR="001B2AA2" w:rsidRPr="00724426" w14:paraId="4C28C533" w14:textId="77777777" w:rsidTr="008E4A87">
        <w:trPr>
          <w:trHeight w:val="288"/>
        </w:trPr>
        <w:tc>
          <w:tcPr>
            <w:tcW w:w="1776" w:type="pct"/>
            <w:tcBorders>
              <w:top w:val="nil"/>
              <w:left w:val="nil"/>
              <w:bottom w:val="nil"/>
              <w:right w:val="nil"/>
            </w:tcBorders>
            <w:shd w:val="clear" w:color="000000" w:fill="FFFFFF"/>
            <w:vAlign w:val="center"/>
            <w:hideMark/>
          </w:tcPr>
          <w:p w14:paraId="72834C16"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Severity</w:t>
            </w:r>
          </w:p>
        </w:tc>
        <w:tc>
          <w:tcPr>
            <w:tcW w:w="171" w:type="pct"/>
            <w:tcBorders>
              <w:top w:val="nil"/>
              <w:left w:val="nil"/>
              <w:bottom w:val="nil"/>
              <w:right w:val="nil"/>
            </w:tcBorders>
            <w:shd w:val="clear" w:color="000000" w:fill="FFFFFF"/>
            <w:noWrap/>
            <w:vAlign w:val="center"/>
            <w:hideMark/>
          </w:tcPr>
          <w:p w14:paraId="320AE2C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66ABA13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6154DDD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0FD0AFDF"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Severity</w:t>
            </w:r>
          </w:p>
        </w:tc>
        <w:tc>
          <w:tcPr>
            <w:tcW w:w="172" w:type="pct"/>
            <w:tcBorders>
              <w:top w:val="nil"/>
              <w:left w:val="nil"/>
              <w:bottom w:val="nil"/>
              <w:right w:val="nil"/>
            </w:tcBorders>
            <w:shd w:val="clear" w:color="000000" w:fill="FFFFFF"/>
            <w:noWrap/>
            <w:vAlign w:val="center"/>
            <w:hideMark/>
          </w:tcPr>
          <w:p w14:paraId="53F7BB27"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61D3A96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10168CE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04E8898C" w14:textId="77777777" w:rsidTr="008E4A87">
        <w:trPr>
          <w:trHeight w:val="288"/>
        </w:trPr>
        <w:tc>
          <w:tcPr>
            <w:tcW w:w="1776" w:type="pct"/>
            <w:tcBorders>
              <w:top w:val="nil"/>
              <w:left w:val="nil"/>
              <w:bottom w:val="nil"/>
              <w:right w:val="nil"/>
            </w:tcBorders>
            <w:shd w:val="clear" w:color="000000" w:fill="FFFFFF"/>
            <w:vAlign w:val="center"/>
            <w:hideMark/>
          </w:tcPr>
          <w:p w14:paraId="53220759"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Sepsis or septic shock</w:t>
            </w:r>
          </w:p>
        </w:tc>
        <w:tc>
          <w:tcPr>
            <w:tcW w:w="171" w:type="pct"/>
            <w:tcBorders>
              <w:top w:val="nil"/>
              <w:left w:val="nil"/>
              <w:bottom w:val="nil"/>
              <w:right w:val="nil"/>
            </w:tcBorders>
            <w:shd w:val="clear" w:color="000000" w:fill="FFFFFF"/>
            <w:noWrap/>
            <w:vAlign w:val="center"/>
            <w:hideMark/>
          </w:tcPr>
          <w:p w14:paraId="5B80C8A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1.24</w:t>
            </w:r>
          </w:p>
        </w:tc>
        <w:tc>
          <w:tcPr>
            <w:tcW w:w="396" w:type="pct"/>
            <w:tcBorders>
              <w:top w:val="nil"/>
              <w:left w:val="nil"/>
              <w:bottom w:val="nil"/>
              <w:right w:val="nil"/>
            </w:tcBorders>
            <w:shd w:val="clear" w:color="000000" w:fill="FFFFFF"/>
            <w:noWrap/>
            <w:vAlign w:val="center"/>
            <w:hideMark/>
          </w:tcPr>
          <w:p w14:paraId="769EC16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0.91 - 1.68</w:t>
            </w:r>
          </w:p>
        </w:tc>
        <w:tc>
          <w:tcPr>
            <w:tcW w:w="281" w:type="pct"/>
            <w:tcBorders>
              <w:top w:val="nil"/>
              <w:left w:val="nil"/>
              <w:bottom w:val="nil"/>
              <w:right w:val="single" w:sz="4" w:space="0" w:color="auto"/>
            </w:tcBorders>
            <w:shd w:val="clear" w:color="000000" w:fill="FFFFFF"/>
            <w:noWrap/>
            <w:vAlign w:val="center"/>
            <w:hideMark/>
          </w:tcPr>
          <w:p w14:paraId="436D72B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0.161</w:t>
            </w:r>
          </w:p>
        </w:tc>
        <w:tc>
          <w:tcPr>
            <w:tcW w:w="1523" w:type="pct"/>
            <w:tcBorders>
              <w:top w:val="nil"/>
              <w:left w:val="nil"/>
              <w:bottom w:val="nil"/>
              <w:right w:val="nil"/>
            </w:tcBorders>
            <w:shd w:val="clear" w:color="000000" w:fill="FFFFFF"/>
            <w:vAlign w:val="center"/>
            <w:hideMark/>
          </w:tcPr>
          <w:p w14:paraId="58D7A808"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Sepsis or septic shock</w:t>
            </w:r>
          </w:p>
        </w:tc>
        <w:tc>
          <w:tcPr>
            <w:tcW w:w="172" w:type="pct"/>
            <w:tcBorders>
              <w:top w:val="nil"/>
              <w:left w:val="nil"/>
              <w:bottom w:val="nil"/>
              <w:right w:val="nil"/>
            </w:tcBorders>
            <w:shd w:val="clear" w:color="000000" w:fill="FFFFFF"/>
            <w:noWrap/>
            <w:vAlign w:val="center"/>
            <w:hideMark/>
          </w:tcPr>
          <w:p w14:paraId="64561FE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1.24</w:t>
            </w:r>
          </w:p>
        </w:tc>
        <w:tc>
          <w:tcPr>
            <w:tcW w:w="398" w:type="pct"/>
            <w:tcBorders>
              <w:top w:val="nil"/>
              <w:left w:val="nil"/>
              <w:bottom w:val="nil"/>
              <w:right w:val="nil"/>
            </w:tcBorders>
            <w:shd w:val="clear" w:color="000000" w:fill="FFFFFF"/>
            <w:noWrap/>
            <w:vAlign w:val="center"/>
            <w:hideMark/>
          </w:tcPr>
          <w:p w14:paraId="571301CA"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0.91 - 1.69</w:t>
            </w:r>
          </w:p>
        </w:tc>
        <w:tc>
          <w:tcPr>
            <w:tcW w:w="283" w:type="pct"/>
            <w:tcBorders>
              <w:top w:val="nil"/>
              <w:left w:val="nil"/>
              <w:bottom w:val="nil"/>
              <w:right w:val="nil"/>
            </w:tcBorders>
            <w:shd w:val="clear" w:color="000000" w:fill="FFFFFF"/>
            <w:noWrap/>
            <w:vAlign w:val="center"/>
            <w:hideMark/>
          </w:tcPr>
          <w:p w14:paraId="0F387B8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0.159</w:t>
            </w:r>
          </w:p>
        </w:tc>
      </w:tr>
      <w:tr w:rsidR="001B2AA2" w:rsidRPr="00724426" w14:paraId="58C23829" w14:textId="77777777" w:rsidTr="008E4A87">
        <w:trPr>
          <w:trHeight w:val="288"/>
        </w:trPr>
        <w:tc>
          <w:tcPr>
            <w:tcW w:w="1776" w:type="pct"/>
            <w:tcBorders>
              <w:top w:val="nil"/>
              <w:left w:val="nil"/>
              <w:bottom w:val="nil"/>
              <w:right w:val="nil"/>
            </w:tcBorders>
            <w:shd w:val="clear" w:color="000000" w:fill="FFFFFF"/>
            <w:vAlign w:val="center"/>
            <w:hideMark/>
          </w:tcPr>
          <w:p w14:paraId="67F1719C"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 xml:space="preserve">Source of </w:t>
            </w:r>
            <w:proofErr w:type="spellStart"/>
            <w:r w:rsidRPr="00724426">
              <w:rPr>
                <w:rFonts w:ascii="Calibri" w:eastAsia="Times New Roman" w:hAnsi="Calibri" w:cs="Calibri"/>
                <w:b/>
                <w:bCs/>
                <w:kern w:val="0"/>
                <w:sz w:val="16"/>
                <w:szCs w:val="16"/>
                <w:lang w:val="en-US" w:eastAsia="it-IT"/>
                <w14:ligatures w14:val="none"/>
              </w:rPr>
              <w:t>bacteraemia</w:t>
            </w:r>
            <w:proofErr w:type="spellEnd"/>
          </w:p>
        </w:tc>
        <w:tc>
          <w:tcPr>
            <w:tcW w:w="171" w:type="pct"/>
            <w:tcBorders>
              <w:top w:val="nil"/>
              <w:left w:val="nil"/>
              <w:bottom w:val="nil"/>
              <w:right w:val="nil"/>
            </w:tcBorders>
            <w:shd w:val="clear" w:color="000000" w:fill="FFFFFF"/>
            <w:noWrap/>
            <w:vAlign w:val="center"/>
            <w:hideMark/>
          </w:tcPr>
          <w:p w14:paraId="34A05EE4"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076515EA"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4C06779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2F27B86C"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 xml:space="preserve">Source of </w:t>
            </w:r>
            <w:proofErr w:type="spellStart"/>
            <w:r w:rsidRPr="00724426">
              <w:rPr>
                <w:rFonts w:ascii="Calibri" w:eastAsia="Times New Roman" w:hAnsi="Calibri" w:cs="Calibri"/>
                <w:b/>
                <w:bCs/>
                <w:kern w:val="0"/>
                <w:sz w:val="16"/>
                <w:szCs w:val="16"/>
                <w:lang w:val="en-US" w:eastAsia="it-IT"/>
                <w14:ligatures w14:val="none"/>
              </w:rPr>
              <w:t>bacteraemia</w:t>
            </w:r>
            <w:proofErr w:type="spellEnd"/>
          </w:p>
        </w:tc>
        <w:tc>
          <w:tcPr>
            <w:tcW w:w="172" w:type="pct"/>
            <w:tcBorders>
              <w:top w:val="nil"/>
              <w:left w:val="nil"/>
              <w:bottom w:val="nil"/>
              <w:right w:val="nil"/>
            </w:tcBorders>
            <w:shd w:val="clear" w:color="000000" w:fill="FFFFFF"/>
            <w:noWrap/>
            <w:vAlign w:val="center"/>
            <w:hideMark/>
          </w:tcPr>
          <w:p w14:paraId="21DAE0C7"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64EDE817"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15EDA43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5F5CF0A8" w14:textId="77777777" w:rsidTr="008E4A87">
        <w:trPr>
          <w:trHeight w:val="288"/>
        </w:trPr>
        <w:tc>
          <w:tcPr>
            <w:tcW w:w="1776" w:type="pct"/>
            <w:tcBorders>
              <w:top w:val="nil"/>
              <w:left w:val="nil"/>
              <w:bottom w:val="nil"/>
              <w:right w:val="nil"/>
            </w:tcBorders>
            <w:shd w:val="clear" w:color="000000" w:fill="FFFFFF"/>
            <w:vAlign w:val="center"/>
            <w:hideMark/>
          </w:tcPr>
          <w:p w14:paraId="2DF156BC"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Intra-abdominal infections</w:t>
            </w:r>
          </w:p>
        </w:tc>
        <w:tc>
          <w:tcPr>
            <w:tcW w:w="171" w:type="pct"/>
            <w:tcBorders>
              <w:top w:val="nil"/>
              <w:left w:val="nil"/>
              <w:bottom w:val="nil"/>
              <w:right w:val="nil"/>
            </w:tcBorders>
            <w:shd w:val="clear" w:color="000000" w:fill="FFFFFF"/>
            <w:noWrap/>
            <w:vAlign w:val="center"/>
            <w:hideMark/>
          </w:tcPr>
          <w:p w14:paraId="1E993BF9"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0.77</w:t>
            </w:r>
          </w:p>
        </w:tc>
        <w:tc>
          <w:tcPr>
            <w:tcW w:w="396" w:type="pct"/>
            <w:tcBorders>
              <w:top w:val="nil"/>
              <w:left w:val="nil"/>
              <w:bottom w:val="nil"/>
              <w:right w:val="nil"/>
            </w:tcBorders>
            <w:shd w:val="clear" w:color="000000" w:fill="FFFFFF"/>
            <w:noWrap/>
            <w:vAlign w:val="center"/>
            <w:hideMark/>
          </w:tcPr>
          <w:p w14:paraId="779E727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0.53 - 1.11</w:t>
            </w:r>
          </w:p>
        </w:tc>
        <w:tc>
          <w:tcPr>
            <w:tcW w:w="281" w:type="pct"/>
            <w:tcBorders>
              <w:top w:val="nil"/>
              <w:left w:val="nil"/>
              <w:bottom w:val="nil"/>
              <w:right w:val="single" w:sz="4" w:space="0" w:color="auto"/>
            </w:tcBorders>
            <w:shd w:val="clear" w:color="000000" w:fill="FFFFFF"/>
            <w:noWrap/>
            <w:vAlign w:val="center"/>
            <w:hideMark/>
          </w:tcPr>
          <w:p w14:paraId="149ACD4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0.175</w:t>
            </w:r>
          </w:p>
        </w:tc>
        <w:tc>
          <w:tcPr>
            <w:tcW w:w="1523" w:type="pct"/>
            <w:tcBorders>
              <w:top w:val="nil"/>
              <w:left w:val="nil"/>
              <w:bottom w:val="nil"/>
              <w:right w:val="nil"/>
            </w:tcBorders>
            <w:shd w:val="clear" w:color="000000" w:fill="FFFFFF"/>
            <w:vAlign w:val="center"/>
            <w:hideMark/>
          </w:tcPr>
          <w:p w14:paraId="11C1C22F"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Intra-abdominal infections</w:t>
            </w:r>
          </w:p>
        </w:tc>
        <w:tc>
          <w:tcPr>
            <w:tcW w:w="172" w:type="pct"/>
            <w:tcBorders>
              <w:top w:val="nil"/>
              <w:left w:val="nil"/>
              <w:bottom w:val="nil"/>
              <w:right w:val="nil"/>
            </w:tcBorders>
            <w:shd w:val="clear" w:color="000000" w:fill="FFFFFF"/>
            <w:noWrap/>
            <w:vAlign w:val="center"/>
            <w:hideMark/>
          </w:tcPr>
          <w:p w14:paraId="5143510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0.77</w:t>
            </w:r>
          </w:p>
        </w:tc>
        <w:tc>
          <w:tcPr>
            <w:tcW w:w="398" w:type="pct"/>
            <w:tcBorders>
              <w:top w:val="nil"/>
              <w:left w:val="nil"/>
              <w:bottom w:val="nil"/>
              <w:right w:val="nil"/>
            </w:tcBorders>
            <w:shd w:val="clear" w:color="000000" w:fill="FFFFFF"/>
            <w:noWrap/>
            <w:vAlign w:val="center"/>
            <w:hideMark/>
          </w:tcPr>
          <w:p w14:paraId="1E89409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0.53 - 1.11</w:t>
            </w:r>
          </w:p>
        </w:tc>
        <w:tc>
          <w:tcPr>
            <w:tcW w:w="283" w:type="pct"/>
            <w:tcBorders>
              <w:top w:val="nil"/>
              <w:left w:val="nil"/>
              <w:bottom w:val="nil"/>
              <w:right w:val="nil"/>
            </w:tcBorders>
            <w:shd w:val="clear" w:color="000000" w:fill="FFFFFF"/>
            <w:noWrap/>
            <w:vAlign w:val="center"/>
            <w:hideMark/>
          </w:tcPr>
          <w:p w14:paraId="12804ED5"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0.172</w:t>
            </w:r>
          </w:p>
        </w:tc>
      </w:tr>
      <w:tr w:rsidR="001B2AA2" w:rsidRPr="00724426" w14:paraId="0B10D178" w14:textId="77777777" w:rsidTr="008E4A87">
        <w:trPr>
          <w:trHeight w:val="288"/>
        </w:trPr>
        <w:tc>
          <w:tcPr>
            <w:tcW w:w="1776" w:type="pct"/>
            <w:tcBorders>
              <w:top w:val="nil"/>
              <w:left w:val="nil"/>
              <w:bottom w:val="nil"/>
              <w:right w:val="nil"/>
            </w:tcBorders>
            <w:shd w:val="clear" w:color="000000" w:fill="FFFFFF"/>
            <w:vAlign w:val="center"/>
            <w:hideMark/>
          </w:tcPr>
          <w:p w14:paraId="0B894E7A"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Unidentified source</w:t>
            </w:r>
          </w:p>
        </w:tc>
        <w:tc>
          <w:tcPr>
            <w:tcW w:w="171" w:type="pct"/>
            <w:tcBorders>
              <w:top w:val="nil"/>
              <w:left w:val="nil"/>
              <w:bottom w:val="nil"/>
              <w:right w:val="nil"/>
            </w:tcBorders>
            <w:shd w:val="clear" w:color="000000" w:fill="FFFFFF"/>
            <w:noWrap/>
            <w:vAlign w:val="center"/>
            <w:hideMark/>
          </w:tcPr>
          <w:p w14:paraId="2D9451F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1.56</w:t>
            </w:r>
          </w:p>
        </w:tc>
        <w:tc>
          <w:tcPr>
            <w:tcW w:w="396" w:type="pct"/>
            <w:tcBorders>
              <w:top w:val="nil"/>
              <w:left w:val="nil"/>
              <w:bottom w:val="nil"/>
              <w:right w:val="nil"/>
            </w:tcBorders>
            <w:shd w:val="clear" w:color="000000" w:fill="FFFFFF"/>
            <w:noWrap/>
            <w:vAlign w:val="center"/>
            <w:hideMark/>
          </w:tcPr>
          <w:p w14:paraId="2E18908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1.09 - 2.24</w:t>
            </w:r>
          </w:p>
        </w:tc>
        <w:tc>
          <w:tcPr>
            <w:tcW w:w="281" w:type="pct"/>
            <w:tcBorders>
              <w:top w:val="nil"/>
              <w:left w:val="nil"/>
              <w:bottom w:val="nil"/>
              <w:right w:val="single" w:sz="4" w:space="0" w:color="auto"/>
            </w:tcBorders>
            <w:shd w:val="clear" w:color="000000" w:fill="FFFFFF"/>
            <w:noWrap/>
            <w:vAlign w:val="center"/>
            <w:hideMark/>
          </w:tcPr>
          <w:p w14:paraId="7F6D35D3"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0.014</w:t>
            </w:r>
          </w:p>
        </w:tc>
        <w:tc>
          <w:tcPr>
            <w:tcW w:w="1523" w:type="pct"/>
            <w:tcBorders>
              <w:top w:val="nil"/>
              <w:left w:val="nil"/>
              <w:bottom w:val="nil"/>
              <w:right w:val="nil"/>
            </w:tcBorders>
            <w:shd w:val="clear" w:color="000000" w:fill="FFFFFF"/>
            <w:vAlign w:val="center"/>
            <w:hideMark/>
          </w:tcPr>
          <w:p w14:paraId="1BB6D4FE"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Unidentified source</w:t>
            </w:r>
          </w:p>
        </w:tc>
        <w:tc>
          <w:tcPr>
            <w:tcW w:w="172" w:type="pct"/>
            <w:tcBorders>
              <w:top w:val="nil"/>
              <w:left w:val="nil"/>
              <w:bottom w:val="nil"/>
              <w:right w:val="nil"/>
            </w:tcBorders>
            <w:shd w:val="clear" w:color="000000" w:fill="FFFFFF"/>
            <w:noWrap/>
            <w:vAlign w:val="center"/>
            <w:hideMark/>
          </w:tcPr>
          <w:p w14:paraId="5015D92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1.56</w:t>
            </w:r>
          </w:p>
        </w:tc>
        <w:tc>
          <w:tcPr>
            <w:tcW w:w="398" w:type="pct"/>
            <w:tcBorders>
              <w:top w:val="nil"/>
              <w:left w:val="nil"/>
              <w:bottom w:val="nil"/>
              <w:right w:val="nil"/>
            </w:tcBorders>
            <w:shd w:val="clear" w:color="000000" w:fill="FFFFFF"/>
            <w:noWrap/>
            <w:vAlign w:val="center"/>
            <w:hideMark/>
          </w:tcPr>
          <w:p w14:paraId="7137C46A"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1.09 - 2.23</w:t>
            </w:r>
          </w:p>
        </w:tc>
        <w:tc>
          <w:tcPr>
            <w:tcW w:w="283" w:type="pct"/>
            <w:tcBorders>
              <w:top w:val="nil"/>
              <w:left w:val="nil"/>
              <w:bottom w:val="nil"/>
              <w:right w:val="nil"/>
            </w:tcBorders>
            <w:shd w:val="clear" w:color="000000" w:fill="FFFFFF"/>
            <w:noWrap/>
            <w:vAlign w:val="center"/>
            <w:hideMark/>
          </w:tcPr>
          <w:p w14:paraId="03771943"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0.015</w:t>
            </w:r>
          </w:p>
        </w:tc>
      </w:tr>
      <w:tr w:rsidR="001B2AA2" w:rsidRPr="00724426" w14:paraId="41C7FC2B" w14:textId="77777777" w:rsidTr="008E4A87">
        <w:trPr>
          <w:trHeight w:val="288"/>
        </w:trPr>
        <w:tc>
          <w:tcPr>
            <w:tcW w:w="1776" w:type="pct"/>
            <w:tcBorders>
              <w:top w:val="nil"/>
              <w:left w:val="nil"/>
              <w:bottom w:val="single" w:sz="4" w:space="0" w:color="auto"/>
              <w:right w:val="nil"/>
            </w:tcBorders>
            <w:shd w:val="clear" w:color="000000" w:fill="FFFFFF"/>
            <w:noWrap/>
            <w:vAlign w:val="center"/>
            <w:hideMark/>
          </w:tcPr>
          <w:p w14:paraId="1F40AFEE"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EET within 24 hours from E-BSI onset</w:t>
            </w:r>
          </w:p>
        </w:tc>
        <w:tc>
          <w:tcPr>
            <w:tcW w:w="171" w:type="pct"/>
            <w:tcBorders>
              <w:top w:val="nil"/>
              <w:left w:val="nil"/>
              <w:bottom w:val="single" w:sz="4" w:space="0" w:color="auto"/>
              <w:right w:val="nil"/>
            </w:tcBorders>
            <w:shd w:val="clear" w:color="000000" w:fill="FFFFFF"/>
            <w:noWrap/>
            <w:vAlign w:val="center"/>
            <w:hideMark/>
          </w:tcPr>
          <w:p w14:paraId="0FA9EDF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0.95</w:t>
            </w:r>
          </w:p>
        </w:tc>
        <w:tc>
          <w:tcPr>
            <w:tcW w:w="396" w:type="pct"/>
            <w:tcBorders>
              <w:top w:val="nil"/>
              <w:left w:val="nil"/>
              <w:bottom w:val="single" w:sz="4" w:space="0" w:color="auto"/>
              <w:right w:val="nil"/>
            </w:tcBorders>
            <w:shd w:val="clear" w:color="000000" w:fill="FFFFFF"/>
            <w:noWrap/>
            <w:vAlign w:val="center"/>
            <w:hideMark/>
          </w:tcPr>
          <w:p w14:paraId="0519FE09"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0.69 - 1.31</w:t>
            </w:r>
          </w:p>
        </w:tc>
        <w:tc>
          <w:tcPr>
            <w:tcW w:w="281" w:type="pct"/>
            <w:tcBorders>
              <w:top w:val="nil"/>
              <w:left w:val="nil"/>
              <w:bottom w:val="single" w:sz="4" w:space="0" w:color="auto"/>
              <w:right w:val="single" w:sz="4" w:space="0" w:color="auto"/>
            </w:tcBorders>
            <w:shd w:val="clear" w:color="000000" w:fill="FFFFFF"/>
            <w:noWrap/>
            <w:vAlign w:val="center"/>
            <w:hideMark/>
          </w:tcPr>
          <w:p w14:paraId="51335DA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0.794</w:t>
            </w:r>
          </w:p>
        </w:tc>
        <w:tc>
          <w:tcPr>
            <w:tcW w:w="1523" w:type="pct"/>
            <w:tcBorders>
              <w:top w:val="nil"/>
              <w:left w:val="nil"/>
              <w:bottom w:val="single" w:sz="4" w:space="0" w:color="auto"/>
              <w:right w:val="nil"/>
            </w:tcBorders>
            <w:shd w:val="clear" w:color="000000" w:fill="FFFFFF"/>
            <w:noWrap/>
            <w:vAlign w:val="center"/>
            <w:hideMark/>
          </w:tcPr>
          <w:p w14:paraId="3A9DE82D"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Time to EET (per 1 day of delay)</w:t>
            </w:r>
          </w:p>
        </w:tc>
        <w:tc>
          <w:tcPr>
            <w:tcW w:w="172" w:type="pct"/>
            <w:tcBorders>
              <w:top w:val="nil"/>
              <w:left w:val="nil"/>
              <w:bottom w:val="single" w:sz="4" w:space="0" w:color="auto"/>
              <w:right w:val="nil"/>
            </w:tcBorders>
            <w:shd w:val="clear" w:color="000000" w:fill="FFFFFF"/>
            <w:noWrap/>
            <w:vAlign w:val="center"/>
            <w:hideMark/>
          </w:tcPr>
          <w:p w14:paraId="56E0EBE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1.02</w:t>
            </w:r>
          </w:p>
        </w:tc>
        <w:tc>
          <w:tcPr>
            <w:tcW w:w="398" w:type="pct"/>
            <w:tcBorders>
              <w:top w:val="nil"/>
              <w:left w:val="nil"/>
              <w:bottom w:val="single" w:sz="4" w:space="0" w:color="auto"/>
              <w:right w:val="nil"/>
            </w:tcBorders>
            <w:shd w:val="clear" w:color="000000" w:fill="FFFFFF"/>
            <w:noWrap/>
            <w:vAlign w:val="center"/>
            <w:hideMark/>
          </w:tcPr>
          <w:p w14:paraId="0DC5CEF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0.94 - 1.11</w:t>
            </w:r>
          </w:p>
        </w:tc>
        <w:tc>
          <w:tcPr>
            <w:tcW w:w="283" w:type="pct"/>
            <w:tcBorders>
              <w:top w:val="nil"/>
              <w:left w:val="nil"/>
              <w:bottom w:val="single" w:sz="4" w:space="0" w:color="auto"/>
              <w:right w:val="nil"/>
            </w:tcBorders>
            <w:shd w:val="clear" w:color="000000" w:fill="FFFFFF"/>
            <w:noWrap/>
            <w:vAlign w:val="center"/>
            <w:hideMark/>
          </w:tcPr>
          <w:p w14:paraId="78A0898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0.541</w:t>
            </w:r>
          </w:p>
        </w:tc>
      </w:tr>
      <w:tr w:rsidR="001B2AA2" w:rsidRPr="00724426" w14:paraId="1F1F86D9" w14:textId="77777777" w:rsidTr="008E4A87">
        <w:trPr>
          <w:trHeight w:val="312"/>
        </w:trPr>
        <w:tc>
          <w:tcPr>
            <w:tcW w:w="5000" w:type="pct"/>
            <w:gridSpan w:val="8"/>
            <w:tcBorders>
              <w:top w:val="single" w:sz="4" w:space="0" w:color="auto"/>
              <w:left w:val="nil"/>
              <w:bottom w:val="single" w:sz="4" w:space="0" w:color="auto"/>
              <w:right w:val="nil"/>
            </w:tcBorders>
            <w:shd w:val="clear" w:color="auto" w:fill="auto"/>
            <w:noWrap/>
            <w:vAlign w:val="center"/>
            <w:hideMark/>
          </w:tcPr>
          <w:p w14:paraId="3021E373"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 </w:t>
            </w:r>
          </w:p>
        </w:tc>
      </w:tr>
      <w:tr w:rsidR="001B2AA2" w:rsidRPr="00724426" w14:paraId="67EC4B12" w14:textId="77777777" w:rsidTr="008E4A87">
        <w:trPr>
          <w:trHeight w:val="288"/>
        </w:trPr>
        <w:tc>
          <w:tcPr>
            <w:tcW w:w="2624" w:type="pct"/>
            <w:gridSpan w:val="4"/>
            <w:tcBorders>
              <w:top w:val="single" w:sz="4" w:space="0" w:color="auto"/>
              <w:left w:val="nil"/>
              <w:bottom w:val="single" w:sz="4" w:space="0" w:color="auto"/>
              <w:right w:val="single" w:sz="4" w:space="0" w:color="000000"/>
            </w:tcBorders>
            <w:shd w:val="clear" w:color="000000" w:fill="FFFFFF"/>
            <w:noWrap/>
            <w:vAlign w:val="center"/>
            <w:hideMark/>
          </w:tcPr>
          <w:p w14:paraId="17850508"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RISK OF 30-DAY MORTALITY - Multivariable Analysis (Model A)</w:t>
            </w:r>
          </w:p>
        </w:tc>
        <w:tc>
          <w:tcPr>
            <w:tcW w:w="2376" w:type="pct"/>
            <w:gridSpan w:val="4"/>
            <w:tcBorders>
              <w:top w:val="single" w:sz="4" w:space="0" w:color="auto"/>
              <w:left w:val="nil"/>
              <w:bottom w:val="single" w:sz="4" w:space="0" w:color="auto"/>
              <w:right w:val="nil"/>
            </w:tcBorders>
            <w:shd w:val="clear" w:color="000000" w:fill="FFFFFF"/>
            <w:noWrap/>
            <w:vAlign w:val="center"/>
            <w:hideMark/>
          </w:tcPr>
          <w:p w14:paraId="651EC158"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RISK OF 30-DAY MORTALITY - Multivariable Analysis (Model B)</w:t>
            </w:r>
          </w:p>
        </w:tc>
      </w:tr>
      <w:tr w:rsidR="001B2AA2" w:rsidRPr="00724426" w14:paraId="47408601" w14:textId="77777777" w:rsidTr="008E4A87">
        <w:trPr>
          <w:trHeight w:val="288"/>
        </w:trPr>
        <w:tc>
          <w:tcPr>
            <w:tcW w:w="1776" w:type="pct"/>
            <w:tcBorders>
              <w:top w:val="nil"/>
              <w:left w:val="nil"/>
              <w:bottom w:val="single" w:sz="4" w:space="0" w:color="auto"/>
              <w:right w:val="nil"/>
            </w:tcBorders>
            <w:shd w:val="clear" w:color="000000" w:fill="FFFFFF"/>
            <w:noWrap/>
            <w:vAlign w:val="center"/>
            <w:hideMark/>
          </w:tcPr>
          <w:p w14:paraId="6F08E64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71" w:type="pct"/>
            <w:tcBorders>
              <w:top w:val="nil"/>
              <w:left w:val="nil"/>
              <w:bottom w:val="single" w:sz="4" w:space="0" w:color="auto"/>
              <w:right w:val="nil"/>
            </w:tcBorders>
            <w:shd w:val="clear" w:color="000000" w:fill="FFFFFF"/>
            <w:noWrap/>
            <w:vAlign w:val="center"/>
            <w:hideMark/>
          </w:tcPr>
          <w:p w14:paraId="43770B7B"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proofErr w:type="spellStart"/>
            <w:r w:rsidRPr="00724426">
              <w:rPr>
                <w:rFonts w:ascii="Calibri" w:eastAsia="Times New Roman" w:hAnsi="Calibri" w:cs="Calibri"/>
                <w:b/>
                <w:bCs/>
                <w:kern w:val="0"/>
                <w:sz w:val="16"/>
                <w:szCs w:val="16"/>
                <w:lang w:val="en-US" w:eastAsia="it-IT"/>
                <w14:ligatures w14:val="none"/>
              </w:rPr>
              <w:t>aHR</w:t>
            </w:r>
            <w:proofErr w:type="spellEnd"/>
          </w:p>
        </w:tc>
        <w:tc>
          <w:tcPr>
            <w:tcW w:w="396" w:type="pct"/>
            <w:tcBorders>
              <w:top w:val="nil"/>
              <w:left w:val="nil"/>
              <w:bottom w:val="single" w:sz="4" w:space="0" w:color="auto"/>
              <w:right w:val="nil"/>
            </w:tcBorders>
            <w:shd w:val="clear" w:color="000000" w:fill="FFFFFF"/>
            <w:noWrap/>
            <w:vAlign w:val="center"/>
            <w:hideMark/>
          </w:tcPr>
          <w:p w14:paraId="490057DB"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95%CI</w:t>
            </w:r>
          </w:p>
        </w:tc>
        <w:tc>
          <w:tcPr>
            <w:tcW w:w="281" w:type="pct"/>
            <w:tcBorders>
              <w:top w:val="nil"/>
              <w:left w:val="nil"/>
              <w:bottom w:val="single" w:sz="4" w:space="0" w:color="auto"/>
              <w:right w:val="single" w:sz="4" w:space="0" w:color="auto"/>
            </w:tcBorders>
            <w:shd w:val="clear" w:color="000000" w:fill="FFFFFF"/>
            <w:noWrap/>
            <w:vAlign w:val="center"/>
            <w:hideMark/>
          </w:tcPr>
          <w:p w14:paraId="2D375529"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p value</w:t>
            </w:r>
          </w:p>
        </w:tc>
        <w:tc>
          <w:tcPr>
            <w:tcW w:w="1523" w:type="pct"/>
            <w:tcBorders>
              <w:top w:val="nil"/>
              <w:left w:val="nil"/>
              <w:bottom w:val="single" w:sz="4" w:space="0" w:color="auto"/>
              <w:right w:val="nil"/>
            </w:tcBorders>
            <w:shd w:val="clear" w:color="000000" w:fill="FFFFFF"/>
            <w:noWrap/>
            <w:vAlign w:val="center"/>
            <w:hideMark/>
          </w:tcPr>
          <w:p w14:paraId="3ECACF40"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 </w:t>
            </w:r>
          </w:p>
        </w:tc>
        <w:tc>
          <w:tcPr>
            <w:tcW w:w="172" w:type="pct"/>
            <w:tcBorders>
              <w:top w:val="nil"/>
              <w:left w:val="nil"/>
              <w:bottom w:val="single" w:sz="4" w:space="0" w:color="auto"/>
              <w:right w:val="nil"/>
            </w:tcBorders>
            <w:shd w:val="clear" w:color="000000" w:fill="FFFFFF"/>
            <w:noWrap/>
            <w:vAlign w:val="center"/>
            <w:hideMark/>
          </w:tcPr>
          <w:p w14:paraId="057D9D6D"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proofErr w:type="spellStart"/>
            <w:r w:rsidRPr="00724426">
              <w:rPr>
                <w:rFonts w:ascii="Calibri" w:eastAsia="Times New Roman" w:hAnsi="Calibri" w:cs="Calibri"/>
                <w:b/>
                <w:bCs/>
                <w:kern w:val="0"/>
                <w:sz w:val="16"/>
                <w:szCs w:val="16"/>
                <w:lang w:val="en-US" w:eastAsia="it-IT"/>
                <w14:ligatures w14:val="none"/>
              </w:rPr>
              <w:t>aHR</w:t>
            </w:r>
            <w:proofErr w:type="spellEnd"/>
          </w:p>
        </w:tc>
        <w:tc>
          <w:tcPr>
            <w:tcW w:w="398" w:type="pct"/>
            <w:tcBorders>
              <w:top w:val="nil"/>
              <w:left w:val="nil"/>
              <w:bottom w:val="single" w:sz="4" w:space="0" w:color="auto"/>
              <w:right w:val="nil"/>
            </w:tcBorders>
            <w:shd w:val="clear" w:color="000000" w:fill="FFFFFF"/>
            <w:noWrap/>
            <w:vAlign w:val="center"/>
            <w:hideMark/>
          </w:tcPr>
          <w:p w14:paraId="3F0D038A"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95%CI</w:t>
            </w:r>
          </w:p>
        </w:tc>
        <w:tc>
          <w:tcPr>
            <w:tcW w:w="283" w:type="pct"/>
            <w:tcBorders>
              <w:top w:val="nil"/>
              <w:left w:val="nil"/>
              <w:bottom w:val="single" w:sz="4" w:space="0" w:color="auto"/>
              <w:right w:val="nil"/>
            </w:tcBorders>
            <w:shd w:val="clear" w:color="000000" w:fill="FFFFFF"/>
            <w:noWrap/>
            <w:vAlign w:val="center"/>
            <w:hideMark/>
          </w:tcPr>
          <w:p w14:paraId="714D8DA9"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p value</w:t>
            </w:r>
          </w:p>
        </w:tc>
      </w:tr>
      <w:tr w:rsidR="001B2AA2" w:rsidRPr="00724426" w14:paraId="13C39D99" w14:textId="77777777" w:rsidTr="008E4A87">
        <w:trPr>
          <w:trHeight w:val="288"/>
        </w:trPr>
        <w:tc>
          <w:tcPr>
            <w:tcW w:w="1776" w:type="pct"/>
            <w:tcBorders>
              <w:top w:val="nil"/>
              <w:left w:val="nil"/>
              <w:bottom w:val="nil"/>
              <w:right w:val="nil"/>
            </w:tcBorders>
            <w:shd w:val="clear" w:color="000000" w:fill="FFFFFF"/>
            <w:noWrap/>
            <w:vAlign w:val="center"/>
            <w:hideMark/>
          </w:tcPr>
          <w:p w14:paraId="1161A6B6"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Demographics</w:t>
            </w:r>
          </w:p>
        </w:tc>
        <w:tc>
          <w:tcPr>
            <w:tcW w:w="171" w:type="pct"/>
            <w:tcBorders>
              <w:top w:val="nil"/>
              <w:left w:val="nil"/>
              <w:bottom w:val="nil"/>
              <w:right w:val="nil"/>
            </w:tcBorders>
            <w:shd w:val="clear" w:color="000000" w:fill="FFFFFF"/>
            <w:noWrap/>
            <w:vAlign w:val="center"/>
            <w:hideMark/>
          </w:tcPr>
          <w:p w14:paraId="6A455F7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026D5AA4"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383AEE57"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noWrap/>
            <w:vAlign w:val="center"/>
            <w:hideMark/>
          </w:tcPr>
          <w:p w14:paraId="47D65241"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Demographics</w:t>
            </w:r>
          </w:p>
        </w:tc>
        <w:tc>
          <w:tcPr>
            <w:tcW w:w="172" w:type="pct"/>
            <w:tcBorders>
              <w:top w:val="nil"/>
              <w:left w:val="nil"/>
              <w:bottom w:val="nil"/>
              <w:right w:val="nil"/>
            </w:tcBorders>
            <w:shd w:val="clear" w:color="000000" w:fill="FFFFFF"/>
            <w:noWrap/>
            <w:vAlign w:val="center"/>
            <w:hideMark/>
          </w:tcPr>
          <w:p w14:paraId="041E5F8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1C42B42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4606F3C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1CEB59D7" w14:textId="77777777" w:rsidTr="008E4A87">
        <w:trPr>
          <w:trHeight w:val="288"/>
        </w:trPr>
        <w:tc>
          <w:tcPr>
            <w:tcW w:w="1776" w:type="pct"/>
            <w:tcBorders>
              <w:top w:val="nil"/>
              <w:left w:val="nil"/>
              <w:bottom w:val="nil"/>
              <w:right w:val="nil"/>
            </w:tcBorders>
            <w:shd w:val="clear" w:color="000000" w:fill="FFFFFF"/>
            <w:vAlign w:val="center"/>
            <w:hideMark/>
          </w:tcPr>
          <w:p w14:paraId="5281AACE"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Age, years (per 1 point increase)</w:t>
            </w:r>
          </w:p>
        </w:tc>
        <w:tc>
          <w:tcPr>
            <w:tcW w:w="171" w:type="pct"/>
            <w:tcBorders>
              <w:top w:val="nil"/>
              <w:left w:val="nil"/>
              <w:bottom w:val="nil"/>
              <w:right w:val="nil"/>
            </w:tcBorders>
            <w:shd w:val="clear" w:color="000000" w:fill="FFFFFF"/>
            <w:noWrap/>
            <w:vAlign w:val="center"/>
            <w:hideMark/>
          </w:tcPr>
          <w:p w14:paraId="538291D4"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1.01</w:t>
            </w:r>
          </w:p>
        </w:tc>
        <w:tc>
          <w:tcPr>
            <w:tcW w:w="396" w:type="pct"/>
            <w:tcBorders>
              <w:top w:val="nil"/>
              <w:left w:val="nil"/>
              <w:bottom w:val="nil"/>
              <w:right w:val="nil"/>
            </w:tcBorders>
            <w:shd w:val="clear" w:color="000000" w:fill="FFFFFF"/>
            <w:noWrap/>
            <w:vAlign w:val="center"/>
            <w:hideMark/>
          </w:tcPr>
          <w:p w14:paraId="5321488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1.00 - 1.03</w:t>
            </w:r>
          </w:p>
        </w:tc>
        <w:tc>
          <w:tcPr>
            <w:tcW w:w="281" w:type="pct"/>
            <w:tcBorders>
              <w:top w:val="nil"/>
              <w:left w:val="nil"/>
              <w:bottom w:val="nil"/>
              <w:right w:val="single" w:sz="4" w:space="0" w:color="auto"/>
            </w:tcBorders>
            <w:shd w:val="clear" w:color="000000" w:fill="FFFFFF"/>
            <w:noWrap/>
            <w:vAlign w:val="center"/>
            <w:hideMark/>
          </w:tcPr>
          <w:p w14:paraId="3EE967EC"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0.001</w:t>
            </w:r>
          </w:p>
        </w:tc>
        <w:tc>
          <w:tcPr>
            <w:tcW w:w="1523" w:type="pct"/>
            <w:tcBorders>
              <w:top w:val="nil"/>
              <w:left w:val="nil"/>
              <w:bottom w:val="nil"/>
              <w:right w:val="nil"/>
            </w:tcBorders>
            <w:shd w:val="clear" w:color="000000" w:fill="FFFFFF"/>
            <w:vAlign w:val="center"/>
            <w:hideMark/>
          </w:tcPr>
          <w:p w14:paraId="1B4497A3"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Age, years (per 1 point increase)</w:t>
            </w:r>
          </w:p>
        </w:tc>
        <w:tc>
          <w:tcPr>
            <w:tcW w:w="172" w:type="pct"/>
            <w:tcBorders>
              <w:top w:val="nil"/>
              <w:left w:val="nil"/>
              <w:bottom w:val="nil"/>
              <w:right w:val="nil"/>
            </w:tcBorders>
            <w:shd w:val="clear" w:color="000000" w:fill="FFFFFF"/>
            <w:noWrap/>
            <w:vAlign w:val="center"/>
            <w:hideMark/>
          </w:tcPr>
          <w:p w14:paraId="317A05F5"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1.01</w:t>
            </w:r>
          </w:p>
        </w:tc>
        <w:tc>
          <w:tcPr>
            <w:tcW w:w="398" w:type="pct"/>
            <w:tcBorders>
              <w:top w:val="nil"/>
              <w:left w:val="nil"/>
              <w:bottom w:val="nil"/>
              <w:right w:val="nil"/>
            </w:tcBorders>
            <w:shd w:val="clear" w:color="000000" w:fill="FFFFFF"/>
            <w:noWrap/>
            <w:vAlign w:val="center"/>
            <w:hideMark/>
          </w:tcPr>
          <w:p w14:paraId="3143554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1.00 - 1.03</w:t>
            </w:r>
          </w:p>
        </w:tc>
        <w:tc>
          <w:tcPr>
            <w:tcW w:w="283" w:type="pct"/>
            <w:tcBorders>
              <w:top w:val="nil"/>
              <w:left w:val="nil"/>
              <w:bottom w:val="nil"/>
              <w:right w:val="nil"/>
            </w:tcBorders>
            <w:shd w:val="clear" w:color="000000" w:fill="FFFFFF"/>
            <w:noWrap/>
            <w:vAlign w:val="center"/>
            <w:hideMark/>
          </w:tcPr>
          <w:p w14:paraId="7F2A82DD"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0.002</w:t>
            </w:r>
          </w:p>
        </w:tc>
      </w:tr>
      <w:tr w:rsidR="001B2AA2" w:rsidRPr="00724426" w14:paraId="08ABB83E" w14:textId="77777777" w:rsidTr="008E4A87">
        <w:trPr>
          <w:trHeight w:val="288"/>
        </w:trPr>
        <w:tc>
          <w:tcPr>
            <w:tcW w:w="1776" w:type="pct"/>
            <w:tcBorders>
              <w:top w:val="nil"/>
              <w:left w:val="nil"/>
              <w:bottom w:val="nil"/>
              <w:right w:val="nil"/>
            </w:tcBorders>
            <w:shd w:val="clear" w:color="000000" w:fill="FFFFFF"/>
            <w:vAlign w:val="center"/>
            <w:hideMark/>
          </w:tcPr>
          <w:p w14:paraId="0BE242D5"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Charlson comorbidity index (per 1 point increase)</w:t>
            </w:r>
          </w:p>
        </w:tc>
        <w:tc>
          <w:tcPr>
            <w:tcW w:w="171" w:type="pct"/>
            <w:tcBorders>
              <w:top w:val="nil"/>
              <w:left w:val="nil"/>
              <w:bottom w:val="nil"/>
              <w:right w:val="nil"/>
            </w:tcBorders>
            <w:shd w:val="clear" w:color="000000" w:fill="FFFFFF"/>
            <w:noWrap/>
            <w:vAlign w:val="center"/>
            <w:hideMark/>
          </w:tcPr>
          <w:p w14:paraId="022AA1E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1.11</w:t>
            </w:r>
          </w:p>
        </w:tc>
        <w:tc>
          <w:tcPr>
            <w:tcW w:w="396" w:type="pct"/>
            <w:tcBorders>
              <w:top w:val="nil"/>
              <w:left w:val="nil"/>
              <w:bottom w:val="nil"/>
              <w:right w:val="nil"/>
            </w:tcBorders>
            <w:shd w:val="clear" w:color="000000" w:fill="FFFFFF"/>
            <w:noWrap/>
            <w:vAlign w:val="center"/>
            <w:hideMark/>
          </w:tcPr>
          <w:p w14:paraId="3892AB95"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1.06 - 1.16</w:t>
            </w:r>
          </w:p>
        </w:tc>
        <w:tc>
          <w:tcPr>
            <w:tcW w:w="281" w:type="pct"/>
            <w:tcBorders>
              <w:top w:val="nil"/>
              <w:left w:val="nil"/>
              <w:bottom w:val="nil"/>
              <w:right w:val="single" w:sz="4" w:space="0" w:color="auto"/>
            </w:tcBorders>
            <w:shd w:val="clear" w:color="000000" w:fill="FFFFFF"/>
            <w:noWrap/>
            <w:vAlign w:val="center"/>
            <w:hideMark/>
          </w:tcPr>
          <w:p w14:paraId="6DCD4C98"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0.001</w:t>
            </w:r>
          </w:p>
        </w:tc>
        <w:tc>
          <w:tcPr>
            <w:tcW w:w="1523" w:type="pct"/>
            <w:tcBorders>
              <w:top w:val="nil"/>
              <w:left w:val="nil"/>
              <w:bottom w:val="nil"/>
              <w:right w:val="nil"/>
            </w:tcBorders>
            <w:shd w:val="clear" w:color="000000" w:fill="FFFFFF"/>
            <w:vAlign w:val="center"/>
            <w:hideMark/>
          </w:tcPr>
          <w:p w14:paraId="78004F69"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Charlson comorbidity index (per 1 point increase)</w:t>
            </w:r>
          </w:p>
        </w:tc>
        <w:tc>
          <w:tcPr>
            <w:tcW w:w="172" w:type="pct"/>
            <w:tcBorders>
              <w:top w:val="nil"/>
              <w:left w:val="nil"/>
              <w:bottom w:val="nil"/>
              <w:right w:val="nil"/>
            </w:tcBorders>
            <w:shd w:val="clear" w:color="000000" w:fill="FFFFFF"/>
            <w:noWrap/>
            <w:vAlign w:val="center"/>
            <w:hideMark/>
          </w:tcPr>
          <w:p w14:paraId="3EF37A7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1.11</w:t>
            </w:r>
          </w:p>
        </w:tc>
        <w:tc>
          <w:tcPr>
            <w:tcW w:w="398" w:type="pct"/>
            <w:tcBorders>
              <w:top w:val="nil"/>
              <w:left w:val="nil"/>
              <w:bottom w:val="nil"/>
              <w:right w:val="nil"/>
            </w:tcBorders>
            <w:shd w:val="clear" w:color="000000" w:fill="FFFFFF"/>
            <w:noWrap/>
            <w:vAlign w:val="center"/>
            <w:hideMark/>
          </w:tcPr>
          <w:p w14:paraId="1DACE7F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1.07 - 1.17</w:t>
            </w:r>
          </w:p>
        </w:tc>
        <w:tc>
          <w:tcPr>
            <w:tcW w:w="283" w:type="pct"/>
            <w:tcBorders>
              <w:top w:val="nil"/>
              <w:left w:val="nil"/>
              <w:bottom w:val="nil"/>
              <w:right w:val="nil"/>
            </w:tcBorders>
            <w:shd w:val="clear" w:color="000000" w:fill="FFFFFF"/>
            <w:noWrap/>
            <w:vAlign w:val="center"/>
            <w:hideMark/>
          </w:tcPr>
          <w:p w14:paraId="0D4AC672"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&lt;0.001</w:t>
            </w:r>
          </w:p>
        </w:tc>
      </w:tr>
      <w:tr w:rsidR="001B2AA2" w:rsidRPr="00724426" w14:paraId="2ECE6290" w14:textId="77777777" w:rsidTr="008E4A87">
        <w:trPr>
          <w:trHeight w:val="288"/>
        </w:trPr>
        <w:tc>
          <w:tcPr>
            <w:tcW w:w="1776" w:type="pct"/>
            <w:tcBorders>
              <w:top w:val="nil"/>
              <w:left w:val="nil"/>
              <w:bottom w:val="nil"/>
              <w:right w:val="nil"/>
            </w:tcBorders>
            <w:shd w:val="clear" w:color="000000" w:fill="FFFFFF"/>
            <w:vAlign w:val="center"/>
            <w:hideMark/>
          </w:tcPr>
          <w:p w14:paraId="3EC7D82C"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Unit of admission</w:t>
            </w:r>
          </w:p>
        </w:tc>
        <w:tc>
          <w:tcPr>
            <w:tcW w:w="171" w:type="pct"/>
            <w:tcBorders>
              <w:top w:val="nil"/>
              <w:left w:val="nil"/>
              <w:bottom w:val="nil"/>
              <w:right w:val="nil"/>
            </w:tcBorders>
            <w:shd w:val="clear" w:color="000000" w:fill="FFFFFF"/>
            <w:noWrap/>
            <w:vAlign w:val="center"/>
            <w:hideMark/>
          </w:tcPr>
          <w:p w14:paraId="13BCEBE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51B391B4"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70E97F7A"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48CC6A66"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Unit of admission</w:t>
            </w:r>
          </w:p>
        </w:tc>
        <w:tc>
          <w:tcPr>
            <w:tcW w:w="172" w:type="pct"/>
            <w:tcBorders>
              <w:top w:val="nil"/>
              <w:left w:val="nil"/>
              <w:bottom w:val="nil"/>
              <w:right w:val="nil"/>
            </w:tcBorders>
            <w:shd w:val="clear" w:color="000000" w:fill="FFFFFF"/>
            <w:noWrap/>
            <w:vAlign w:val="center"/>
            <w:hideMark/>
          </w:tcPr>
          <w:p w14:paraId="651AA74A"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4A90B2B9"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2C25522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528BC47D" w14:textId="77777777" w:rsidTr="008E4A87">
        <w:trPr>
          <w:trHeight w:val="288"/>
        </w:trPr>
        <w:tc>
          <w:tcPr>
            <w:tcW w:w="1776" w:type="pct"/>
            <w:tcBorders>
              <w:top w:val="nil"/>
              <w:left w:val="nil"/>
              <w:bottom w:val="nil"/>
              <w:right w:val="nil"/>
            </w:tcBorders>
            <w:shd w:val="clear" w:color="000000" w:fill="FFFFFF"/>
            <w:vAlign w:val="center"/>
            <w:hideMark/>
          </w:tcPr>
          <w:p w14:paraId="3EA7FC77"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Surgical ward</w:t>
            </w:r>
          </w:p>
        </w:tc>
        <w:tc>
          <w:tcPr>
            <w:tcW w:w="171" w:type="pct"/>
            <w:tcBorders>
              <w:top w:val="nil"/>
              <w:left w:val="nil"/>
              <w:bottom w:val="nil"/>
              <w:right w:val="nil"/>
            </w:tcBorders>
            <w:shd w:val="clear" w:color="000000" w:fill="FFFFFF"/>
            <w:noWrap/>
            <w:vAlign w:val="center"/>
            <w:hideMark/>
          </w:tcPr>
          <w:p w14:paraId="4D8D2604"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0.85</w:t>
            </w:r>
          </w:p>
        </w:tc>
        <w:tc>
          <w:tcPr>
            <w:tcW w:w="396" w:type="pct"/>
            <w:tcBorders>
              <w:top w:val="nil"/>
              <w:left w:val="nil"/>
              <w:bottom w:val="nil"/>
              <w:right w:val="nil"/>
            </w:tcBorders>
            <w:shd w:val="clear" w:color="000000" w:fill="FFFFFF"/>
            <w:noWrap/>
            <w:vAlign w:val="center"/>
            <w:hideMark/>
          </w:tcPr>
          <w:p w14:paraId="3AF8378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0.60 - 1.21</w:t>
            </w:r>
          </w:p>
        </w:tc>
        <w:tc>
          <w:tcPr>
            <w:tcW w:w="281" w:type="pct"/>
            <w:tcBorders>
              <w:top w:val="nil"/>
              <w:left w:val="nil"/>
              <w:bottom w:val="nil"/>
              <w:right w:val="single" w:sz="4" w:space="0" w:color="auto"/>
            </w:tcBorders>
            <w:shd w:val="clear" w:color="000000" w:fill="FFFFFF"/>
            <w:noWrap/>
            <w:vAlign w:val="center"/>
            <w:hideMark/>
          </w:tcPr>
          <w:p w14:paraId="5F77FCB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0.386</w:t>
            </w:r>
          </w:p>
        </w:tc>
        <w:tc>
          <w:tcPr>
            <w:tcW w:w="1523" w:type="pct"/>
            <w:tcBorders>
              <w:top w:val="nil"/>
              <w:left w:val="nil"/>
              <w:bottom w:val="nil"/>
              <w:right w:val="nil"/>
            </w:tcBorders>
            <w:shd w:val="clear" w:color="000000" w:fill="FFFFFF"/>
            <w:vAlign w:val="center"/>
            <w:hideMark/>
          </w:tcPr>
          <w:p w14:paraId="192769FA"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Surgical ward</w:t>
            </w:r>
          </w:p>
        </w:tc>
        <w:tc>
          <w:tcPr>
            <w:tcW w:w="172" w:type="pct"/>
            <w:tcBorders>
              <w:top w:val="nil"/>
              <w:left w:val="nil"/>
              <w:bottom w:val="nil"/>
              <w:right w:val="nil"/>
            </w:tcBorders>
            <w:shd w:val="clear" w:color="000000" w:fill="FFFFFF"/>
            <w:noWrap/>
            <w:vAlign w:val="center"/>
            <w:hideMark/>
          </w:tcPr>
          <w:p w14:paraId="18195FB5"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0.84</w:t>
            </w:r>
          </w:p>
        </w:tc>
        <w:tc>
          <w:tcPr>
            <w:tcW w:w="398" w:type="pct"/>
            <w:tcBorders>
              <w:top w:val="nil"/>
              <w:left w:val="nil"/>
              <w:bottom w:val="nil"/>
              <w:right w:val="nil"/>
            </w:tcBorders>
            <w:shd w:val="clear" w:color="000000" w:fill="FFFFFF"/>
            <w:noWrap/>
            <w:vAlign w:val="center"/>
            <w:hideMark/>
          </w:tcPr>
          <w:p w14:paraId="20796BF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0.59 - 1.19</w:t>
            </w:r>
          </w:p>
        </w:tc>
        <w:tc>
          <w:tcPr>
            <w:tcW w:w="283" w:type="pct"/>
            <w:tcBorders>
              <w:top w:val="nil"/>
              <w:left w:val="nil"/>
              <w:bottom w:val="nil"/>
              <w:right w:val="nil"/>
            </w:tcBorders>
            <w:shd w:val="clear" w:color="000000" w:fill="FFFFFF"/>
            <w:noWrap/>
            <w:vAlign w:val="center"/>
            <w:hideMark/>
          </w:tcPr>
          <w:p w14:paraId="6D2F8199"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0.340</w:t>
            </w:r>
          </w:p>
        </w:tc>
      </w:tr>
      <w:tr w:rsidR="001B2AA2" w:rsidRPr="00724426" w14:paraId="5F687EAF" w14:textId="77777777" w:rsidTr="008E4A87">
        <w:trPr>
          <w:trHeight w:val="288"/>
        </w:trPr>
        <w:tc>
          <w:tcPr>
            <w:tcW w:w="1776" w:type="pct"/>
            <w:tcBorders>
              <w:top w:val="nil"/>
              <w:left w:val="nil"/>
              <w:bottom w:val="nil"/>
              <w:right w:val="nil"/>
            </w:tcBorders>
            <w:shd w:val="clear" w:color="000000" w:fill="FFFFFF"/>
            <w:vAlign w:val="center"/>
            <w:hideMark/>
          </w:tcPr>
          <w:p w14:paraId="56FDDDA1"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ICU</w:t>
            </w:r>
          </w:p>
        </w:tc>
        <w:tc>
          <w:tcPr>
            <w:tcW w:w="171" w:type="pct"/>
            <w:tcBorders>
              <w:top w:val="nil"/>
              <w:left w:val="nil"/>
              <w:bottom w:val="nil"/>
              <w:right w:val="nil"/>
            </w:tcBorders>
            <w:shd w:val="clear" w:color="000000" w:fill="FFFFFF"/>
            <w:noWrap/>
            <w:vAlign w:val="center"/>
            <w:hideMark/>
          </w:tcPr>
          <w:p w14:paraId="642C4AB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1.35</w:t>
            </w:r>
          </w:p>
        </w:tc>
        <w:tc>
          <w:tcPr>
            <w:tcW w:w="396" w:type="pct"/>
            <w:tcBorders>
              <w:top w:val="nil"/>
              <w:left w:val="nil"/>
              <w:bottom w:val="nil"/>
              <w:right w:val="nil"/>
            </w:tcBorders>
            <w:shd w:val="clear" w:color="000000" w:fill="FFFFFF"/>
            <w:noWrap/>
            <w:vAlign w:val="center"/>
            <w:hideMark/>
          </w:tcPr>
          <w:p w14:paraId="123C526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0.94 - 1.96</w:t>
            </w:r>
          </w:p>
        </w:tc>
        <w:tc>
          <w:tcPr>
            <w:tcW w:w="281" w:type="pct"/>
            <w:tcBorders>
              <w:top w:val="nil"/>
              <w:left w:val="nil"/>
              <w:bottom w:val="nil"/>
              <w:right w:val="single" w:sz="4" w:space="0" w:color="auto"/>
            </w:tcBorders>
            <w:shd w:val="clear" w:color="000000" w:fill="FFFFFF"/>
            <w:noWrap/>
            <w:vAlign w:val="center"/>
            <w:hideMark/>
          </w:tcPr>
          <w:p w14:paraId="2F31610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0.103</w:t>
            </w:r>
          </w:p>
        </w:tc>
        <w:tc>
          <w:tcPr>
            <w:tcW w:w="1523" w:type="pct"/>
            <w:tcBorders>
              <w:top w:val="nil"/>
              <w:left w:val="nil"/>
              <w:bottom w:val="nil"/>
              <w:right w:val="nil"/>
            </w:tcBorders>
            <w:shd w:val="clear" w:color="000000" w:fill="FFFFFF"/>
            <w:vAlign w:val="center"/>
            <w:hideMark/>
          </w:tcPr>
          <w:p w14:paraId="14633051"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ICU</w:t>
            </w:r>
          </w:p>
        </w:tc>
        <w:tc>
          <w:tcPr>
            <w:tcW w:w="172" w:type="pct"/>
            <w:tcBorders>
              <w:top w:val="nil"/>
              <w:left w:val="nil"/>
              <w:bottom w:val="nil"/>
              <w:right w:val="nil"/>
            </w:tcBorders>
            <w:shd w:val="clear" w:color="000000" w:fill="FFFFFF"/>
            <w:noWrap/>
            <w:vAlign w:val="center"/>
            <w:hideMark/>
          </w:tcPr>
          <w:p w14:paraId="3C415BC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1.34</w:t>
            </w:r>
          </w:p>
        </w:tc>
        <w:tc>
          <w:tcPr>
            <w:tcW w:w="398" w:type="pct"/>
            <w:tcBorders>
              <w:top w:val="nil"/>
              <w:left w:val="nil"/>
              <w:bottom w:val="nil"/>
              <w:right w:val="nil"/>
            </w:tcBorders>
            <w:shd w:val="clear" w:color="000000" w:fill="FFFFFF"/>
            <w:noWrap/>
            <w:vAlign w:val="center"/>
            <w:hideMark/>
          </w:tcPr>
          <w:p w14:paraId="326BD98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0.93 - 1.95</w:t>
            </w:r>
          </w:p>
        </w:tc>
        <w:tc>
          <w:tcPr>
            <w:tcW w:w="283" w:type="pct"/>
            <w:tcBorders>
              <w:top w:val="nil"/>
              <w:left w:val="nil"/>
              <w:bottom w:val="nil"/>
              <w:right w:val="nil"/>
            </w:tcBorders>
            <w:shd w:val="clear" w:color="000000" w:fill="FFFFFF"/>
            <w:noWrap/>
            <w:vAlign w:val="center"/>
            <w:hideMark/>
          </w:tcPr>
          <w:p w14:paraId="6E842AB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0.113</w:t>
            </w:r>
          </w:p>
        </w:tc>
      </w:tr>
      <w:tr w:rsidR="001B2AA2" w:rsidRPr="00724426" w14:paraId="3F09B5AA" w14:textId="77777777" w:rsidTr="008E4A87">
        <w:trPr>
          <w:trHeight w:val="288"/>
        </w:trPr>
        <w:tc>
          <w:tcPr>
            <w:tcW w:w="1776" w:type="pct"/>
            <w:tcBorders>
              <w:top w:val="nil"/>
              <w:left w:val="nil"/>
              <w:bottom w:val="nil"/>
              <w:right w:val="nil"/>
            </w:tcBorders>
            <w:shd w:val="clear" w:color="000000" w:fill="FFFFFF"/>
            <w:vAlign w:val="center"/>
            <w:hideMark/>
          </w:tcPr>
          <w:p w14:paraId="46D0DA50"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Type of infection</w:t>
            </w:r>
          </w:p>
        </w:tc>
        <w:tc>
          <w:tcPr>
            <w:tcW w:w="171" w:type="pct"/>
            <w:tcBorders>
              <w:top w:val="nil"/>
              <w:left w:val="nil"/>
              <w:bottom w:val="nil"/>
              <w:right w:val="nil"/>
            </w:tcBorders>
            <w:shd w:val="clear" w:color="000000" w:fill="FFFFFF"/>
            <w:noWrap/>
            <w:vAlign w:val="center"/>
            <w:hideMark/>
          </w:tcPr>
          <w:p w14:paraId="555407A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13B579C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340E0D1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1A198CAB"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Type of infection</w:t>
            </w:r>
          </w:p>
        </w:tc>
        <w:tc>
          <w:tcPr>
            <w:tcW w:w="172" w:type="pct"/>
            <w:tcBorders>
              <w:top w:val="nil"/>
              <w:left w:val="nil"/>
              <w:bottom w:val="nil"/>
              <w:right w:val="nil"/>
            </w:tcBorders>
            <w:shd w:val="clear" w:color="000000" w:fill="FFFFFF"/>
            <w:noWrap/>
            <w:vAlign w:val="center"/>
            <w:hideMark/>
          </w:tcPr>
          <w:p w14:paraId="6136370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77E9657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4FE5D42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4F9C80FC" w14:textId="77777777" w:rsidTr="008E4A87">
        <w:trPr>
          <w:trHeight w:val="288"/>
        </w:trPr>
        <w:tc>
          <w:tcPr>
            <w:tcW w:w="1776" w:type="pct"/>
            <w:tcBorders>
              <w:top w:val="nil"/>
              <w:left w:val="nil"/>
              <w:bottom w:val="nil"/>
              <w:right w:val="nil"/>
            </w:tcBorders>
            <w:shd w:val="clear" w:color="000000" w:fill="FFFFFF"/>
            <w:vAlign w:val="center"/>
            <w:hideMark/>
          </w:tcPr>
          <w:p w14:paraId="728B0323"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Community acquired infection</w:t>
            </w:r>
          </w:p>
        </w:tc>
        <w:tc>
          <w:tcPr>
            <w:tcW w:w="171" w:type="pct"/>
            <w:tcBorders>
              <w:top w:val="nil"/>
              <w:left w:val="nil"/>
              <w:bottom w:val="nil"/>
              <w:right w:val="nil"/>
            </w:tcBorders>
            <w:shd w:val="clear" w:color="000000" w:fill="FFFFFF"/>
            <w:noWrap/>
            <w:vAlign w:val="center"/>
            <w:hideMark/>
          </w:tcPr>
          <w:p w14:paraId="5A04416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w:t>
            </w:r>
          </w:p>
        </w:tc>
        <w:tc>
          <w:tcPr>
            <w:tcW w:w="396" w:type="pct"/>
            <w:tcBorders>
              <w:top w:val="nil"/>
              <w:left w:val="nil"/>
              <w:bottom w:val="nil"/>
              <w:right w:val="nil"/>
            </w:tcBorders>
            <w:shd w:val="clear" w:color="000000" w:fill="FFFFFF"/>
            <w:noWrap/>
            <w:vAlign w:val="center"/>
            <w:hideMark/>
          </w:tcPr>
          <w:p w14:paraId="704D4D8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60A50B3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36AC1386"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Community acquired infection</w:t>
            </w:r>
          </w:p>
        </w:tc>
        <w:tc>
          <w:tcPr>
            <w:tcW w:w="172" w:type="pct"/>
            <w:tcBorders>
              <w:top w:val="nil"/>
              <w:left w:val="nil"/>
              <w:bottom w:val="nil"/>
              <w:right w:val="nil"/>
            </w:tcBorders>
            <w:shd w:val="clear" w:color="000000" w:fill="FFFFFF"/>
            <w:noWrap/>
            <w:vAlign w:val="center"/>
            <w:hideMark/>
          </w:tcPr>
          <w:p w14:paraId="0275CDA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w:t>
            </w:r>
          </w:p>
        </w:tc>
        <w:tc>
          <w:tcPr>
            <w:tcW w:w="398" w:type="pct"/>
            <w:tcBorders>
              <w:top w:val="nil"/>
              <w:left w:val="nil"/>
              <w:bottom w:val="nil"/>
              <w:right w:val="nil"/>
            </w:tcBorders>
            <w:shd w:val="clear" w:color="000000" w:fill="FFFFFF"/>
            <w:noWrap/>
            <w:vAlign w:val="center"/>
            <w:hideMark/>
          </w:tcPr>
          <w:p w14:paraId="7C5F4E9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6F55F4C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662830E9" w14:textId="77777777" w:rsidTr="008E4A87">
        <w:trPr>
          <w:trHeight w:val="288"/>
        </w:trPr>
        <w:tc>
          <w:tcPr>
            <w:tcW w:w="1776" w:type="pct"/>
            <w:tcBorders>
              <w:top w:val="nil"/>
              <w:left w:val="nil"/>
              <w:bottom w:val="nil"/>
              <w:right w:val="nil"/>
            </w:tcBorders>
            <w:shd w:val="clear" w:color="000000" w:fill="FFFFFF"/>
            <w:vAlign w:val="center"/>
            <w:hideMark/>
          </w:tcPr>
          <w:p w14:paraId="420D25C7"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Nosocomial infection</w:t>
            </w:r>
          </w:p>
        </w:tc>
        <w:tc>
          <w:tcPr>
            <w:tcW w:w="171" w:type="pct"/>
            <w:tcBorders>
              <w:top w:val="nil"/>
              <w:left w:val="nil"/>
              <w:bottom w:val="nil"/>
              <w:right w:val="nil"/>
            </w:tcBorders>
            <w:shd w:val="clear" w:color="000000" w:fill="FFFFFF"/>
            <w:noWrap/>
            <w:vAlign w:val="center"/>
            <w:hideMark/>
          </w:tcPr>
          <w:p w14:paraId="0D6F222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1.41</w:t>
            </w:r>
          </w:p>
        </w:tc>
        <w:tc>
          <w:tcPr>
            <w:tcW w:w="396" w:type="pct"/>
            <w:tcBorders>
              <w:top w:val="nil"/>
              <w:left w:val="nil"/>
              <w:bottom w:val="nil"/>
              <w:right w:val="nil"/>
            </w:tcBorders>
            <w:shd w:val="clear" w:color="000000" w:fill="FFFFFF"/>
            <w:noWrap/>
            <w:vAlign w:val="center"/>
            <w:hideMark/>
          </w:tcPr>
          <w:p w14:paraId="7B7E0A5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1.05 - 1.90</w:t>
            </w:r>
          </w:p>
        </w:tc>
        <w:tc>
          <w:tcPr>
            <w:tcW w:w="281" w:type="pct"/>
            <w:tcBorders>
              <w:top w:val="nil"/>
              <w:left w:val="nil"/>
              <w:bottom w:val="nil"/>
              <w:right w:val="single" w:sz="4" w:space="0" w:color="auto"/>
            </w:tcBorders>
            <w:shd w:val="clear" w:color="000000" w:fill="FFFFFF"/>
            <w:noWrap/>
            <w:vAlign w:val="center"/>
            <w:hideMark/>
          </w:tcPr>
          <w:p w14:paraId="2D603D3F"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0.019</w:t>
            </w:r>
          </w:p>
        </w:tc>
        <w:tc>
          <w:tcPr>
            <w:tcW w:w="1523" w:type="pct"/>
            <w:tcBorders>
              <w:top w:val="nil"/>
              <w:left w:val="nil"/>
              <w:bottom w:val="nil"/>
              <w:right w:val="nil"/>
            </w:tcBorders>
            <w:shd w:val="clear" w:color="000000" w:fill="FFFFFF"/>
            <w:vAlign w:val="center"/>
            <w:hideMark/>
          </w:tcPr>
          <w:p w14:paraId="601A5AD9"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Nosocomial infection</w:t>
            </w:r>
          </w:p>
        </w:tc>
        <w:tc>
          <w:tcPr>
            <w:tcW w:w="172" w:type="pct"/>
            <w:tcBorders>
              <w:top w:val="nil"/>
              <w:left w:val="nil"/>
              <w:bottom w:val="nil"/>
              <w:right w:val="nil"/>
            </w:tcBorders>
            <w:shd w:val="clear" w:color="000000" w:fill="FFFFFF"/>
            <w:noWrap/>
            <w:vAlign w:val="center"/>
            <w:hideMark/>
          </w:tcPr>
          <w:p w14:paraId="6E1C232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1.43</w:t>
            </w:r>
          </w:p>
        </w:tc>
        <w:tc>
          <w:tcPr>
            <w:tcW w:w="398" w:type="pct"/>
            <w:tcBorders>
              <w:top w:val="nil"/>
              <w:left w:val="nil"/>
              <w:bottom w:val="nil"/>
              <w:right w:val="nil"/>
            </w:tcBorders>
            <w:shd w:val="clear" w:color="000000" w:fill="FFFFFF"/>
            <w:noWrap/>
            <w:vAlign w:val="center"/>
            <w:hideMark/>
          </w:tcPr>
          <w:p w14:paraId="487E683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1.06 - 1.91</w:t>
            </w:r>
          </w:p>
        </w:tc>
        <w:tc>
          <w:tcPr>
            <w:tcW w:w="283" w:type="pct"/>
            <w:tcBorders>
              <w:top w:val="nil"/>
              <w:left w:val="nil"/>
              <w:bottom w:val="nil"/>
              <w:right w:val="nil"/>
            </w:tcBorders>
            <w:shd w:val="clear" w:color="000000" w:fill="FFFFFF"/>
            <w:noWrap/>
            <w:vAlign w:val="center"/>
            <w:hideMark/>
          </w:tcPr>
          <w:p w14:paraId="3470CAFE"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0.016</w:t>
            </w:r>
          </w:p>
        </w:tc>
      </w:tr>
      <w:tr w:rsidR="001B2AA2" w:rsidRPr="00724426" w14:paraId="50DD9A31" w14:textId="77777777" w:rsidTr="008E4A87">
        <w:trPr>
          <w:trHeight w:val="288"/>
        </w:trPr>
        <w:tc>
          <w:tcPr>
            <w:tcW w:w="1776" w:type="pct"/>
            <w:tcBorders>
              <w:top w:val="nil"/>
              <w:left w:val="nil"/>
              <w:bottom w:val="nil"/>
              <w:right w:val="nil"/>
            </w:tcBorders>
            <w:shd w:val="clear" w:color="000000" w:fill="FFFFFF"/>
            <w:vAlign w:val="center"/>
            <w:hideMark/>
          </w:tcPr>
          <w:p w14:paraId="2EE95527"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Severity</w:t>
            </w:r>
          </w:p>
        </w:tc>
        <w:tc>
          <w:tcPr>
            <w:tcW w:w="171" w:type="pct"/>
            <w:tcBorders>
              <w:top w:val="nil"/>
              <w:left w:val="nil"/>
              <w:bottom w:val="nil"/>
              <w:right w:val="nil"/>
            </w:tcBorders>
            <w:shd w:val="clear" w:color="000000" w:fill="FFFFFF"/>
            <w:noWrap/>
            <w:vAlign w:val="center"/>
            <w:hideMark/>
          </w:tcPr>
          <w:p w14:paraId="48749255"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3B1EA69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21E8BA6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7844D8D0"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Severity</w:t>
            </w:r>
          </w:p>
        </w:tc>
        <w:tc>
          <w:tcPr>
            <w:tcW w:w="172" w:type="pct"/>
            <w:tcBorders>
              <w:top w:val="nil"/>
              <w:left w:val="nil"/>
              <w:bottom w:val="nil"/>
              <w:right w:val="nil"/>
            </w:tcBorders>
            <w:shd w:val="clear" w:color="000000" w:fill="FFFFFF"/>
            <w:noWrap/>
            <w:vAlign w:val="center"/>
            <w:hideMark/>
          </w:tcPr>
          <w:p w14:paraId="043E8F0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6F012BD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1AFC01CB"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65A852AC" w14:textId="77777777" w:rsidTr="008E4A87">
        <w:trPr>
          <w:trHeight w:val="288"/>
        </w:trPr>
        <w:tc>
          <w:tcPr>
            <w:tcW w:w="1776" w:type="pct"/>
            <w:tcBorders>
              <w:top w:val="nil"/>
              <w:left w:val="nil"/>
              <w:bottom w:val="nil"/>
              <w:right w:val="nil"/>
            </w:tcBorders>
            <w:shd w:val="clear" w:color="000000" w:fill="FFFFFF"/>
            <w:vAlign w:val="center"/>
            <w:hideMark/>
          </w:tcPr>
          <w:p w14:paraId="607134A6"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Sepsis or septic shock</w:t>
            </w:r>
          </w:p>
        </w:tc>
        <w:tc>
          <w:tcPr>
            <w:tcW w:w="171" w:type="pct"/>
            <w:tcBorders>
              <w:top w:val="nil"/>
              <w:left w:val="nil"/>
              <w:bottom w:val="nil"/>
              <w:right w:val="nil"/>
            </w:tcBorders>
            <w:shd w:val="clear" w:color="000000" w:fill="FFFFFF"/>
            <w:noWrap/>
            <w:vAlign w:val="center"/>
            <w:hideMark/>
          </w:tcPr>
          <w:p w14:paraId="71FD9EE4"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1.17</w:t>
            </w:r>
          </w:p>
        </w:tc>
        <w:tc>
          <w:tcPr>
            <w:tcW w:w="396" w:type="pct"/>
            <w:tcBorders>
              <w:top w:val="nil"/>
              <w:left w:val="nil"/>
              <w:bottom w:val="nil"/>
              <w:right w:val="nil"/>
            </w:tcBorders>
            <w:shd w:val="clear" w:color="000000" w:fill="FFFFFF"/>
            <w:noWrap/>
            <w:vAlign w:val="center"/>
            <w:hideMark/>
          </w:tcPr>
          <w:p w14:paraId="29C581D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0.91 - 1.51</w:t>
            </w:r>
          </w:p>
        </w:tc>
        <w:tc>
          <w:tcPr>
            <w:tcW w:w="281" w:type="pct"/>
            <w:tcBorders>
              <w:top w:val="nil"/>
              <w:left w:val="nil"/>
              <w:bottom w:val="nil"/>
              <w:right w:val="single" w:sz="4" w:space="0" w:color="auto"/>
            </w:tcBorders>
            <w:shd w:val="clear" w:color="000000" w:fill="FFFFFF"/>
            <w:noWrap/>
            <w:vAlign w:val="center"/>
            <w:hideMark/>
          </w:tcPr>
          <w:p w14:paraId="19122BD5"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0.211</w:t>
            </w:r>
          </w:p>
        </w:tc>
        <w:tc>
          <w:tcPr>
            <w:tcW w:w="1523" w:type="pct"/>
            <w:tcBorders>
              <w:top w:val="nil"/>
              <w:left w:val="nil"/>
              <w:bottom w:val="nil"/>
              <w:right w:val="nil"/>
            </w:tcBorders>
            <w:shd w:val="clear" w:color="000000" w:fill="FFFFFF"/>
            <w:vAlign w:val="center"/>
            <w:hideMark/>
          </w:tcPr>
          <w:p w14:paraId="69285C59"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Sepsis or septic shock</w:t>
            </w:r>
          </w:p>
        </w:tc>
        <w:tc>
          <w:tcPr>
            <w:tcW w:w="172" w:type="pct"/>
            <w:tcBorders>
              <w:top w:val="nil"/>
              <w:left w:val="nil"/>
              <w:bottom w:val="nil"/>
              <w:right w:val="nil"/>
            </w:tcBorders>
            <w:shd w:val="clear" w:color="000000" w:fill="FFFFFF"/>
            <w:noWrap/>
            <w:vAlign w:val="center"/>
            <w:hideMark/>
          </w:tcPr>
          <w:p w14:paraId="4C6BB798"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1.17</w:t>
            </w:r>
          </w:p>
        </w:tc>
        <w:tc>
          <w:tcPr>
            <w:tcW w:w="398" w:type="pct"/>
            <w:tcBorders>
              <w:top w:val="nil"/>
              <w:left w:val="nil"/>
              <w:bottom w:val="nil"/>
              <w:right w:val="nil"/>
            </w:tcBorders>
            <w:shd w:val="clear" w:color="000000" w:fill="FFFFFF"/>
            <w:noWrap/>
            <w:vAlign w:val="center"/>
            <w:hideMark/>
          </w:tcPr>
          <w:p w14:paraId="5B6F265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0.90 - 1.51</w:t>
            </w:r>
          </w:p>
        </w:tc>
        <w:tc>
          <w:tcPr>
            <w:tcW w:w="283" w:type="pct"/>
            <w:tcBorders>
              <w:top w:val="nil"/>
              <w:left w:val="nil"/>
              <w:bottom w:val="nil"/>
              <w:right w:val="nil"/>
            </w:tcBorders>
            <w:shd w:val="clear" w:color="000000" w:fill="FFFFFF"/>
            <w:noWrap/>
            <w:vAlign w:val="center"/>
            <w:hideMark/>
          </w:tcPr>
          <w:p w14:paraId="521E0B67"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0.218</w:t>
            </w:r>
          </w:p>
        </w:tc>
      </w:tr>
      <w:tr w:rsidR="001B2AA2" w:rsidRPr="00724426" w14:paraId="7B4515E3" w14:textId="77777777" w:rsidTr="008E4A87">
        <w:trPr>
          <w:trHeight w:val="288"/>
        </w:trPr>
        <w:tc>
          <w:tcPr>
            <w:tcW w:w="1776" w:type="pct"/>
            <w:tcBorders>
              <w:top w:val="nil"/>
              <w:left w:val="nil"/>
              <w:bottom w:val="nil"/>
              <w:right w:val="nil"/>
            </w:tcBorders>
            <w:shd w:val="clear" w:color="000000" w:fill="FFFFFF"/>
            <w:vAlign w:val="center"/>
            <w:hideMark/>
          </w:tcPr>
          <w:p w14:paraId="05786BAD"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 xml:space="preserve">Source of </w:t>
            </w:r>
            <w:proofErr w:type="spellStart"/>
            <w:r w:rsidRPr="00724426">
              <w:rPr>
                <w:rFonts w:ascii="Calibri" w:eastAsia="Times New Roman" w:hAnsi="Calibri" w:cs="Calibri"/>
                <w:b/>
                <w:bCs/>
                <w:kern w:val="0"/>
                <w:sz w:val="16"/>
                <w:szCs w:val="16"/>
                <w:lang w:val="en-US" w:eastAsia="it-IT"/>
                <w14:ligatures w14:val="none"/>
              </w:rPr>
              <w:t>bacteraemia</w:t>
            </w:r>
            <w:proofErr w:type="spellEnd"/>
          </w:p>
        </w:tc>
        <w:tc>
          <w:tcPr>
            <w:tcW w:w="171" w:type="pct"/>
            <w:tcBorders>
              <w:top w:val="nil"/>
              <w:left w:val="nil"/>
              <w:bottom w:val="nil"/>
              <w:right w:val="nil"/>
            </w:tcBorders>
            <w:shd w:val="clear" w:color="000000" w:fill="FFFFFF"/>
            <w:noWrap/>
            <w:vAlign w:val="center"/>
            <w:hideMark/>
          </w:tcPr>
          <w:p w14:paraId="77C7817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6" w:type="pct"/>
            <w:tcBorders>
              <w:top w:val="nil"/>
              <w:left w:val="nil"/>
              <w:bottom w:val="nil"/>
              <w:right w:val="nil"/>
            </w:tcBorders>
            <w:shd w:val="clear" w:color="000000" w:fill="FFFFFF"/>
            <w:noWrap/>
            <w:vAlign w:val="center"/>
            <w:hideMark/>
          </w:tcPr>
          <w:p w14:paraId="3BBFC11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1" w:type="pct"/>
            <w:tcBorders>
              <w:top w:val="nil"/>
              <w:left w:val="nil"/>
              <w:bottom w:val="nil"/>
              <w:right w:val="single" w:sz="4" w:space="0" w:color="auto"/>
            </w:tcBorders>
            <w:shd w:val="clear" w:color="000000" w:fill="FFFFFF"/>
            <w:noWrap/>
            <w:vAlign w:val="center"/>
            <w:hideMark/>
          </w:tcPr>
          <w:p w14:paraId="465ECAF2"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1523" w:type="pct"/>
            <w:tcBorders>
              <w:top w:val="nil"/>
              <w:left w:val="nil"/>
              <w:bottom w:val="nil"/>
              <w:right w:val="nil"/>
            </w:tcBorders>
            <w:shd w:val="clear" w:color="000000" w:fill="FFFFFF"/>
            <w:vAlign w:val="center"/>
            <w:hideMark/>
          </w:tcPr>
          <w:p w14:paraId="3D9C85F9"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 xml:space="preserve">Source of </w:t>
            </w:r>
            <w:proofErr w:type="spellStart"/>
            <w:r w:rsidRPr="00724426">
              <w:rPr>
                <w:rFonts w:ascii="Calibri" w:eastAsia="Times New Roman" w:hAnsi="Calibri" w:cs="Calibri"/>
                <w:b/>
                <w:bCs/>
                <w:kern w:val="0"/>
                <w:sz w:val="16"/>
                <w:szCs w:val="16"/>
                <w:lang w:val="en-US" w:eastAsia="it-IT"/>
                <w14:ligatures w14:val="none"/>
              </w:rPr>
              <w:t>bacteraemia</w:t>
            </w:r>
            <w:proofErr w:type="spellEnd"/>
          </w:p>
        </w:tc>
        <w:tc>
          <w:tcPr>
            <w:tcW w:w="172" w:type="pct"/>
            <w:tcBorders>
              <w:top w:val="nil"/>
              <w:left w:val="nil"/>
              <w:bottom w:val="nil"/>
              <w:right w:val="nil"/>
            </w:tcBorders>
            <w:shd w:val="clear" w:color="000000" w:fill="FFFFFF"/>
            <w:noWrap/>
            <w:vAlign w:val="center"/>
            <w:hideMark/>
          </w:tcPr>
          <w:p w14:paraId="38CC760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398" w:type="pct"/>
            <w:tcBorders>
              <w:top w:val="nil"/>
              <w:left w:val="nil"/>
              <w:bottom w:val="nil"/>
              <w:right w:val="nil"/>
            </w:tcBorders>
            <w:shd w:val="clear" w:color="000000" w:fill="FFFFFF"/>
            <w:noWrap/>
            <w:vAlign w:val="center"/>
            <w:hideMark/>
          </w:tcPr>
          <w:p w14:paraId="16D9AD56"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c>
          <w:tcPr>
            <w:tcW w:w="283" w:type="pct"/>
            <w:tcBorders>
              <w:top w:val="nil"/>
              <w:left w:val="nil"/>
              <w:bottom w:val="nil"/>
              <w:right w:val="nil"/>
            </w:tcBorders>
            <w:shd w:val="clear" w:color="000000" w:fill="FFFFFF"/>
            <w:noWrap/>
            <w:vAlign w:val="center"/>
            <w:hideMark/>
          </w:tcPr>
          <w:p w14:paraId="37DB833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 </w:t>
            </w:r>
          </w:p>
        </w:tc>
      </w:tr>
      <w:tr w:rsidR="001B2AA2" w:rsidRPr="00724426" w14:paraId="0925D7D4" w14:textId="77777777" w:rsidTr="008E4A87">
        <w:trPr>
          <w:trHeight w:val="288"/>
        </w:trPr>
        <w:tc>
          <w:tcPr>
            <w:tcW w:w="1776" w:type="pct"/>
            <w:tcBorders>
              <w:top w:val="nil"/>
              <w:left w:val="nil"/>
              <w:bottom w:val="nil"/>
              <w:right w:val="nil"/>
            </w:tcBorders>
            <w:shd w:val="clear" w:color="000000" w:fill="FFFFFF"/>
            <w:vAlign w:val="center"/>
            <w:hideMark/>
          </w:tcPr>
          <w:p w14:paraId="2465A7EB"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Unidentified source</w:t>
            </w:r>
          </w:p>
        </w:tc>
        <w:tc>
          <w:tcPr>
            <w:tcW w:w="171" w:type="pct"/>
            <w:tcBorders>
              <w:top w:val="nil"/>
              <w:left w:val="nil"/>
              <w:bottom w:val="nil"/>
              <w:right w:val="nil"/>
            </w:tcBorders>
            <w:shd w:val="clear" w:color="000000" w:fill="FFFFFF"/>
            <w:noWrap/>
            <w:vAlign w:val="center"/>
            <w:hideMark/>
          </w:tcPr>
          <w:p w14:paraId="6AE79EFC"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1.54</w:t>
            </w:r>
          </w:p>
        </w:tc>
        <w:tc>
          <w:tcPr>
            <w:tcW w:w="396" w:type="pct"/>
            <w:tcBorders>
              <w:top w:val="nil"/>
              <w:left w:val="nil"/>
              <w:bottom w:val="nil"/>
              <w:right w:val="nil"/>
            </w:tcBorders>
            <w:shd w:val="clear" w:color="000000" w:fill="FFFFFF"/>
            <w:noWrap/>
            <w:vAlign w:val="center"/>
            <w:hideMark/>
          </w:tcPr>
          <w:p w14:paraId="52CB27BA"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1.17 - 2.03</w:t>
            </w:r>
          </w:p>
        </w:tc>
        <w:tc>
          <w:tcPr>
            <w:tcW w:w="281" w:type="pct"/>
            <w:tcBorders>
              <w:top w:val="nil"/>
              <w:left w:val="nil"/>
              <w:bottom w:val="nil"/>
              <w:right w:val="single" w:sz="4" w:space="0" w:color="auto"/>
            </w:tcBorders>
            <w:shd w:val="clear" w:color="000000" w:fill="FFFFFF"/>
            <w:noWrap/>
            <w:vAlign w:val="center"/>
            <w:hideMark/>
          </w:tcPr>
          <w:p w14:paraId="56BFDFEA"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0.002</w:t>
            </w:r>
          </w:p>
        </w:tc>
        <w:tc>
          <w:tcPr>
            <w:tcW w:w="1523" w:type="pct"/>
            <w:tcBorders>
              <w:top w:val="nil"/>
              <w:left w:val="nil"/>
              <w:bottom w:val="nil"/>
              <w:right w:val="nil"/>
            </w:tcBorders>
            <w:shd w:val="clear" w:color="000000" w:fill="FFFFFF"/>
            <w:vAlign w:val="center"/>
            <w:hideMark/>
          </w:tcPr>
          <w:p w14:paraId="19FDE994" w14:textId="77777777" w:rsidR="001B2AA2" w:rsidRPr="00724426" w:rsidRDefault="001B2AA2" w:rsidP="00724426">
            <w:pPr>
              <w:spacing w:after="0" w:line="240" w:lineRule="auto"/>
              <w:jc w:val="both"/>
              <w:rPr>
                <w:rFonts w:ascii="Calibri" w:eastAsia="Times New Roman" w:hAnsi="Calibri" w:cs="Calibri"/>
                <w:i/>
                <w:iCs/>
                <w:kern w:val="0"/>
                <w:sz w:val="16"/>
                <w:szCs w:val="16"/>
                <w:lang w:val="en-US" w:eastAsia="it-IT"/>
                <w14:ligatures w14:val="none"/>
              </w:rPr>
            </w:pPr>
            <w:r w:rsidRPr="00724426">
              <w:rPr>
                <w:rFonts w:ascii="Calibri" w:eastAsia="Times New Roman" w:hAnsi="Calibri" w:cs="Calibri"/>
                <w:i/>
                <w:iCs/>
                <w:kern w:val="0"/>
                <w:sz w:val="16"/>
                <w:szCs w:val="16"/>
                <w:lang w:val="en-US" w:eastAsia="it-IT"/>
                <w14:ligatures w14:val="none"/>
              </w:rPr>
              <w:t>Unidentified source</w:t>
            </w:r>
          </w:p>
        </w:tc>
        <w:tc>
          <w:tcPr>
            <w:tcW w:w="172" w:type="pct"/>
            <w:tcBorders>
              <w:top w:val="nil"/>
              <w:left w:val="nil"/>
              <w:bottom w:val="nil"/>
              <w:right w:val="nil"/>
            </w:tcBorders>
            <w:shd w:val="clear" w:color="000000" w:fill="FFFFFF"/>
            <w:noWrap/>
            <w:vAlign w:val="center"/>
            <w:hideMark/>
          </w:tcPr>
          <w:p w14:paraId="3CF696E0"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1.54</w:t>
            </w:r>
          </w:p>
        </w:tc>
        <w:tc>
          <w:tcPr>
            <w:tcW w:w="398" w:type="pct"/>
            <w:tcBorders>
              <w:top w:val="nil"/>
              <w:left w:val="nil"/>
              <w:bottom w:val="nil"/>
              <w:right w:val="nil"/>
            </w:tcBorders>
            <w:shd w:val="clear" w:color="000000" w:fill="FFFFFF"/>
            <w:noWrap/>
            <w:vAlign w:val="center"/>
            <w:hideMark/>
          </w:tcPr>
          <w:p w14:paraId="5B06ED7C"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1.17 - 2.03</w:t>
            </w:r>
          </w:p>
        </w:tc>
        <w:tc>
          <w:tcPr>
            <w:tcW w:w="283" w:type="pct"/>
            <w:tcBorders>
              <w:top w:val="nil"/>
              <w:left w:val="nil"/>
              <w:bottom w:val="nil"/>
              <w:right w:val="nil"/>
            </w:tcBorders>
            <w:shd w:val="clear" w:color="000000" w:fill="FFFFFF"/>
            <w:noWrap/>
            <w:vAlign w:val="center"/>
            <w:hideMark/>
          </w:tcPr>
          <w:p w14:paraId="33D18D48"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0.002</w:t>
            </w:r>
          </w:p>
        </w:tc>
      </w:tr>
      <w:tr w:rsidR="001B2AA2" w:rsidRPr="00724426" w14:paraId="7BC98862" w14:textId="77777777" w:rsidTr="008E4A87">
        <w:trPr>
          <w:trHeight w:val="288"/>
        </w:trPr>
        <w:tc>
          <w:tcPr>
            <w:tcW w:w="1776" w:type="pct"/>
            <w:tcBorders>
              <w:top w:val="nil"/>
              <w:left w:val="nil"/>
              <w:bottom w:val="single" w:sz="4" w:space="0" w:color="auto"/>
              <w:right w:val="nil"/>
            </w:tcBorders>
            <w:shd w:val="clear" w:color="000000" w:fill="FFFFFF"/>
            <w:noWrap/>
            <w:vAlign w:val="center"/>
            <w:hideMark/>
          </w:tcPr>
          <w:p w14:paraId="0BD59D3C"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EET within 24 hours from E-BSI onset</w:t>
            </w:r>
          </w:p>
        </w:tc>
        <w:tc>
          <w:tcPr>
            <w:tcW w:w="171" w:type="pct"/>
            <w:tcBorders>
              <w:top w:val="nil"/>
              <w:left w:val="nil"/>
              <w:bottom w:val="single" w:sz="4" w:space="0" w:color="auto"/>
              <w:right w:val="nil"/>
            </w:tcBorders>
            <w:shd w:val="clear" w:color="000000" w:fill="FFFFFF"/>
            <w:noWrap/>
            <w:vAlign w:val="center"/>
            <w:hideMark/>
          </w:tcPr>
          <w:p w14:paraId="1CFDC9A3"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1.04</w:t>
            </w:r>
          </w:p>
        </w:tc>
        <w:tc>
          <w:tcPr>
            <w:tcW w:w="396" w:type="pct"/>
            <w:tcBorders>
              <w:top w:val="nil"/>
              <w:left w:val="nil"/>
              <w:bottom w:val="single" w:sz="4" w:space="0" w:color="auto"/>
              <w:right w:val="nil"/>
            </w:tcBorders>
            <w:shd w:val="clear" w:color="000000" w:fill="FFFFFF"/>
            <w:noWrap/>
            <w:vAlign w:val="center"/>
            <w:hideMark/>
          </w:tcPr>
          <w:p w14:paraId="4F2D2697"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0.80 - 1.34</w:t>
            </w:r>
          </w:p>
        </w:tc>
        <w:tc>
          <w:tcPr>
            <w:tcW w:w="281" w:type="pct"/>
            <w:tcBorders>
              <w:top w:val="nil"/>
              <w:left w:val="nil"/>
              <w:bottom w:val="single" w:sz="4" w:space="0" w:color="auto"/>
              <w:right w:val="single" w:sz="4" w:space="0" w:color="auto"/>
            </w:tcBorders>
            <w:shd w:val="clear" w:color="000000" w:fill="FFFFFF"/>
            <w:noWrap/>
            <w:vAlign w:val="center"/>
            <w:hideMark/>
          </w:tcPr>
          <w:p w14:paraId="122E476D"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0.784</w:t>
            </w:r>
          </w:p>
        </w:tc>
        <w:tc>
          <w:tcPr>
            <w:tcW w:w="1523" w:type="pct"/>
            <w:tcBorders>
              <w:top w:val="nil"/>
              <w:left w:val="nil"/>
              <w:bottom w:val="single" w:sz="4" w:space="0" w:color="auto"/>
              <w:right w:val="nil"/>
            </w:tcBorders>
            <w:shd w:val="clear" w:color="000000" w:fill="FFFFFF"/>
            <w:noWrap/>
            <w:vAlign w:val="center"/>
            <w:hideMark/>
          </w:tcPr>
          <w:p w14:paraId="1476C88A" w14:textId="77777777" w:rsidR="001B2AA2" w:rsidRPr="00724426" w:rsidRDefault="001B2AA2" w:rsidP="00724426">
            <w:pPr>
              <w:spacing w:after="0" w:line="240" w:lineRule="auto"/>
              <w:jc w:val="both"/>
              <w:rPr>
                <w:rFonts w:ascii="Calibri" w:eastAsia="Times New Roman" w:hAnsi="Calibri" w:cs="Calibri"/>
                <w:b/>
                <w:bCs/>
                <w:kern w:val="0"/>
                <w:sz w:val="16"/>
                <w:szCs w:val="16"/>
                <w:lang w:val="en-US" w:eastAsia="it-IT"/>
                <w14:ligatures w14:val="none"/>
              </w:rPr>
            </w:pPr>
            <w:r w:rsidRPr="00724426">
              <w:rPr>
                <w:rFonts w:ascii="Calibri" w:eastAsia="Times New Roman" w:hAnsi="Calibri" w:cs="Calibri"/>
                <w:b/>
                <w:bCs/>
                <w:kern w:val="0"/>
                <w:sz w:val="16"/>
                <w:szCs w:val="16"/>
                <w:lang w:val="en-US" w:eastAsia="it-IT"/>
                <w14:ligatures w14:val="none"/>
              </w:rPr>
              <w:t>Time to EET (per 1 day of delay)</w:t>
            </w:r>
          </w:p>
        </w:tc>
        <w:tc>
          <w:tcPr>
            <w:tcW w:w="172" w:type="pct"/>
            <w:tcBorders>
              <w:top w:val="nil"/>
              <w:left w:val="nil"/>
              <w:bottom w:val="single" w:sz="4" w:space="0" w:color="auto"/>
              <w:right w:val="nil"/>
            </w:tcBorders>
            <w:shd w:val="clear" w:color="000000" w:fill="FFFFFF"/>
            <w:noWrap/>
            <w:vAlign w:val="center"/>
            <w:hideMark/>
          </w:tcPr>
          <w:p w14:paraId="2BF8027E"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1.02</w:t>
            </w:r>
          </w:p>
        </w:tc>
        <w:tc>
          <w:tcPr>
            <w:tcW w:w="398" w:type="pct"/>
            <w:tcBorders>
              <w:top w:val="nil"/>
              <w:left w:val="nil"/>
              <w:bottom w:val="single" w:sz="4" w:space="0" w:color="auto"/>
              <w:right w:val="nil"/>
            </w:tcBorders>
            <w:shd w:val="clear" w:color="000000" w:fill="FFFFFF"/>
            <w:noWrap/>
            <w:vAlign w:val="center"/>
            <w:hideMark/>
          </w:tcPr>
          <w:p w14:paraId="648463A1"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0.95 - 1.10</w:t>
            </w:r>
          </w:p>
        </w:tc>
        <w:tc>
          <w:tcPr>
            <w:tcW w:w="283" w:type="pct"/>
            <w:tcBorders>
              <w:top w:val="nil"/>
              <w:left w:val="nil"/>
              <w:bottom w:val="single" w:sz="4" w:space="0" w:color="auto"/>
              <w:right w:val="nil"/>
            </w:tcBorders>
            <w:shd w:val="clear" w:color="000000" w:fill="FFFFFF"/>
            <w:noWrap/>
            <w:vAlign w:val="center"/>
            <w:hideMark/>
          </w:tcPr>
          <w:p w14:paraId="45EEF8BF" w14:textId="77777777" w:rsidR="001B2AA2" w:rsidRPr="00724426" w:rsidRDefault="001B2AA2" w:rsidP="00724426">
            <w:pPr>
              <w:spacing w:after="0" w:line="240" w:lineRule="auto"/>
              <w:jc w:val="both"/>
              <w:rPr>
                <w:rFonts w:ascii="Calibri" w:eastAsia="Times New Roman" w:hAnsi="Calibri" w:cs="Calibri"/>
                <w:kern w:val="0"/>
                <w:sz w:val="16"/>
                <w:szCs w:val="16"/>
                <w:lang w:val="en-US" w:eastAsia="it-IT"/>
                <w14:ligatures w14:val="none"/>
              </w:rPr>
            </w:pPr>
            <w:r w:rsidRPr="00724426">
              <w:rPr>
                <w:rFonts w:ascii="Calibri" w:eastAsia="Times New Roman" w:hAnsi="Calibri" w:cs="Calibri"/>
                <w:kern w:val="0"/>
                <w:sz w:val="16"/>
                <w:szCs w:val="16"/>
                <w:lang w:val="en-US" w:eastAsia="it-IT"/>
                <w14:ligatures w14:val="none"/>
              </w:rPr>
              <w:t>0.437</w:t>
            </w:r>
          </w:p>
        </w:tc>
      </w:tr>
    </w:tbl>
    <w:p w14:paraId="7D81FF00" w14:textId="77777777" w:rsidR="001B2AA2" w:rsidRPr="00724426" w:rsidRDefault="001B2AA2" w:rsidP="00724426">
      <w:pPr>
        <w:jc w:val="both"/>
        <w:rPr>
          <w:rFonts w:eastAsia="Times New Roman" w:cs="Times New Roman"/>
          <w:lang w:val="en-US"/>
          <w14:ligatures w14:val="none"/>
        </w:rPr>
      </w:pPr>
    </w:p>
    <w:p w14:paraId="7F209650"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b/>
          <w:bCs/>
          <w:lang w:val="en-US"/>
          <w14:ligatures w14:val="none"/>
        </w:rPr>
        <w:t>Legend</w:t>
      </w:r>
      <w:r w:rsidRPr="00724426">
        <w:rPr>
          <w:rFonts w:eastAsia="Times New Roman" w:cs="Times New Roman"/>
          <w:lang w:val="en-US"/>
          <w14:ligatures w14:val="none"/>
        </w:rPr>
        <w:t>: ICU: Intensive Care Unit; EET= active anti-enterococcal empirical therapy.</w:t>
      </w:r>
    </w:p>
    <w:p w14:paraId="203369E2"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IPTW: inverse-probability of treatment weighting</w:t>
      </w:r>
    </w:p>
    <w:p w14:paraId="6F71CF73"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Boldface means statistically significant (p&lt;0.05)</w:t>
      </w:r>
    </w:p>
    <w:p w14:paraId="7C30727F" w14:textId="77777777" w:rsidR="001B2AA2" w:rsidRPr="00724426" w:rsidRDefault="001B2AA2" w:rsidP="00724426">
      <w:pPr>
        <w:jc w:val="both"/>
        <w:rPr>
          <w:rFonts w:eastAsia="Times New Roman" w:cs="Times New Roman"/>
          <w:lang w:val="en-US"/>
          <w14:ligatures w14:val="none"/>
        </w:rPr>
      </w:pPr>
      <w:r w:rsidRPr="00724426">
        <w:rPr>
          <w:rFonts w:eastAsia="Times New Roman" w:cs="Times New Roman"/>
          <w:lang w:val="en-US"/>
          <w14:ligatures w14:val="none"/>
        </w:rPr>
        <w:t>Test of proportional-hazards assumption</w:t>
      </w:r>
    </w:p>
    <w:p w14:paraId="69A57EED" w14:textId="77777777" w:rsidR="001B2AA2" w:rsidRPr="00724426" w:rsidRDefault="001B2AA2" w:rsidP="00724426">
      <w:pPr>
        <w:jc w:val="both"/>
        <w:rPr>
          <w:rFonts w:eastAsia="Times New Roman" w:cs="Times New Roman"/>
          <w:lang w:val="en-CA"/>
          <w14:ligatures w14:val="none"/>
        </w:rPr>
      </w:pPr>
      <w:r w:rsidRPr="00724426">
        <w:rPr>
          <w:rFonts w:eastAsia="Times New Roman" w:cs="Times New Roman"/>
          <w:lang w:val="en-CA"/>
          <w14:ligatures w14:val="none"/>
        </w:rPr>
        <w:t>Model A – 14day mortality: chi2(</w:t>
      </w:r>
      <w:proofErr w:type="gramStart"/>
      <w:r w:rsidRPr="00724426">
        <w:rPr>
          <w:rFonts w:eastAsia="Times New Roman" w:cs="Times New Roman"/>
          <w:lang w:val="en-CA"/>
          <w14:ligatures w14:val="none"/>
        </w:rPr>
        <w:t>8)=</w:t>
      </w:r>
      <w:proofErr w:type="gramEnd"/>
      <w:r w:rsidRPr="00724426">
        <w:rPr>
          <w:rFonts w:eastAsia="Times New Roman" w:cs="Times New Roman"/>
          <w:lang w:val="en-CA"/>
          <w14:ligatures w14:val="none"/>
        </w:rPr>
        <w:t xml:space="preserve"> 12.23 ; Prob &gt; chi</w:t>
      </w:r>
      <w:r w:rsidRPr="00724426">
        <w:rPr>
          <w:rFonts w:eastAsia="Times New Roman" w:cs="Times New Roman"/>
          <w:vertAlign w:val="superscript"/>
          <w:lang w:val="en-CA"/>
          <w14:ligatures w14:val="none"/>
        </w:rPr>
        <w:t>2</w:t>
      </w:r>
      <w:r w:rsidRPr="00724426">
        <w:rPr>
          <w:rFonts w:eastAsia="Times New Roman" w:cs="Times New Roman"/>
          <w:lang w:val="en-CA"/>
          <w14:ligatures w14:val="none"/>
        </w:rPr>
        <w:t xml:space="preserve">  = 0.1412</w:t>
      </w:r>
    </w:p>
    <w:p w14:paraId="0D032FA1" w14:textId="77777777" w:rsidR="001B2AA2" w:rsidRPr="00724426" w:rsidRDefault="001B2AA2" w:rsidP="00724426">
      <w:pPr>
        <w:jc w:val="both"/>
        <w:rPr>
          <w:rFonts w:eastAsia="Times New Roman" w:cs="Times New Roman"/>
          <w14:ligatures w14:val="none"/>
        </w:rPr>
      </w:pPr>
      <w:r w:rsidRPr="00724426">
        <w:rPr>
          <w:rFonts w:eastAsia="Times New Roman" w:cs="Times New Roman"/>
          <w14:ligatures w14:val="none"/>
        </w:rPr>
        <w:t xml:space="preserve">Model A – 30day </w:t>
      </w:r>
      <w:proofErr w:type="spellStart"/>
      <w:r w:rsidRPr="00724426">
        <w:rPr>
          <w:rFonts w:eastAsia="Times New Roman" w:cs="Times New Roman"/>
          <w14:ligatures w14:val="none"/>
        </w:rPr>
        <w:t>mortality</w:t>
      </w:r>
      <w:proofErr w:type="spellEnd"/>
      <w:r w:rsidRPr="00724426">
        <w:rPr>
          <w:rFonts w:eastAsia="Times New Roman" w:cs="Times New Roman"/>
          <w14:ligatures w14:val="none"/>
        </w:rPr>
        <w:t>: chi2(</w:t>
      </w:r>
      <w:proofErr w:type="gramStart"/>
      <w:r w:rsidRPr="00724426">
        <w:rPr>
          <w:rFonts w:eastAsia="Times New Roman" w:cs="Times New Roman"/>
          <w14:ligatures w14:val="none"/>
        </w:rPr>
        <w:t>8)=</w:t>
      </w:r>
      <w:proofErr w:type="gramEnd"/>
      <w:r w:rsidRPr="00724426">
        <w:rPr>
          <w:rFonts w:eastAsia="Times New Roman" w:cs="Times New Roman"/>
          <w14:ligatures w14:val="none"/>
        </w:rPr>
        <w:t xml:space="preserve"> 13.10 ; </w:t>
      </w:r>
      <w:proofErr w:type="spellStart"/>
      <w:r w:rsidRPr="00724426">
        <w:rPr>
          <w:rFonts w:eastAsia="Times New Roman" w:cs="Times New Roman"/>
          <w14:ligatures w14:val="none"/>
        </w:rPr>
        <w:t>Prob</w:t>
      </w:r>
      <w:proofErr w:type="spellEnd"/>
      <w:r w:rsidRPr="00724426">
        <w:rPr>
          <w:rFonts w:eastAsia="Times New Roman" w:cs="Times New Roman"/>
          <w14:ligatures w14:val="none"/>
        </w:rPr>
        <w:t xml:space="preserve"> &gt; chi</w:t>
      </w:r>
      <w:r w:rsidRPr="00724426">
        <w:rPr>
          <w:rFonts w:eastAsia="Times New Roman" w:cs="Times New Roman"/>
          <w:vertAlign w:val="superscript"/>
          <w14:ligatures w14:val="none"/>
        </w:rPr>
        <w:t>2</w:t>
      </w:r>
      <w:r w:rsidRPr="00724426">
        <w:rPr>
          <w:rFonts w:eastAsia="Times New Roman" w:cs="Times New Roman"/>
          <w14:ligatures w14:val="none"/>
        </w:rPr>
        <w:t xml:space="preserve">  = 0.1085</w:t>
      </w:r>
    </w:p>
    <w:p w14:paraId="4E46EBAF" w14:textId="77777777" w:rsidR="001B2AA2" w:rsidRPr="00724426" w:rsidRDefault="001B2AA2" w:rsidP="00724426">
      <w:pPr>
        <w:jc w:val="both"/>
        <w:rPr>
          <w:rFonts w:eastAsia="Times New Roman" w:cs="Times New Roman"/>
          <w14:ligatures w14:val="none"/>
        </w:rPr>
      </w:pPr>
      <w:r w:rsidRPr="00724426">
        <w:rPr>
          <w:rFonts w:eastAsia="Times New Roman" w:cs="Times New Roman"/>
          <w14:ligatures w14:val="none"/>
        </w:rPr>
        <w:t xml:space="preserve">Model B – 14day </w:t>
      </w:r>
      <w:proofErr w:type="spellStart"/>
      <w:r w:rsidRPr="00724426">
        <w:rPr>
          <w:rFonts w:eastAsia="Times New Roman" w:cs="Times New Roman"/>
          <w14:ligatures w14:val="none"/>
        </w:rPr>
        <w:t>mortality</w:t>
      </w:r>
      <w:proofErr w:type="spellEnd"/>
      <w:r w:rsidRPr="00724426">
        <w:rPr>
          <w:rFonts w:eastAsia="Times New Roman" w:cs="Times New Roman"/>
          <w14:ligatures w14:val="none"/>
        </w:rPr>
        <w:t>: chi2(</w:t>
      </w:r>
      <w:proofErr w:type="gramStart"/>
      <w:r w:rsidRPr="00724426">
        <w:rPr>
          <w:rFonts w:eastAsia="Times New Roman" w:cs="Times New Roman"/>
          <w14:ligatures w14:val="none"/>
        </w:rPr>
        <w:t>8)=</w:t>
      </w:r>
      <w:proofErr w:type="gramEnd"/>
      <w:r w:rsidRPr="00724426">
        <w:rPr>
          <w:rFonts w:eastAsia="Times New Roman" w:cs="Times New Roman"/>
          <w14:ligatures w14:val="none"/>
        </w:rPr>
        <w:t xml:space="preserve"> 13.41 ; </w:t>
      </w:r>
      <w:proofErr w:type="spellStart"/>
      <w:r w:rsidRPr="00724426">
        <w:rPr>
          <w:rFonts w:eastAsia="Times New Roman" w:cs="Times New Roman"/>
          <w14:ligatures w14:val="none"/>
        </w:rPr>
        <w:t>Prob</w:t>
      </w:r>
      <w:proofErr w:type="spellEnd"/>
      <w:r w:rsidRPr="00724426">
        <w:rPr>
          <w:rFonts w:eastAsia="Times New Roman" w:cs="Times New Roman"/>
          <w14:ligatures w14:val="none"/>
        </w:rPr>
        <w:t xml:space="preserve"> &gt; chi</w:t>
      </w:r>
      <w:r w:rsidRPr="00724426">
        <w:rPr>
          <w:rFonts w:eastAsia="Times New Roman" w:cs="Times New Roman"/>
          <w:vertAlign w:val="superscript"/>
          <w14:ligatures w14:val="none"/>
        </w:rPr>
        <w:t>2</w:t>
      </w:r>
      <w:r w:rsidRPr="00724426">
        <w:rPr>
          <w:rFonts w:eastAsia="Times New Roman" w:cs="Times New Roman"/>
          <w14:ligatures w14:val="none"/>
        </w:rPr>
        <w:t xml:space="preserve">  = 0.0986</w:t>
      </w:r>
    </w:p>
    <w:p w14:paraId="11CC7B42" w14:textId="77777777" w:rsidR="001B2AA2" w:rsidRPr="00724426" w:rsidRDefault="001B2AA2" w:rsidP="00724426">
      <w:pPr>
        <w:jc w:val="both"/>
        <w:rPr>
          <w:rFonts w:eastAsia="Times New Roman" w:cs="Times New Roman"/>
          <w14:ligatures w14:val="none"/>
        </w:rPr>
      </w:pPr>
      <w:r w:rsidRPr="00724426">
        <w:rPr>
          <w:rFonts w:eastAsia="Times New Roman" w:cs="Times New Roman"/>
          <w14:ligatures w14:val="none"/>
        </w:rPr>
        <w:lastRenderedPageBreak/>
        <w:t xml:space="preserve">Model B – 30day </w:t>
      </w:r>
      <w:proofErr w:type="spellStart"/>
      <w:r w:rsidRPr="00724426">
        <w:rPr>
          <w:rFonts w:eastAsia="Times New Roman" w:cs="Times New Roman"/>
          <w14:ligatures w14:val="none"/>
        </w:rPr>
        <w:t>mortality</w:t>
      </w:r>
      <w:proofErr w:type="spellEnd"/>
      <w:r w:rsidRPr="00724426">
        <w:rPr>
          <w:rFonts w:eastAsia="Times New Roman" w:cs="Times New Roman"/>
          <w14:ligatures w14:val="none"/>
        </w:rPr>
        <w:t>: chi2(</w:t>
      </w:r>
      <w:proofErr w:type="gramStart"/>
      <w:r w:rsidRPr="00724426">
        <w:rPr>
          <w:rFonts w:eastAsia="Times New Roman" w:cs="Times New Roman"/>
          <w14:ligatures w14:val="none"/>
        </w:rPr>
        <w:t>8)=</w:t>
      </w:r>
      <w:proofErr w:type="gramEnd"/>
      <w:r w:rsidRPr="00724426">
        <w:rPr>
          <w:rFonts w:eastAsia="Times New Roman" w:cs="Times New Roman"/>
          <w14:ligatures w14:val="none"/>
        </w:rPr>
        <w:t xml:space="preserve"> 10.47 ; </w:t>
      </w:r>
      <w:proofErr w:type="spellStart"/>
      <w:r w:rsidRPr="00724426">
        <w:rPr>
          <w:rFonts w:eastAsia="Times New Roman" w:cs="Times New Roman"/>
          <w14:ligatures w14:val="none"/>
        </w:rPr>
        <w:t>Prob</w:t>
      </w:r>
      <w:proofErr w:type="spellEnd"/>
      <w:r w:rsidRPr="00724426">
        <w:rPr>
          <w:rFonts w:eastAsia="Times New Roman" w:cs="Times New Roman"/>
          <w14:ligatures w14:val="none"/>
        </w:rPr>
        <w:t xml:space="preserve"> &gt; chi</w:t>
      </w:r>
      <w:r w:rsidRPr="00724426">
        <w:rPr>
          <w:rFonts w:eastAsia="Times New Roman" w:cs="Times New Roman"/>
          <w:vertAlign w:val="superscript"/>
          <w14:ligatures w14:val="none"/>
        </w:rPr>
        <w:t>2</w:t>
      </w:r>
      <w:r w:rsidRPr="00724426">
        <w:rPr>
          <w:rFonts w:eastAsia="Times New Roman" w:cs="Times New Roman"/>
          <w14:ligatures w14:val="none"/>
        </w:rPr>
        <w:t xml:space="preserve">  = 0.2337</w:t>
      </w:r>
    </w:p>
    <w:p w14:paraId="67B745BF" w14:textId="77777777" w:rsidR="001B2AA2" w:rsidRPr="00724426" w:rsidRDefault="001B2AA2" w:rsidP="00724426">
      <w:pPr>
        <w:jc w:val="both"/>
        <w:rPr>
          <w:b/>
          <w:bCs/>
          <w:lang w:val="en-CA"/>
        </w:rPr>
      </w:pPr>
    </w:p>
    <w:p w14:paraId="6CA14EEB" w14:textId="47D23E92" w:rsidR="001B2AA2" w:rsidRPr="008E4A87" w:rsidRDefault="001B2AA2" w:rsidP="00724426">
      <w:pPr>
        <w:jc w:val="both"/>
        <w:rPr>
          <w:b/>
          <w:bCs/>
          <w:lang w:val="en-CA"/>
        </w:rPr>
      </w:pPr>
      <w:r w:rsidRPr="00724426">
        <w:rPr>
          <w:b/>
          <w:bCs/>
          <w:lang w:val="en-CA"/>
        </w:rPr>
        <w:t xml:space="preserve">Supplementary Figure 1: </w:t>
      </w:r>
      <w:r w:rsidRPr="00724426">
        <w:rPr>
          <w:b/>
          <w:bCs/>
          <w:lang w:val="en-US"/>
        </w:rPr>
        <w:t xml:space="preserve">Relationship between time from EBSI onset to appropriate anti-enterococcal therapy and 30-day </w:t>
      </w:r>
      <w:r w:rsidRPr="00724426">
        <w:rPr>
          <w:b/>
          <w:bCs/>
          <w:lang w:val="en-CA"/>
        </w:rPr>
        <w:t>mortality.</w:t>
      </w:r>
    </w:p>
    <w:p w14:paraId="035D7334" w14:textId="77777777" w:rsidR="001B2AA2" w:rsidRPr="008E4A87" w:rsidRDefault="001B2AA2" w:rsidP="00724426">
      <w:pPr>
        <w:jc w:val="both"/>
        <w:rPr>
          <w:lang w:val="en-CA"/>
        </w:rPr>
      </w:pPr>
    </w:p>
    <w:p w14:paraId="7EDB9725" w14:textId="3A8DF175" w:rsidR="00A17B26" w:rsidRPr="001B2AA2" w:rsidRDefault="00724426" w:rsidP="0017115C">
      <w:pPr>
        <w:rPr>
          <w:lang w:val="en-CA"/>
        </w:rPr>
      </w:pPr>
      <w:r>
        <w:rPr>
          <w:noProof/>
          <w:lang w:val="en-CA"/>
        </w:rPr>
        <w:drawing>
          <wp:inline distT="0" distB="0" distL="0" distR="0" wp14:anchorId="7274D87D" wp14:editId="692B8D03">
            <wp:extent cx="6120130" cy="3442335"/>
            <wp:effectExtent l="0" t="0" r="0" b="5715"/>
            <wp:docPr id="609611240" name="Immagine 1" descr="Immagine che contiene testo, schermat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611240" name="Immagine 1" descr="Immagine che contiene testo, schermata, diagramma, Carattere&#10;&#10;Descrizione generata automaticamente"/>
                    <pic:cNvPicPr/>
                  </pic:nvPicPr>
                  <pic:blipFill>
                    <a:blip r:embed="rId5">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sectPr w:rsidR="00A17B26" w:rsidRPr="001B2AA2" w:rsidSect="00B161B6">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63D5A91"/>
    <w:multiLevelType w:val="hybridMultilevel"/>
    <w:tmpl w:val="D7D832F8"/>
    <w:lvl w:ilvl="0" w:tplc="BFC8CC9A">
      <w:start w:val="1"/>
      <w:numFmt w:val="lowerLetter"/>
      <w:lvlText w:val="%1."/>
      <w:lvlJc w:val="left"/>
      <w:pPr>
        <w:ind w:left="720" w:hanging="360"/>
      </w:pPr>
      <w:rPr>
        <w:b w:val="0"/>
        <w:bCs/>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16cid:durableId="13921223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15C"/>
    <w:rsid w:val="001425C4"/>
    <w:rsid w:val="0017115C"/>
    <w:rsid w:val="001B2AA2"/>
    <w:rsid w:val="001D48A1"/>
    <w:rsid w:val="002C4E75"/>
    <w:rsid w:val="004A0BCB"/>
    <w:rsid w:val="00724426"/>
    <w:rsid w:val="007C1A0B"/>
    <w:rsid w:val="008626A1"/>
    <w:rsid w:val="009F5309"/>
    <w:rsid w:val="00A17B26"/>
    <w:rsid w:val="00BD2572"/>
    <w:rsid w:val="00D96D1A"/>
    <w:rsid w:val="00EC0CC9"/>
    <w:rsid w:val="00FF38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F1B16"/>
  <w15:chartTrackingRefBased/>
  <w15:docId w15:val="{B8052B79-7C54-47C7-B531-83CB398DF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711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711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7115C"/>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7115C"/>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7115C"/>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7115C"/>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7115C"/>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7115C"/>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7115C"/>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7115C"/>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7115C"/>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7115C"/>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7115C"/>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7115C"/>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7115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7115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7115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7115C"/>
    <w:rPr>
      <w:rFonts w:eastAsiaTheme="majorEastAsia" w:cstheme="majorBidi"/>
      <w:color w:val="272727" w:themeColor="text1" w:themeTint="D8"/>
    </w:rPr>
  </w:style>
  <w:style w:type="paragraph" w:styleId="Titolo">
    <w:name w:val="Title"/>
    <w:basedOn w:val="Normale"/>
    <w:next w:val="Normale"/>
    <w:link w:val="TitoloCarattere"/>
    <w:uiPriority w:val="10"/>
    <w:qFormat/>
    <w:rsid w:val="001711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7115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7115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7115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7115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7115C"/>
    <w:rPr>
      <w:i/>
      <w:iCs/>
      <w:color w:val="404040" w:themeColor="text1" w:themeTint="BF"/>
    </w:rPr>
  </w:style>
  <w:style w:type="paragraph" w:styleId="Paragrafoelenco">
    <w:name w:val="List Paragraph"/>
    <w:basedOn w:val="Normale"/>
    <w:uiPriority w:val="34"/>
    <w:qFormat/>
    <w:rsid w:val="0017115C"/>
    <w:pPr>
      <w:ind w:left="720"/>
      <w:contextualSpacing/>
    </w:pPr>
  </w:style>
  <w:style w:type="character" w:styleId="Enfasiintensa">
    <w:name w:val="Intense Emphasis"/>
    <w:basedOn w:val="Carpredefinitoparagrafo"/>
    <w:uiPriority w:val="21"/>
    <w:qFormat/>
    <w:rsid w:val="0017115C"/>
    <w:rPr>
      <w:i/>
      <w:iCs/>
      <w:color w:val="0F4761" w:themeColor="accent1" w:themeShade="BF"/>
    </w:rPr>
  </w:style>
  <w:style w:type="paragraph" w:styleId="Citazioneintensa">
    <w:name w:val="Intense Quote"/>
    <w:basedOn w:val="Normale"/>
    <w:next w:val="Normale"/>
    <w:link w:val="CitazioneintensaCarattere"/>
    <w:uiPriority w:val="30"/>
    <w:qFormat/>
    <w:rsid w:val="001711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7115C"/>
    <w:rPr>
      <w:i/>
      <w:iCs/>
      <w:color w:val="0F4761" w:themeColor="accent1" w:themeShade="BF"/>
    </w:rPr>
  </w:style>
  <w:style w:type="character" w:styleId="Riferimentointenso">
    <w:name w:val="Intense Reference"/>
    <w:basedOn w:val="Carpredefinitoparagrafo"/>
    <w:uiPriority w:val="32"/>
    <w:qFormat/>
    <w:rsid w:val="0017115C"/>
    <w:rPr>
      <w:b/>
      <w:bCs/>
      <w:smallCaps/>
      <w:color w:val="0F4761" w:themeColor="accent1" w:themeShade="BF"/>
      <w:spacing w:val="5"/>
    </w:rPr>
  </w:style>
  <w:style w:type="character" w:styleId="Rimandocommento">
    <w:name w:val="annotation reference"/>
    <w:basedOn w:val="Carpredefinitoparagrafo"/>
    <w:uiPriority w:val="99"/>
    <w:semiHidden/>
    <w:unhideWhenUsed/>
    <w:rsid w:val="008626A1"/>
    <w:rPr>
      <w:rFonts w:cs="Times New Roman"/>
      <w:sz w:val="16"/>
      <w:szCs w:val="16"/>
    </w:rPr>
  </w:style>
  <w:style w:type="paragraph" w:styleId="Testocommento">
    <w:name w:val="annotation text"/>
    <w:basedOn w:val="Normale"/>
    <w:link w:val="TestocommentoCarattere"/>
    <w:uiPriority w:val="99"/>
    <w:unhideWhenUsed/>
    <w:rsid w:val="008626A1"/>
    <w:pPr>
      <w:spacing w:line="240" w:lineRule="auto"/>
    </w:pPr>
    <w:rPr>
      <w:rFonts w:eastAsia="Times New Roman" w:cs="Times New Roman"/>
      <w:sz w:val="20"/>
      <w:szCs w:val="20"/>
      <w14:ligatures w14:val="none"/>
    </w:rPr>
  </w:style>
  <w:style w:type="character" w:customStyle="1" w:styleId="TestocommentoCarattere">
    <w:name w:val="Testo commento Carattere"/>
    <w:basedOn w:val="Carpredefinitoparagrafo"/>
    <w:link w:val="Testocommento"/>
    <w:uiPriority w:val="99"/>
    <w:rsid w:val="008626A1"/>
    <w:rPr>
      <w:rFonts w:eastAsia="Times New Roman" w:cs="Times New Roman"/>
      <w:sz w:val="20"/>
      <w:szCs w:val="20"/>
      <w14:ligatures w14:val="none"/>
    </w:rPr>
  </w:style>
  <w:style w:type="character" w:styleId="Numeroriga">
    <w:name w:val="line number"/>
    <w:basedOn w:val="Carpredefinitoparagrafo"/>
    <w:uiPriority w:val="99"/>
    <w:semiHidden/>
    <w:unhideWhenUsed/>
    <w:rsid w:val="001B2A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808219">
      <w:bodyDiv w:val="1"/>
      <w:marLeft w:val="0"/>
      <w:marRight w:val="0"/>
      <w:marTop w:val="0"/>
      <w:marBottom w:val="0"/>
      <w:divBdr>
        <w:top w:val="none" w:sz="0" w:space="0" w:color="auto"/>
        <w:left w:val="none" w:sz="0" w:space="0" w:color="auto"/>
        <w:bottom w:val="none" w:sz="0" w:space="0" w:color="auto"/>
        <w:right w:val="none" w:sz="0" w:space="0" w:color="auto"/>
      </w:divBdr>
    </w:div>
    <w:div w:id="85081145">
      <w:bodyDiv w:val="1"/>
      <w:marLeft w:val="0"/>
      <w:marRight w:val="0"/>
      <w:marTop w:val="0"/>
      <w:marBottom w:val="0"/>
      <w:divBdr>
        <w:top w:val="none" w:sz="0" w:space="0" w:color="auto"/>
        <w:left w:val="none" w:sz="0" w:space="0" w:color="auto"/>
        <w:bottom w:val="none" w:sz="0" w:space="0" w:color="auto"/>
        <w:right w:val="none" w:sz="0" w:space="0" w:color="auto"/>
      </w:divBdr>
    </w:div>
    <w:div w:id="124933221">
      <w:bodyDiv w:val="1"/>
      <w:marLeft w:val="0"/>
      <w:marRight w:val="0"/>
      <w:marTop w:val="0"/>
      <w:marBottom w:val="0"/>
      <w:divBdr>
        <w:top w:val="none" w:sz="0" w:space="0" w:color="auto"/>
        <w:left w:val="none" w:sz="0" w:space="0" w:color="auto"/>
        <w:bottom w:val="none" w:sz="0" w:space="0" w:color="auto"/>
        <w:right w:val="none" w:sz="0" w:space="0" w:color="auto"/>
      </w:divBdr>
    </w:div>
    <w:div w:id="567810682">
      <w:bodyDiv w:val="1"/>
      <w:marLeft w:val="0"/>
      <w:marRight w:val="0"/>
      <w:marTop w:val="0"/>
      <w:marBottom w:val="0"/>
      <w:divBdr>
        <w:top w:val="none" w:sz="0" w:space="0" w:color="auto"/>
        <w:left w:val="none" w:sz="0" w:space="0" w:color="auto"/>
        <w:bottom w:val="none" w:sz="0" w:space="0" w:color="auto"/>
        <w:right w:val="none" w:sz="0" w:space="0" w:color="auto"/>
      </w:divBdr>
    </w:div>
    <w:div w:id="994142673">
      <w:bodyDiv w:val="1"/>
      <w:marLeft w:val="0"/>
      <w:marRight w:val="0"/>
      <w:marTop w:val="0"/>
      <w:marBottom w:val="0"/>
      <w:divBdr>
        <w:top w:val="none" w:sz="0" w:space="0" w:color="auto"/>
        <w:left w:val="none" w:sz="0" w:space="0" w:color="auto"/>
        <w:bottom w:val="none" w:sz="0" w:space="0" w:color="auto"/>
        <w:right w:val="none" w:sz="0" w:space="0" w:color="auto"/>
      </w:divBdr>
    </w:div>
    <w:div w:id="1613438687">
      <w:bodyDiv w:val="1"/>
      <w:marLeft w:val="0"/>
      <w:marRight w:val="0"/>
      <w:marTop w:val="0"/>
      <w:marBottom w:val="0"/>
      <w:divBdr>
        <w:top w:val="none" w:sz="0" w:space="0" w:color="auto"/>
        <w:left w:val="none" w:sz="0" w:space="0" w:color="auto"/>
        <w:bottom w:val="none" w:sz="0" w:space="0" w:color="auto"/>
        <w:right w:val="none" w:sz="0" w:space="0" w:color="auto"/>
      </w:divBdr>
    </w:div>
    <w:div w:id="1795710323">
      <w:bodyDiv w:val="1"/>
      <w:marLeft w:val="0"/>
      <w:marRight w:val="0"/>
      <w:marTop w:val="0"/>
      <w:marBottom w:val="0"/>
      <w:divBdr>
        <w:top w:val="none" w:sz="0" w:space="0" w:color="auto"/>
        <w:left w:val="none" w:sz="0" w:space="0" w:color="auto"/>
        <w:bottom w:val="none" w:sz="0" w:space="0" w:color="auto"/>
        <w:right w:val="none" w:sz="0" w:space="0" w:color="auto"/>
      </w:divBdr>
    </w:div>
    <w:div w:id="2037466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tif"/><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5</Pages>
  <Words>1180</Words>
  <Characters>6727</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Bavaro</dc:creator>
  <cp:keywords/>
  <dc:description/>
  <cp:lastModifiedBy>Linda.bussini@outlook.it</cp:lastModifiedBy>
  <cp:revision>8</cp:revision>
  <dcterms:created xsi:type="dcterms:W3CDTF">2024-07-31T09:20:00Z</dcterms:created>
  <dcterms:modified xsi:type="dcterms:W3CDTF">2025-05-09T09:40:00Z</dcterms:modified>
</cp:coreProperties>
</file>