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08D22" w14:textId="5BDDD963" w:rsidR="00AD7F65" w:rsidRDefault="00AD7F65" w:rsidP="00AD7F65">
      <w:pPr>
        <w:jc w:val="right"/>
      </w:pPr>
      <w:r w:rsidRPr="00865D46">
        <w:rPr>
          <w:noProof/>
        </w:rPr>
        <w:drawing>
          <wp:inline distT="0" distB="0" distL="0" distR="0" wp14:anchorId="68E99F2D" wp14:editId="0A19769B">
            <wp:extent cx="1911448" cy="495325"/>
            <wp:effectExtent l="0" t="0" r="0" b="0"/>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6"/>
                    <a:stretch>
                      <a:fillRect/>
                    </a:stretch>
                  </pic:blipFill>
                  <pic:spPr>
                    <a:xfrm>
                      <a:off x="0" y="0"/>
                      <a:ext cx="1911448" cy="495325"/>
                    </a:xfrm>
                    <a:prstGeom prst="rect">
                      <a:avLst/>
                    </a:prstGeom>
                  </pic:spPr>
                </pic:pic>
              </a:graphicData>
            </a:graphic>
          </wp:inline>
        </w:drawing>
      </w:r>
    </w:p>
    <w:tbl>
      <w:tblPr>
        <w:tblStyle w:val="TableGrid"/>
        <w:tblW w:w="9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D7F65" w14:paraId="6AAFEEB6" w14:textId="77777777" w:rsidTr="00990138">
        <w:tc>
          <w:tcPr>
            <w:tcW w:w="9016" w:type="dxa"/>
          </w:tcPr>
          <w:p w14:paraId="5E1F1D32" w14:textId="77777777" w:rsidR="00AD7F65" w:rsidRDefault="00AD7F65" w:rsidP="00990138">
            <w:pPr>
              <w:pStyle w:val="Heading2"/>
            </w:pPr>
            <w:r>
              <w:t>European Journal of Higher Education – Transparent Peer Review</w:t>
            </w:r>
          </w:p>
        </w:tc>
      </w:tr>
      <w:tr w:rsidR="00AD7F65" w14:paraId="2C1EA5A7" w14:textId="77777777" w:rsidTr="00990138">
        <w:tc>
          <w:tcPr>
            <w:tcW w:w="9016" w:type="dxa"/>
          </w:tcPr>
          <w:p w14:paraId="7A65BD5E" w14:textId="77777777" w:rsidR="00AD7F65" w:rsidRDefault="00AD7F65" w:rsidP="00990138"/>
        </w:tc>
      </w:tr>
      <w:tr w:rsidR="00AD7F65" w14:paraId="730C5C0A" w14:textId="77777777" w:rsidTr="00990138">
        <w:tc>
          <w:tcPr>
            <w:tcW w:w="9016" w:type="dxa"/>
          </w:tcPr>
          <w:p w14:paraId="2EC5BDBA" w14:textId="04A06BDC" w:rsidR="00AD7F65" w:rsidRDefault="00AD7F65" w:rsidP="00990138">
            <w:pPr>
              <w:pStyle w:val="Heading3"/>
            </w:pPr>
            <w:r>
              <w:t xml:space="preserve">Title: </w:t>
            </w:r>
            <w:r w:rsidR="00131897" w:rsidRPr="00131897">
              <w:t>The Effect of Financial Aid on Students’ University Performance: Evidence from Resources Rationing in Piedmont</w:t>
            </w:r>
          </w:p>
        </w:tc>
      </w:tr>
      <w:tr w:rsidR="00AD7F65" w:rsidRPr="0086300F" w14:paraId="1D87CCF3" w14:textId="77777777" w:rsidTr="00990138">
        <w:tc>
          <w:tcPr>
            <w:tcW w:w="9016" w:type="dxa"/>
          </w:tcPr>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888"/>
              <w:gridCol w:w="7912"/>
            </w:tblGrid>
            <w:tr w:rsidR="00131897" w:rsidRPr="000D3A0B" w14:paraId="77982121" w14:textId="77777777" w:rsidTr="00131897">
              <w:trPr>
                <w:tblCellSpacing w:w="0" w:type="dxa"/>
              </w:trPr>
              <w:tc>
                <w:tcPr>
                  <w:tcW w:w="50" w:type="pct"/>
                  <w:hideMark/>
                </w:tcPr>
                <w:p w14:paraId="2AC3C9E1" w14:textId="6FC83F07" w:rsidR="00131897" w:rsidRPr="00131897" w:rsidRDefault="00AD7F65" w:rsidP="00131897">
                  <w:pPr>
                    <w:pStyle w:val="Heading3"/>
                  </w:pPr>
                  <w:r>
                    <w:t xml:space="preserve">Authors: </w:t>
                  </w:r>
                  <w:bookmarkStart w:id="0" w:name="reftop"/>
                </w:p>
              </w:tc>
              <w:bookmarkEnd w:id="0"/>
              <w:tc>
                <w:tcPr>
                  <w:tcW w:w="0" w:type="auto"/>
                  <w:vAlign w:val="center"/>
                  <w:hideMark/>
                </w:tcPr>
                <w:p w14:paraId="342481E6" w14:textId="78DCB0B6" w:rsidR="00131897" w:rsidRPr="00131897" w:rsidRDefault="00131897" w:rsidP="00131897">
                  <w:pPr>
                    <w:pStyle w:val="Heading3"/>
                    <w:rPr>
                      <w:lang w:val="it-IT"/>
                    </w:rPr>
                  </w:pPr>
                  <w:r w:rsidRPr="00131897">
                    <w:rPr>
                      <w:lang w:val="it-IT"/>
                    </w:rPr>
                    <w:t>Vettoretto, Elena; Vergolini, Loris; Azzolini, Davide</w:t>
                  </w:r>
                </w:p>
              </w:tc>
            </w:tr>
          </w:tbl>
          <w:p w14:paraId="2B2B2DAF" w14:textId="36C21DA8" w:rsidR="00AD7F65" w:rsidRDefault="00AD7F65" w:rsidP="00990138">
            <w:pPr>
              <w:pStyle w:val="Heading3"/>
            </w:pPr>
            <w:r>
              <w:t>S</w:t>
            </w:r>
            <w:r w:rsidRPr="000E709C">
              <w:t xml:space="preserve">ubmitted: </w:t>
            </w:r>
            <w:r w:rsidR="00B821FA" w:rsidRPr="00B821FA">
              <w:t>12-Jun-2024</w:t>
            </w:r>
          </w:p>
          <w:p w14:paraId="3F6E7A0E" w14:textId="77777777" w:rsidR="00AD7F65" w:rsidRDefault="00AD7F65" w:rsidP="00990138">
            <w:pPr>
              <w:pStyle w:val="Heading3"/>
            </w:pPr>
            <w:r>
              <w:t>F</w:t>
            </w:r>
            <w:r w:rsidRPr="005A18D8">
              <w:t xml:space="preserve">irst revision submitted: </w:t>
            </w:r>
            <w:r w:rsidR="00B821FA" w:rsidRPr="00B821FA">
              <w:t>16-Nov-2024</w:t>
            </w:r>
            <w:r w:rsidRPr="005A18D8">
              <w:t xml:space="preserve"> </w:t>
            </w:r>
          </w:p>
          <w:p w14:paraId="33C2FAED" w14:textId="07D6FA2C" w:rsidR="00B821FA" w:rsidRDefault="00B821FA" w:rsidP="00B821FA">
            <w:pPr>
              <w:pStyle w:val="Heading3"/>
            </w:pPr>
            <w:r>
              <w:t>Second</w:t>
            </w:r>
            <w:r w:rsidRPr="005A18D8">
              <w:t xml:space="preserve"> revision submitted: </w:t>
            </w:r>
            <w:r w:rsidR="00667923" w:rsidRPr="00667923">
              <w:t>12-Feb-2025</w:t>
            </w:r>
          </w:p>
          <w:p w14:paraId="32846E4A" w14:textId="2A2E42C0" w:rsidR="00B821FA" w:rsidRPr="00B821FA" w:rsidRDefault="00B821FA" w:rsidP="00667923">
            <w:pPr>
              <w:pStyle w:val="Heading3"/>
            </w:pPr>
            <w:r>
              <w:t>Third</w:t>
            </w:r>
            <w:r w:rsidRPr="005A18D8">
              <w:t xml:space="preserve"> revision submitted: </w:t>
            </w:r>
            <w:r w:rsidR="00667923" w:rsidRPr="00667923">
              <w:t>10-Apr-2025</w:t>
            </w:r>
          </w:p>
        </w:tc>
      </w:tr>
      <w:tr w:rsidR="00AD7F65" w14:paraId="6D47FEBD" w14:textId="77777777" w:rsidTr="00990138">
        <w:tc>
          <w:tcPr>
            <w:tcW w:w="9016" w:type="dxa"/>
          </w:tcPr>
          <w:p w14:paraId="7DCE455D" w14:textId="4F27247E" w:rsidR="00AD7F65" w:rsidRDefault="00AD7F65" w:rsidP="00990138">
            <w:pPr>
              <w:pStyle w:val="Heading3"/>
            </w:pPr>
            <w:r>
              <w:t xml:space="preserve">Accepted: </w:t>
            </w:r>
            <w:r w:rsidR="00667923" w:rsidRPr="00667923">
              <w:t>11-Apr-2025</w:t>
            </w:r>
          </w:p>
        </w:tc>
      </w:tr>
      <w:tr w:rsidR="00AD7F65" w14:paraId="0D9D93BF" w14:textId="77777777" w:rsidTr="00990138">
        <w:tc>
          <w:tcPr>
            <w:tcW w:w="9016" w:type="dxa"/>
          </w:tcPr>
          <w:p w14:paraId="7E047F89" w14:textId="77777777" w:rsidR="00AD7F65" w:rsidRDefault="00AD7F65" w:rsidP="00990138">
            <w:pPr>
              <w:pStyle w:val="Heading3"/>
              <w:rPr>
                <w:color w:val="1F3763"/>
              </w:rPr>
            </w:pPr>
            <w:r>
              <w:t>Article DOI:</w:t>
            </w:r>
          </w:p>
        </w:tc>
      </w:tr>
      <w:tr w:rsidR="00AD7F65" w14:paraId="515F4524" w14:textId="77777777" w:rsidTr="00990138">
        <w:tc>
          <w:tcPr>
            <w:tcW w:w="9016" w:type="dxa"/>
          </w:tcPr>
          <w:p w14:paraId="7139CC4B" w14:textId="43B0CC87" w:rsidR="00AD7F65" w:rsidRDefault="00AD7F65" w:rsidP="00990138">
            <w:pPr>
              <w:pStyle w:val="Heading3"/>
              <w:rPr>
                <w:color w:val="1F3763"/>
              </w:rPr>
            </w:pPr>
            <w:r>
              <w:t>Handling Editor:</w:t>
            </w:r>
            <w:r w:rsidR="00667923">
              <w:t xml:space="preserve"> Marco Seeber</w:t>
            </w:r>
          </w:p>
        </w:tc>
      </w:tr>
    </w:tbl>
    <w:p w14:paraId="6EB5A879" w14:textId="77777777" w:rsidR="00AD7F65" w:rsidRDefault="00AD7F65" w:rsidP="00AD7F65"/>
    <w:p w14:paraId="77F34DCF" w14:textId="1F933DC6" w:rsidR="00AD7F65" w:rsidRDefault="00AD7F65" w:rsidP="00AD7F65">
      <w:pPr>
        <w:pStyle w:val="Heading2"/>
      </w:pPr>
      <w:r>
        <w:t>Reviewer 1</w:t>
      </w:r>
    </w:p>
    <w:p w14:paraId="4BFCF256" w14:textId="77777777" w:rsidR="00AD7F65" w:rsidRDefault="00AD7F65" w:rsidP="00AD7F65">
      <w:pPr>
        <w:spacing w:after="0" w:line="240" w:lineRule="auto"/>
      </w:pPr>
    </w:p>
    <w:p w14:paraId="41E9BC10" w14:textId="77777777" w:rsidR="00AD7F65" w:rsidRDefault="00AD7F65" w:rsidP="00AD7F65">
      <w:r>
        <w:t>Reviewer Conflict of Interest: None declared.</w:t>
      </w:r>
    </w:p>
    <w:p w14:paraId="3EE07E17" w14:textId="77777777" w:rsidR="00AD7F65" w:rsidRDefault="00AD7F65" w:rsidP="00AD7F65">
      <w:pPr>
        <w:spacing w:after="0" w:line="240" w:lineRule="auto"/>
      </w:pPr>
    </w:p>
    <w:p w14:paraId="45520EBF" w14:textId="77777777" w:rsidR="00AD7F65" w:rsidRDefault="00AD7F65" w:rsidP="00AD7F65">
      <w:pPr>
        <w:pStyle w:val="Heading3"/>
      </w:pPr>
      <w:r>
        <w:t xml:space="preserve">1st Review </w:t>
      </w:r>
    </w:p>
    <w:p w14:paraId="6554CE86" w14:textId="77777777" w:rsidR="00A4363D" w:rsidRDefault="00A4363D" w:rsidP="00AD7F65">
      <w:pPr>
        <w:rPr>
          <w:rFonts w:ascii="Calibri Light" w:eastAsiaTheme="majorEastAsia" w:hAnsi="Calibri Light" w:cstheme="majorBidi"/>
          <w:color w:val="0F4761" w:themeColor="accent1" w:themeShade="BF"/>
          <w:sz w:val="24"/>
          <w:szCs w:val="28"/>
        </w:rPr>
      </w:pPr>
      <w:bookmarkStart w:id="1" w:name="ref483761218"/>
      <w:r w:rsidRPr="00A4363D">
        <w:rPr>
          <w:rFonts w:ascii="Calibri Light" w:eastAsiaTheme="majorEastAsia" w:hAnsi="Calibri Light" w:cstheme="majorBidi"/>
          <w:color w:val="0F4761" w:themeColor="accent1" w:themeShade="BF"/>
          <w:sz w:val="24"/>
          <w:szCs w:val="28"/>
        </w:rPr>
        <w:t>01-Aug-2024</w:t>
      </w:r>
      <w:bookmarkEnd w:id="1"/>
    </w:p>
    <w:p w14:paraId="175AB92A" w14:textId="5196F21C" w:rsidR="00AD7F65" w:rsidRDefault="00AD7F65" w:rsidP="00AD7F65">
      <w:r>
        <w:t xml:space="preserve">Recommendation: </w:t>
      </w:r>
      <w:r w:rsidR="00A4363D">
        <w:t>Major Revision</w:t>
      </w:r>
    </w:p>
    <w:p w14:paraId="4B95E97D" w14:textId="702E9D43" w:rsidR="00AD7F65" w:rsidRDefault="00C07372" w:rsidP="00AD7F65">
      <w:pPr>
        <w:spacing w:after="0" w:line="240" w:lineRule="auto"/>
      </w:pPr>
      <w:r w:rsidRPr="00C07372">
        <w:t xml:space="preserve">This is a well-written paper on the effect of grants on academic performance at higher education using data from one Italian university. The authors capitalize in the substantial drop in coverage among eligible students in one specific year, which created a discontinuity among eligible students that received and did not receive the grant. Using a regression discontinuity design, the authors arrive at the conclusion that grant recipients are substantially less likely to drop out and perform better. However, as the authors rely on data from only one academic year and only one university, they have a limited sample with not enough statistical power to affirm the significance of quite sizeable effects. I consider the paper to be a relevant contribution, both because it adds new evidence on the causal effect of grants using a credible design, and because they suggest an interesting interpretation of the results based on the demotivation of students that did not receive the grant being eligible to do so. Nonetheless, I would like to make some suggestions that, in my view, will strengthen the paper. </w:t>
      </w:r>
      <w:r w:rsidRPr="00C07372">
        <w:br/>
      </w:r>
      <w:r w:rsidRPr="00C07372">
        <w:br/>
        <w:t>Theoretical framework and case description</w:t>
      </w:r>
      <w:r w:rsidRPr="00C07372">
        <w:br/>
      </w:r>
      <w:r w:rsidRPr="00C07372">
        <w:br/>
        <w:t xml:space="preserve">I suggest the authors to consider the paper by Facchini, </w:t>
      </w:r>
      <w:proofErr w:type="spellStart"/>
      <w:r w:rsidRPr="00C07372">
        <w:t>Triventi</w:t>
      </w:r>
      <w:proofErr w:type="spellEnd"/>
      <w:r w:rsidRPr="00C07372">
        <w:t xml:space="preserve"> and </w:t>
      </w:r>
      <w:proofErr w:type="spellStart"/>
      <w:r w:rsidRPr="00C07372">
        <w:t>Vergolini</w:t>
      </w:r>
      <w:proofErr w:type="spellEnd"/>
      <w:r w:rsidRPr="00C07372">
        <w:t xml:space="preserve"> (2020) on the impact of grants on dropout and timely completion at higher education on national data for Italy. I think it is an important overlook in the description of previous studies on the effect of grants on academic performance in the Italian context. I am not familiar with the Italian case, so this omission suggests that there might be other relevant papers not considered by the authors. I encourage them to make a thorough search to rule out that possibility. </w:t>
      </w:r>
      <w:r w:rsidRPr="00C07372">
        <w:br/>
      </w:r>
      <w:r w:rsidRPr="00C07372">
        <w:lastRenderedPageBreak/>
        <w:br/>
        <w:t xml:space="preserve">Facchini, M., </w:t>
      </w:r>
      <w:proofErr w:type="spellStart"/>
      <w:r w:rsidRPr="00C07372">
        <w:t>Triventi</w:t>
      </w:r>
      <w:proofErr w:type="spellEnd"/>
      <w:r w:rsidRPr="00C07372">
        <w:t xml:space="preserve">, M., &amp; </w:t>
      </w:r>
      <w:proofErr w:type="spellStart"/>
      <w:r w:rsidRPr="00C07372">
        <w:t>Vergolini</w:t>
      </w:r>
      <w:proofErr w:type="spellEnd"/>
      <w:r w:rsidRPr="00C07372">
        <w:t>, L. (2020). Do Grants Improve the Outcomes of University Students in a Context with High Dropout Rates? Evidence from a Matching Approach. Higher Education. https://doi.org/10.1007/s10734-020-00586-3</w:t>
      </w:r>
      <w:r w:rsidRPr="00C07372">
        <w:br/>
      </w:r>
      <w:r w:rsidRPr="00C07372">
        <w:br/>
        <w:t xml:space="preserve">The authors offer a comprehensive description of the functioning of the Italian grant system in higher education. However, for the best comprehension of the results, it would be necessary to also describe in depth the tuition system in Italy. How expensive it is to </w:t>
      </w:r>
      <w:proofErr w:type="spellStart"/>
      <w:r w:rsidRPr="00C07372">
        <w:t>enroll</w:t>
      </w:r>
      <w:proofErr w:type="spellEnd"/>
      <w:r w:rsidRPr="00C07372">
        <w:t xml:space="preserve"> one year in Italian university? How those costs relate to the average household income in Italy? This information is necessary to properly assess what it means not to receive a grant when you are eligible for it. </w:t>
      </w:r>
      <w:r w:rsidRPr="00C07372">
        <w:br/>
        <w:t>The author says that in the cohort studied, the coverage rate of eligible students dropped to 30.8%. However, in Table 3, I see that 248 received the grant out of 1,350 students in the sample, which yields a rate of 18.4%. Why this difference?</w:t>
      </w:r>
      <w:r w:rsidRPr="00C07372">
        <w:br/>
      </w:r>
      <w:r w:rsidRPr="00C07372">
        <w:br/>
        <w:t>Methods</w:t>
      </w:r>
      <w:r w:rsidRPr="00C07372">
        <w:br/>
      </w:r>
      <w:r w:rsidRPr="00C07372">
        <w:br/>
        <w:t xml:space="preserve">When defining the variable drop-out, it is not clear to me whether this entails the drop out from higher education or from the specific degree. Students might drop out the initial program they started when first enrolled university, drop out university, or any of the two. </w:t>
      </w:r>
      <w:r w:rsidRPr="00C07372">
        <w:br/>
        <w:t xml:space="preserve">The author acknowledges that having information only about students below the income threshold is a limitation (p. 10). However, in my view, this is an important limitation for a reason not mentioned by the authors. The RDD estimator is local in the sense of reporting the causal effect of a treatment in the vicinity of the threshold of the running variable. In this case, this is the effect of obtaining a grant for very low-income students. The authors need to describe this limitation of the RDD design and what it implies for their conclusions. If 70% of eligible students would have received the grant instead 30% so that the income cutoff would have been higher, the results would have been the same? In my view, this somehow limits the contribution of the authors, as one would certainly expect that the grant would be highly relevant for students from very-low-income households. Had the cutoff would have been higher, results would be more interesting. </w:t>
      </w:r>
      <w:r w:rsidRPr="00C07372">
        <w:br/>
        <w:t xml:space="preserve">The author writes “The idea behind the RDD is very easy and it proves to be very effective in </w:t>
      </w:r>
      <w:proofErr w:type="spellStart"/>
      <w:r w:rsidRPr="00C07372">
        <w:t>analyzing</w:t>
      </w:r>
      <w:proofErr w:type="spellEnd"/>
      <w:r w:rsidRPr="00C07372">
        <w:t xml:space="preserve"> the effectiveness of financial aid”. This seems like a too optimistic and oversimplifying view of the RD design. The RDD presents important limitations that should be acknowledged, and authors should not oversell its virtues. </w:t>
      </w:r>
      <w:r w:rsidRPr="00C07372">
        <w:br/>
        <w:t xml:space="preserve">The authors give no indication about how they chose the bandwidth for the RDD model. Do they use any data driven procedure or just select the width based on substantive knowledge? This decision should be motivated. </w:t>
      </w:r>
      <w:r w:rsidRPr="00C07372">
        <w:br/>
        <w:t xml:space="preserve">The parametric RDD model should be more thoroughly described and formally presented with the corresponding equation. </w:t>
      </w:r>
      <w:r w:rsidRPr="00C07372">
        <w:br/>
        <w:t xml:space="preserve">The small sample size should be underscored as a limitation of the study. </w:t>
      </w:r>
      <w:r w:rsidRPr="00C07372">
        <w:br/>
      </w:r>
      <w:r w:rsidRPr="00C07372">
        <w:br/>
        <w:t>Conclusions</w:t>
      </w:r>
      <w:r w:rsidRPr="00C07372">
        <w:br/>
      </w:r>
      <w:r w:rsidRPr="00C07372">
        <w:br/>
        <w:t xml:space="preserve">I would appreciate a more elaborated reflection on the fact that the study is conducted for a technical university. Do authors expected the result to be particularly salient in this kind of context? Why? This must be acknowledged as a limitation, as conclusions from this paper cannot be directly extrapolated to any higher degree program. </w:t>
      </w:r>
      <w:r w:rsidRPr="00C07372">
        <w:br/>
      </w:r>
      <w:r w:rsidRPr="00C07372">
        <w:br/>
        <w:t>Minor comments</w:t>
      </w:r>
      <w:r w:rsidRPr="00C07372">
        <w:br/>
      </w:r>
      <w:r w:rsidRPr="00C07372">
        <w:br/>
        <w:t xml:space="preserve">- The author writes “Baumgartner and Steiner (2005) find non-significant effects of the </w:t>
      </w:r>
      <w:proofErr w:type="spellStart"/>
      <w:r w:rsidRPr="00C07372">
        <w:t>BAfoeG</w:t>
      </w:r>
      <w:proofErr w:type="spellEnd"/>
      <w:r w:rsidRPr="00C07372">
        <w:t xml:space="preserve"> </w:t>
      </w:r>
      <w:r w:rsidRPr="00C07372">
        <w:lastRenderedPageBreak/>
        <w:t>program on the decision to attend university”. What country this study is referred to?</w:t>
      </w:r>
      <w:r w:rsidRPr="00C07372">
        <w:br/>
        <w:t> </w:t>
      </w:r>
    </w:p>
    <w:p w14:paraId="512B383A" w14:textId="77777777" w:rsidR="00AD7F65" w:rsidRDefault="00AD7F65" w:rsidP="00AD7F65">
      <w:pPr>
        <w:spacing w:after="0" w:line="240" w:lineRule="auto"/>
      </w:pPr>
    </w:p>
    <w:p w14:paraId="0218DE6B" w14:textId="77777777" w:rsidR="00AD7F65" w:rsidRDefault="00AD7F65" w:rsidP="00AD7F65">
      <w:pPr>
        <w:pStyle w:val="Heading3"/>
      </w:pPr>
      <w:r>
        <w:t xml:space="preserve">2nd Review </w:t>
      </w:r>
    </w:p>
    <w:p w14:paraId="2BACA064" w14:textId="77777777" w:rsidR="00821FD8" w:rsidRDefault="00821FD8" w:rsidP="00821FD8">
      <w:pPr>
        <w:rPr>
          <w:rFonts w:ascii="Calibri Light" w:eastAsiaTheme="majorEastAsia" w:hAnsi="Calibri Light" w:cstheme="majorBidi"/>
          <w:color w:val="0F4761" w:themeColor="accent1" w:themeShade="BF"/>
          <w:sz w:val="24"/>
          <w:szCs w:val="28"/>
        </w:rPr>
      </w:pPr>
      <w:r w:rsidRPr="00EB77E9">
        <w:rPr>
          <w:rFonts w:ascii="Calibri Light" w:eastAsiaTheme="majorEastAsia" w:hAnsi="Calibri Light" w:cstheme="majorBidi"/>
          <w:color w:val="0F4761" w:themeColor="accent1" w:themeShade="BF"/>
          <w:sz w:val="24"/>
          <w:szCs w:val="28"/>
        </w:rPr>
        <w:t>03-Jan-2025</w:t>
      </w:r>
    </w:p>
    <w:p w14:paraId="1891D487" w14:textId="77777777" w:rsidR="00821FD8" w:rsidRDefault="00821FD8" w:rsidP="00821FD8">
      <w:r>
        <w:t>Recommendation: Minor Revision</w:t>
      </w:r>
    </w:p>
    <w:p w14:paraId="7E17FCFC" w14:textId="4FED7859" w:rsidR="00AD7F65" w:rsidRDefault="00821FD8" w:rsidP="00AD7F65">
      <w:pPr>
        <w:spacing w:after="0" w:line="240" w:lineRule="auto"/>
      </w:pPr>
      <w:r w:rsidRPr="00821FD8">
        <w:t>I am generally satisfied with the new version of the manuscript and the way the authors have addressed all my comments on the previous version. Nonetheless, I still have some minor concerns.</w:t>
      </w:r>
      <w:r w:rsidRPr="00821FD8">
        <w:br/>
      </w:r>
      <w:r w:rsidRPr="00821FD8">
        <w:br/>
        <w:t>The authors frame the effect of interest in this way: “In this paper we aim to evaluate if the scholarship under the Right to Education program exerts positive effects on the academic career of students enrolled in the Polytechnic of Turin in the academic year 2011/2012”. To me, it seems more accurate to define the effect of interest as the negative effect of not receiving a grant when entitled to it due to budget restrictions. It is not necessary for the authors to change their framing if they prefer the current version of the manuscript.</w:t>
      </w:r>
      <w:r w:rsidRPr="00821FD8">
        <w:br/>
      </w:r>
      <w:r w:rsidRPr="00821FD8">
        <w:br/>
        <w:t xml:space="preserve">When enumerating arguments supporting the non-effect of grants on university performance in some studies, the authors suggest: “it could be that eligible students coming from low-income families lack adequate preparation needed for university attendance”. The authors should also consider an alternative possibility deriving from the so-called survivor bias. In the pathway to university education, low-SES students undergo much greater selection than high-SES students. While only highly capable and motivated low-SES students reach university, most high-SES students will access this level of education. As a result, the group of low-SES students might actually be better suited for university education than high-SES students, except for their stronger economic constraints. </w:t>
      </w:r>
      <w:r w:rsidRPr="00821FD8">
        <w:br/>
      </w:r>
      <w:r w:rsidRPr="00821FD8">
        <w:br/>
        <w:t>My main concern relates to what in my view is the main limitation of the study: the RDD provides a local treatment effect for students in the vicinity of the cutoff, which in this case is set at a very low level of household income. Therefore, the estimates in this study reflect the impact of not receiving a grant when eligible for very-low-SES students. But this is not merely a limitation (as very briefly acknowledged in the concluding section) but a defining characteristic of the context in which the research is conducted and in which the results should be interpreted. Several comments follow:</w:t>
      </w:r>
      <w:r w:rsidRPr="00821FD8">
        <w:br/>
      </w:r>
      <w:r w:rsidRPr="00821FD8">
        <w:br/>
        <w:t>• First, the authors state in the Identification Strategy section: “However, a key limitation of RDD is external validity. Since the design estimates causal effects only for individuals close to the cutoff, the findings may not be applicable to the broader population, especially those far from the threshold. Therefore, caution must be exercised when generalizing the results beyond this specific group”. The authors should clarify what this means for their specific case. A phrase should follow, indicating that, in their work, the RDD provides the effect of a grant on university performance for students from households with a ISEE around 975€.</w:t>
      </w:r>
      <w:r w:rsidRPr="00821FD8">
        <w:br/>
      </w:r>
      <w:r w:rsidRPr="00821FD8">
        <w:br/>
        <w:t>• Second, the authors should provide context to help readers understand how low 975€ is. Is this below the poverty threshold? How many households in the Piedmont fall below this threshold? While one might infer that €975 represents poverty levels since students are entitled to grants up to €19,000, the authors need to explicitly state this.</w:t>
      </w:r>
      <w:r w:rsidRPr="00821FD8">
        <w:br/>
      </w:r>
      <w:r w:rsidRPr="00821FD8">
        <w:br/>
        <w:t xml:space="preserve">• Third, the authors underscore that their results deviate from previous studies by showing a much larger impact of grants. This larger effect likely stems from the fact that the authors estimate the effect of grants locally for students from very-low-income families. For these students, having the grant is a sine qua non condition for success. This fact is crucial for interpreting the results and </w:t>
      </w:r>
      <w:r w:rsidRPr="00821FD8">
        <w:lastRenderedPageBreak/>
        <w:t xml:space="preserve">comparing them with other studies. Basically, the authors are not estimating the general effect of grants on university performance but the effect specifically for very-low-SES students. </w:t>
      </w:r>
      <w:r w:rsidRPr="00821FD8">
        <w:br/>
      </w:r>
      <w:r w:rsidRPr="00821FD8">
        <w:br/>
        <w:t xml:space="preserve">• Fourth, in the concluding section, the authors argue: “ a possible and intriguing explanation suggest a motivational loss that would lead to poorer performances and to the decision to leave university”, a result attributed to “a feeling of unfairness”. This argument seems particularly plausible for very-low-SES students, for whom financial need is critical. </w:t>
      </w:r>
      <w:r w:rsidRPr="00821FD8">
        <w:br/>
      </w:r>
      <w:r w:rsidRPr="00821FD8">
        <w:br/>
        <w:t xml:space="preserve">• Overall, the results must be interpreted within the context that the estimation is conducted around a very low point in the income distribution. </w:t>
      </w:r>
      <w:r w:rsidRPr="00821FD8">
        <w:br/>
      </w:r>
      <w:r w:rsidRPr="00821FD8">
        <w:br/>
        <w:t>The authors have included a new paragraph (highlighted in blue) describing the results of a parametric RDD. While I appreciate this addition, I would say that it is not positioned correctly in the results section. The paragraph discusses effects across different observation windows, but these windows are introduced only in the following paragraph. I suggest moving this paragraph to the end of the results section for better coherence.</w:t>
      </w:r>
      <w:r w:rsidRPr="00821FD8">
        <w:br/>
      </w:r>
      <w:r w:rsidRPr="00821FD8">
        <w:br/>
        <w:t>The concluding section appears underdeveloped. I would expect a more thorough discussion of the results and their implications. Furthermore, the authors write: “In conclusion, while the Italian education system provides certain benefits such as tuition waivers, accommodation, and meal services at low or no cost for low-income students, liquidity constraints remain a substantial barrier for disadvantage students”. This conclusion does not directly follow from the results. Instead, the findings suggest that budget restrictions during the academic years 2011/12, 2012/13, 2013/14, and 2014/15 led to grant shortages, depriving students who greatly benefited from the grants of their entitlement. This deprivation clearly impacted their academic success and occupational prospects, underscoring the need for future policymakers to exercise caution in implementing budget cuts, given the implications for socioeconomically disadvantaged young people admitted to university education.</w:t>
      </w:r>
    </w:p>
    <w:p w14:paraId="1595A3CF" w14:textId="77777777" w:rsidR="00CB583B" w:rsidRDefault="00CB583B"/>
    <w:p w14:paraId="3AFF1616" w14:textId="77777777" w:rsidR="00414224" w:rsidRDefault="00414224" w:rsidP="00414224">
      <w:pPr>
        <w:pStyle w:val="Heading3"/>
      </w:pPr>
      <w:r>
        <w:t xml:space="preserve">3rd Review </w:t>
      </w:r>
    </w:p>
    <w:p w14:paraId="542F69F8" w14:textId="77777777" w:rsidR="00235E91" w:rsidRDefault="00235E91" w:rsidP="00414224">
      <w:pPr>
        <w:rPr>
          <w:rFonts w:ascii="Calibri Light" w:eastAsiaTheme="majorEastAsia" w:hAnsi="Calibri Light" w:cstheme="majorBidi"/>
          <w:color w:val="0F4761" w:themeColor="accent1" w:themeShade="BF"/>
          <w:sz w:val="24"/>
          <w:szCs w:val="28"/>
        </w:rPr>
      </w:pPr>
      <w:r w:rsidRPr="00235E91">
        <w:rPr>
          <w:rFonts w:ascii="Calibri Light" w:eastAsiaTheme="majorEastAsia" w:hAnsi="Calibri Light" w:cstheme="majorBidi"/>
          <w:color w:val="0F4761" w:themeColor="accent1" w:themeShade="BF"/>
          <w:sz w:val="24"/>
          <w:szCs w:val="28"/>
        </w:rPr>
        <w:t>06-Apr-2025</w:t>
      </w:r>
    </w:p>
    <w:p w14:paraId="64B5580F" w14:textId="5A60F1F7" w:rsidR="00414224" w:rsidRDefault="00414224" w:rsidP="00414224">
      <w:r>
        <w:t>Recommendation: Accept</w:t>
      </w:r>
    </w:p>
    <w:p w14:paraId="47FC741B" w14:textId="71C65167" w:rsidR="00414224" w:rsidRDefault="00235E91">
      <w:r w:rsidRPr="00235E91">
        <w:t>I am satisfied with the latest modifications introduced in the manuscript and consider the paper ready for publication. I only have a few minor comments:</w:t>
      </w:r>
      <w:r w:rsidRPr="00235E91">
        <w:br/>
        <w:t xml:space="preserve">• Page 19, line 44: There is a typo in the sentence: “(Aina, 2013), that parental socio-economic background, in terms of both income and education, significantly influences not only the decision to </w:t>
      </w:r>
      <w:proofErr w:type="spellStart"/>
      <w:r w:rsidRPr="00235E91">
        <w:t>enroll</w:t>
      </w:r>
      <w:proofErr w:type="spellEnd"/>
      <w:r w:rsidRPr="00235E91">
        <w:t xml:space="preserve"> in higher education but also the likelihood of dropping out.” The punctuation or structure of the sentence should be revised for clarity.</w:t>
      </w:r>
      <w:r w:rsidRPr="00235E91">
        <w:br/>
        <w:t>• Page 22, line 10: The authors write: “The main limitation of our data is that we do not have access to the whole student population but only to those who are below the income threshold and who apply for financial aid.” However, is this truly a limitation? If the goal is to exploit the discontinuity at €975, focusing on students around this threshold, then having data on students with, for instance, an ISEE of €35,000 would not substantially contribute to the estimation at the cutoff. I would understand this concern as a limitation if the threshold were closer to the eligibility boundary, but given how low it is, I do not see how the absence of higher-income students affects the validity of the current analysis.</w:t>
      </w:r>
      <w:r w:rsidRPr="00235E91">
        <w:br/>
        <w:t xml:space="preserve">• Page 25, line 17: The authors state: “Comparing our results with those from other Italian universities, an interesting pattern seems to emerge, indicating a higher effectiveness of financial aid </w:t>
      </w:r>
      <w:r w:rsidRPr="00235E91">
        <w:lastRenderedPageBreak/>
        <w:t>in very demanding degree courses.” As mentioned in the previous review round, I do not believe this is the correct interpretation of the finding. The estimated effect is large not because the institution is a polytechnic or the programs are particularly demanding, but because the analysis focuses on students just above and below the €975 cutoff, that is, very low-SES students who are at high risk of dropping out in the absence of financial support. In my view, this is the key distinguishing feature of the current study relative to others, and the main driver of the results, rather than the academic intensity of the programs. At a €975 cutoff, a substantial effect would likely be observed across a wide range of study programs.</w:t>
      </w:r>
    </w:p>
    <w:p w14:paraId="4DBE65CE" w14:textId="77777777" w:rsidR="00667923" w:rsidRDefault="00667923"/>
    <w:p w14:paraId="66894BE3" w14:textId="77777777" w:rsidR="00AD7F65" w:rsidRPr="000F1EFC" w:rsidRDefault="00AD7F65" w:rsidP="00AD7F65">
      <w:pPr>
        <w:rPr>
          <w:i/>
          <w:iCs/>
        </w:rPr>
      </w:pPr>
      <w:r w:rsidRPr="000F1EFC">
        <w:rPr>
          <w:i/>
          <w:iCs/>
        </w:rPr>
        <w:t xml:space="preserve">Taylor &amp; Francis Group are sharing these reviews as part of a transparent peer review pilot, in accordance with the Journal’s </w:t>
      </w:r>
      <w:hyperlink r:id="rId7" w:anchor="Transparent%20Peer%20Review" w:history="1">
        <w:r w:rsidRPr="000F1EFC">
          <w:rPr>
            <w:rStyle w:val="Hyperlink"/>
          </w:rPr>
          <w:t>Transparent Peer Review Policy</w:t>
        </w:r>
      </w:hyperlink>
      <w:r w:rsidRPr="000F1EFC">
        <w:rPr>
          <w:i/>
          <w:iCs/>
        </w:rPr>
        <w:t>. Handling editors, reviewers and authors have agreed for these reviews to be published in this way. Reviews are reproduced verbatim from the peer review system. Views expressed herein are the reviewers own and do not represent the views of the editors or Taylor &amp; Francis Group as publisher.</w:t>
      </w:r>
    </w:p>
    <w:p w14:paraId="3BEBF7AC" w14:textId="77777777" w:rsidR="00AD7F65" w:rsidRDefault="00AD7F65"/>
    <w:sectPr w:rsidR="00AD7F65">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6FE6C5" w14:textId="77777777" w:rsidR="00AD7F65" w:rsidRDefault="00AD7F65" w:rsidP="00AD7F65">
      <w:pPr>
        <w:spacing w:after="0" w:line="240" w:lineRule="auto"/>
      </w:pPr>
      <w:r>
        <w:separator/>
      </w:r>
    </w:p>
  </w:endnote>
  <w:endnote w:type="continuationSeparator" w:id="0">
    <w:p w14:paraId="4A390751" w14:textId="77777777" w:rsidR="00AD7F65" w:rsidRDefault="00AD7F65" w:rsidP="00AD7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C834B" w14:textId="745B2F46" w:rsidR="00AD7F65" w:rsidRDefault="00AD7F65" w:rsidP="00AD7F65">
    <w:r>
      <w:t>© The Reviewer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8AC69" w14:textId="77777777" w:rsidR="00AD7F65" w:rsidRDefault="00AD7F65" w:rsidP="00AD7F65">
      <w:pPr>
        <w:spacing w:after="0" w:line="240" w:lineRule="auto"/>
      </w:pPr>
      <w:r>
        <w:separator/>
      </w:r>
    </w:p>
  </w:footnote>
  <w:footnote w:type="continuationSeparator" w:id="0">
    <w:p w14:paraId="6B36C8F7" w14:textId="77777777" w:rsidR="00AD7F65" w:rsidRDefault="00AD7F65" w:rsidP="00AD7F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F65"/>
    <w:rsid w:val="000D3A0B"/>
    <w:rsid w:val="00131897"/>
    <w:rsid w:val="001C7C84"/>
    <w:rsid w:val="00235E91"/>
    <w:rsid w:val="00414224"/>
    <w:rsid w:val="00667923"/>
    <w:rsid w:val="006709E6"/>
    <w:rsid w:val="00821FD8"/>
    <w:rsid w:val="00937D3D"/>
    <w:rsid w:val="009E511F"/>
    <w:rsid w:val="00A4363D"/>
    <w:rsid w:val="00AD7F65"/>
    <w:rsid w:val="00B821FA"/>
    <w:rsid w:val="00C07372"/>
    <w:rsid w:val="00CB583B"/>
    <w:rsid w:val="00D8650D"/>
    <w:rsid w:val="00E63E9D"/>
    <w:rsid w:val="00EB77E9"/>
    <w:rsid w:val="00F064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B09A5"/>
  <w15:chartTrackingRefBased/>
  <w15:docId w15:val="{1138303E-E7D9-4E04-9F14-B263F9A2F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F65"/>
    <w:pPr>
      <w:spacing w:line="259" w:lineRule="auto"/>
    </w:pPr>
    <w:rPr>
      <w:rFonts w:ascii="Calibri" w:hAnsi="Calibri"/>
      <w:kern w:val="0"/>
      <w:sz w:val="22"/>
      <w:szCs w:val="22"/>
      <w14:ligatures w14:val="none"/>
    </w:rPr>
  </w:style>
  <w:style w:type="paragraph" w:styleId="Heading1">
    <w:name w:val="heading 1"/>
    <w:basedOn w:val="Normal"/>
    <w:next w:val="Normal"/>
    <w:link w:val="Heading1Char"/>
    <w:uiPriority w:val="9"/>
    <w:qFormat/>
    <w:rsid w:val="00AD7F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D7F65"/>
    <w:pPr>
      <w:keepNext/>
      <w:keepLines/>
      <w:spacing w:before="160" w:after="80"/>
      <w:outlineLvl w:val="1"/>
    </w:pPr>
    <w:rPr>
      <w:rFonts w:ascii="Calibri Light" w:eastAsiaTheme="majorEastAsia" w:hAnsi="Calibri Light" w:cstheme="majorBidi"/>
      <w:color w:val="0F4761" w:themeColor="accent1" w:themeShade="BF"/>
      <w:kern w:val="2"/>
      <w:sz w:val="26"/>
      <w:szCs w:val="32"/>
      <w14:ligatures w14:val="standardContextual"/>
    </w:rPr>
  </w:style>
  <w:style w:type="paragraph" w:styleId="Heading3">
    <w:name w:val="heading 3"/>
    <w:basedOn w:val="Normal"/>
    <w:next w:val="Normal"/>
    <w:link w:val="Heading3Char"/>
    <w:uiPriority w:val="9"/>
    <w:unhideWhenUsed/>
    <w:qFormat/>
    <w:rsid w:val="00AD7F65"/>
    <w:pPr>
      <w:keepNext/>
      <w:keepLines/>
      <w:spacing w:after="0"/>
      <w:outlineLvl w:val="2"/>
    </w:pPr>
    <w:rPr>
      <w:rFonts w:ascii="Calibri Light" w:eastAsiaTheme="majorEastAsia" w:hAnsi="Calibri Light" w:cstheme="majorBidi"/>
      <w:color w:val="0F4761" w:themeColor="accent1" w:themeShade="BF"/>
      <w:sz w:val="24"/>
      <w:szCs w:val="28"/>
    </w:rPr>
  </w:style>
  <w:style w:type="paragraph" w:styleId="Heading4">
    <w:name w:val="heading 4"/>
    <w:basedOn w:val="Normal"/>
    <w:next w:val="Normal"/>
    <w:link w:val="Heading4Char"/>
    <w:uiPriority w:val="9"/>
    <w:semiHidden/>
    <w:unhideWhenUsed/>
    <w:qFormat/>
    <w:rsid w:val="00AD7F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7F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7F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7F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7F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7F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7F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D7F65"/>
    <w:rPr>
      <w:rFonts w:ascii="Calibri Light" w:eastAsiaTheme="majorEastAsia" w:hAnsi="Calibri Light" w:cstheme="majorBidi"/>
      <w:color w:val="0F4761" w:themeColor="accent1" w:themeShade="BF"/>
      <w:sz w:val="26"/>
      <w:szCs w:val="32"/>
    </w:rPr>
  </w:style>
  <w:style w:type="character" w:customStyle="1" w:styleId="Heading3Char">
    <w:name w:val="Heading 3 Char"/>
    <w:basedOn w:val="DefaultParagraphFont"/>
    <w:link w:val="Heading3"/>
    <w:uiPriority w:val="9"/>
    <w:rsid w:val="00AD7F65"/>
    <w:rPr>
      <w:rFonts w:ascii="Calibri Light" w:eastAsiaTheme="majorEastAsia" w:hAnsi="Calibri Light" w:cstheme="majorBidi"/>
      <w:color w:val="0F4761" w:themeColor="accent1" w:themeShade="BF"/>
      <w:kern w:val="0"/>
      <w:szCs w:val="28"/>
      <w14:ligatures w14:val="none"/>
    </w:rPr>
  </w:style>
  <w:style w:type="character" w:customStyle="1" w:styleId="Heading4Char">
    <w:name w:val="Heading 4 Char"/>
    <w:basedOn w:val="DefaultParagraphFont"/>
    <w:link w:val="Heading4"/>
    <w:uiPriority w:val="9"/>
    <w:semiHidden/>
    <w:rsid w:val="00AD7F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7F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7F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7F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7F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7F65"/>
    <w:rPr>
      <w:rFonts w:eastAsiaTheme="majorEastAsia" w:cstheme="majorBidi"/>
      <w:color w:val="272727" w:themeColor="text1" w:themeTint="D8"/>
    </w:rPr>
  </w:style>
  <w:style w:type="paragraph" w:styleId="Title">
    <w:name w:val="Title"/>
    <w:basedOn w:val="Normal"/>
    <w:next w:val="Normal"/>
    <w:link w:val="TitleChar"/>
    <w:uiPriority w:val="10"/>
    <w:qFormat/>
    <w:rsid w:val="00AD7F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7F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7F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7F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7F65"/>
    <w:pPr>
      <w:spacing w:before="160"/>
      <w:jc w:val="center"/>
    </w:pPr>
    <w:rPr>
      <w:i/>
      <w:iCs/>
      <w:color w:val="404040" w:themeColor="text1" w:themeTint="BF"/>
    </w:rPr>
  </w:style>
  <w:style w:type="character" w:customStyle="1" w:styleId="QuoteChar">
    <w:name w:val="Quote Char"/>
    <w:basedOn w:val="DefaultParagraphFont"/>
    <w:link w:val="Quote"/>
    <w:uiPriority w:val="29"/>
    <w:rsid w:val="00AD7F65"/>
    <w:rPr>
      <w:i/>
      <w:iCs/>
      <w:color w:val="404040" w:themeColor="text1" w:themeTint="BF"/>
    </w:rPr>
  </w:style>
  <w:style w:type="paragraph" w:styleId="ListParagraph">
    <w:name w:val="List Paragraph"/>
    <w:basedOn w:val="Normal"/>
    <w:uiPriority w:val="34"/>
    <w:qFormat/>
    <w:rsid w:val="00AD7F65"/>
    <w:pPr>
      <w:ind w:left="720"/>
      <w:contextualSpacing/>
    </w:pPr>
  </w:style>
  <w:style w:type="character" w:styleId="IntenseEmphasis">
    <w:name w:val="Intense Emphasis"/>
    <w:basedOn w:val="DefaultParagraphFont"/>
    <w:uiPriority w:val="21"/>
    <w:qFormat/>
    <w:rsid w:val="00AD7F65"/>
    <w:rPr>
      <w:i/>
      <w:iCs/>
      <w:color w:val="0F4761" w:themeColor="accent1" w:themeShade="BF"/>
    </w:rPr>
  </w:style>
  <w:style w:type="paragraph" w:styleId="IntenseQuote">
    <w:name w:val="Intense Quote"/>
    <w:basedOn w:val="Normal"/>
    <w:next w:val="Normal"/>
    <w:link w:val="IntenseQuoteChar"/>
    <w:uiPriority w:val="30"/>
    <w:qFormat/>
    <w:rsid w:val="00AD7F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7F65"/>
    <w:rPr>
      <w:i/>
      <w:iCs/>
      <w:color w:val="0F4761" w:themeColor="accent1" w:themeShade="BF"/>
    </w:rPr>
  </w:style>
  <w:style w:type="character" w:styleId="IntenseReference">
    <w:name w:val="Intense Reference"/>
    <w:basedOn w:val="DefaultParagraphFont"/>
    <w:uiPriority w:val="32"/>
    <w:qFormat/>
    <w:rsid w:val="00AD7F65"/>
    <w:rPr>
      <w:b/>
      <w:bCs/>
      <w:smallCaps/>
      <w:color w:val="0F4761" w:themeColor="accent1" w:themeShade="BF"/>
      <w:spacing w:val="5"/>
    </w:rPr>
  </w:style>
  <w:style w:type="character" w:styleId="Hyperlink">
    <w:name w:val="Hyperlink"/>
    <w:basedOn w:val="DefaultParagraphFont"/>
    <w:uiPriority w:val="99"/>
    <w:unhideWhenUsed/>
    <w:rsid w:val="00AD7F65"/>
    <w:rPr>
      <w:color w:val="467886" w:themeColor="hyperlink"/>
      <w:u w:val="single"/>
    </w:rPr>
  </w:style>
  <w:style w:type="paragraph" w:styleId="Header">
    <w:name w:val="header"/>
    <w:basedOn w:val="Normal"/>
    <w:link w:val="HeaderChar"/>
    <w:uiPriority w:val="99"/>
    <w:unhideWhenUsed/>
    <w:rsid w:val="00AD7F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7F65"/>
    <w:rPr>
      <w:rFonts w:ascii="Calibri" w:hAnsi="Calibri"/>
      <w:kern w:val="0"/>
      <w:sz w:val="22"/>
      <w:szCs w:val="22"/>
      <w14:ligatures w14:val="none"/>
    </w:rPr>
  </w:style>
  <w:style w:type="paragraph" w:styleId="Footer">
    <w:name w:val="footer"/>
    <w:basedOn w:val="Normal"/>
    <w:link w:val="FooterChar"/>
    <w:uiPriority w:val="99"/>
    <w:unhideWhenUsed/>
    <w:rsid w:val="00AD7F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7F65"/>
    <w:rPr>
      <w:rFonts w:ascii="Calibri" w:hAnsi="Calibri"/>
      <w:kern w:val="0"/>
      <w:sz w:val="22"/>
      <w:szCs w:val="22"/>
      <w14:ligatures w14:val="none"/>
    </w:rPr>
  </w:style>
  <w:style w:type="table" w:styleId="TableGrid">
    <w:name w:val="Table Grid"/>
    <w:basedOn w:val="TableNormal"/>
    <w:uiPriority w:val="39"/>
    <w:rsid w:val="00AD7F65"/>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318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865381">
      <w:bodyDiv w:val="1"/>
      <w:marLeft w:val="0"/>
      <w:marRight w:val="0"/>
      <w:marTop w:val="0"/>
      <w:marBottom w:val="0"/>
      <w:divBdr>
        <w:top w:val="none" w:sz="0" w:space="0" w:color="auto"/>
        <w:left w:val="none" w:sz="0" w:space="0" w:color="auto"/>
        <w:bottom w:val="none" w:sz="0" w:space="0" w:color="auto"/>
        <w:right w:val="none" w:sz="0" w:space="0" w:color="auto"/>
      </w:divBdr>
    </w:div>
    <w:div w:id="829907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tandfonline.com/action/authorSubmission?show=instructions&amp;journalCode=rehe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2132</Words>
  <Characters>12158</Characters>
  <Application>Microsoft Office Word</Application>
  <DocSecurity>0</DocSecurity>
  <Lines>101</Lines>
  <Paragraphs>28</Paragraphs>
  <ScaleCrop>false</ScaleCrop>
  <Company/>
  <LinksUpToDate>false</LinksUpToDate>
  <CharactersWithSpaces>14262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Seeber</dc:creator>
  <cp:keywords/>
  <dc:description/>
  <cp:lastModifiedBy>Marco Seeber</cp:lastModifiedBy>
  <cp:revision>15</cp:revision>
  <dcterms:created xsi:type="dcterms:W3CDTF">2024-05-07T05:18:00Z</dcterms:created>
  <dcterms:modified xsi:type="dcterms:W3CDTF">2025-04-11T14:00:00Z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95cf23d-70b0-4a80-9221-1d774ac27fb2_Enabled">
    <vt:lpwstr>true</vt:lpwstr>
  </property>
  <property fmtid="{D5CDD505-2E9C-101B-9397-08002B2CF9AE}" pid="3" name="MSIP_Label_695cf23d-70b0-4a80-9221-1d774ac27fb2_SetDate">
    <vt:lpwstr>2025-04-11T13:50:01Z</vt:lpwstr>
  </property>
  <property fmtid="{D5CDD505-2E9C-101B-9397-08002B2CF9AE}" pid="4" name="MSIP_Label_695cf23d-70b0-4a80-9221-1d774ac27fb2_Method">
    <vt:lpwstr>Standard</vt:lpwstr>
  </property>
  <property fmtid="{D5CDD505-2E9C-101B-9397-08002B2CF9AE}" pid="5" name="MSIP_Label_695cf23d-70b0-4a80-9221-1d774ac27fb2_Name">
    <vt:lpwstr>Document internal</vt:lpwstr>
  </property>
  <property fmtid="{D5CDD505-2E9C-101B-9397-08002B2CF9AE}" pid="6" name="MSIP_Label_695cf23d-70b0-4a80-9221-1d774ac27fb2_SiteId">
    <vt:lpwstr>8482881e-3699-4b3f-b135-cf4800bc1efb</vt:lpwstr>
  </property>
  <property fmtid="{D5CDD505-2E9C-101B-9397-08002B2CF9AE}" pid="7" name="MSIP_Label_695cf23d-70b0-4a80-9221-1d774ac27fb2_ActionId">
    <vt:lpwstr>3cedf288-6f54-47c9-9e7e-c7cab3837d82</vt:lpwstr>
  </property>
  <property fmtid="{D5CDD505-2E9C-101B-9397-08002B2CF9AE}" pid="8" name="MSIP_Label_695cf23d-70b0-4a80-9221-1d774ac27fb2_ContentBits">
    <vt:lpwstr>0</vt:lpwstr>
  </property>
  <property fmtid="{D5CDD505-2E9C-101B-9397-08002B2CF9AE}" pid="9" name="MSIP_Label_695cf23d-70b0-4a80-9221-1d774ac27fb2_Tag">
    <vt:lpwstr>10, 3, 0, 1</vt:lpwstr>
  </property>
</Properties>
</file>