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8D7C86" w14:textId="77777777" w:rsidR="00B52D96" w:rsidRPr="00B52D96" w:rsidRDefault="00B52D96" w:rsidP="00B52D96">
      <w:pPr>
        <w:jc w:val="both"/>
        <w:rPr>
          <w:rFonts w:ascii="Times New Roman" w:hAnsi="Times New Roman" w:cs="Times New Roman"/>
          <w:b/>
          <w:sz w:val="36"/>
          <w:szCs w:val="36"/>
          <w:lang w:val="en-US"/>
        </w:rPr>
      </w:pPr>
      <w:bookmarkStart w:id="0" w:name="_Hlk166620826"/>
      <w:r w:rsidRPr="00B52D96">
        <w:rPr>
          <w:rFonts w:ascii="Times New Roman" w:hAnsi="Times New Roman" w:cs="Times New Roman"/>
          <w:b/>
          <w:sz w:val="36"/>
          <w:szCs w:val="36"/>
          <w:lang w:val="en-US"/>
        </w:rPr>
        <w:t>Clinical, neuropathological, and molecular characteristics of rapidly progressive dementia with Lewy bodies: a distinct clinicopathological entity?</w:t>
      </w:r>
    </w:p>
    <w:p w14:paraId="66EF13B1" w14:textId="77777777" w:rsidR="00B52D96" w:rsidRPr="001D6085" w:rsidRDefault="00B52D96" w:rsidP="00B52D96">
      <w:pPr>
        <w:jc w:val="both"/>
        <w:rPr>
          <w:rFonts w:ascii="Times New Roman" w:hAnsi="Times New Roman" w:cs="Times New Roman"/>
        </w:rPr>
      </w:pPr>
      <w:r w:rsidRPr="001D6085">
        <w:rPr>
          <w:rFonts w:ascii="Times New Roman" w:hAnsi="Times New Roman" w:cs="Times New Roman"/>
        </w:rPr>
        <w:t>Giuseppe Mario Bentivenga</w:t>
      </w:r>
      <w:r w:rsidRPr="001D6085">
        <w:rPr>
          <w:rFonts w:ascii="Times New Roman" w:hAnsi="Times New Roman" w:cs="Times New Roman"/>
          <w:vertAlign w:val="superscript"/>
        </w:rPr>
        <w:t>1</w:t>
      </w:r>
      <w:r w:rsidRPr="001D6085">
        <w:rPr>
          <w:rFonts w:ascii="Times New Roman" w:hAnsi="Times New Roman" w:cs="Times New Roman"/>
        </w:rPr>
        <w:t>, Simone Baiardi</w:t>
      </w:r>
      <w:r w:rsidRPr="001D6085">
        <w:rPr>
          <w:rFonts w:ascii="Times New Roman" w:hAnsi="Times New Roman" w:cs="Times New Roman"/>
          <w:vertAlign w:val="superscript"/>
        </w:rPr>
        <w:t>1,2</w:t>
      </w:r>
      <w:r w:rsidRPr="001D6085">
        <w:rPr>
          <w:rFonts w:ascii="Times New Roman" w:hAnsi="Times New Roman" w:cs="Times New Roman"/>
        </w:rPr>
        <w:t>, Andrea Mastrangelo</w:t>
      </w:r>
      <w:r w:rsidRPr="001D6085">
        <w:rPr>
          <w:rFonts w:ascii="Times New Roman" w:hAnsi="Times New Roman" w:cs="Times New Roman"/>
          <w:vertAlign w:val="superscript"/>
        </w:rPr>
        <w:t>1</w:t>
      </w:r>
      <w:r w:rsidRPr="001D6085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Edoardo Ruggeri</w:t>
      </w:r>
      <w:r>
        <w:rPr>
          <w:rFonts w:ascii="Times New Roman" w:hAnsi="Times New Roman" w:cs="Times New Roman"/>
          <w:vertAlign w:val="superscript"/>
        </w:rPr>
        <w:t>2</w:t>
      </w:r>
      <w:r>
        <w:rPr>
          <w:rFonts w:ascii="Times New Roman" w:hAnsi="Times New Roman" w:cs="Times New Roman"/>
        </w:rPr>
        <w:t>,</w:t>
      </w:r>
      <w:r w:rsidRPr="001D6085">
        <w:rPr>
          <w:rFonts w:ascii="Times New Roman" w:hAnsi="Times New Roman" w:cs="Times New Roman"/>
        </w:rPr>
        <w:t xml:space="preserve"> Angela Mammana</w:t>
      </w:r>
      <w:r w:rsidRPr="001D6085">
        <w:rPr>
          <w:rFonts w:ascii="Times New Roman" w:hAnsi="Times New Roman" w:cs="Times New Roman"/>
          <w:vertAlign w:val="superscript"/>
        </w:rPr>
        <w:t>2</w:t>
      </w:r>
      <w:r w:rsidRPr="001D6085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Alice Ticca</w:t>
      </w:r>
      <w:r>
        <w:rPr>
          <w:rFonts w:ascii="Times New Roman" w:hAnsi="Times New Roman" w:cs="Times New Roman"/>
          <w:vertAlign w:val="superscript"/>
        </w:rPr>
        <w:t>1</w:t>
      </w:r>
      <w:r w:rsidRPr="001D6085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Marcello Rossi</w:t>
      </w:r>
      <w:r>
        <w:rPr>
          <w:rFonts w:ascii="Times New Roman" w:hAnsi="Times New Roman" w:cs="Times New Roman"/>
          <w:vertAlign w:val="superscript"/>
        </w:rPr>
        <w:t>2</w:t>
      </w:r>
      <w:r>
        <w:rPr>
          <w:rFonts w:ascii="Times New Roman" w:hAnsi="Times New Roman" w:cs="Times New Roman"/>
        </w:rPr>
        <w:t xml:space="preserve">, </w:t>
      </w:r>
      <w:r w:rsidRPr="001D6085">
        <w:rPr>
          <w:rFonts w:ascii="Times New Roman" w:hAnsi="Times New Roman" w:cs="Times New Roman"/>
        </w:rPr>
        <w:t>Sabina Capellari</w:t>
      </w:r>
      <w:r w:rsidRPr="001D6085">
        <w:rPr>
          <w:rFonts w:ascii="Times New Roman" w:hAnsi="Times New Roman" w:cs="Times New Roman"/>
          <w:vertAlign w:val="superscript"/>
        </w:rPr>
        <w:t>1,2</w:t>
      </w:r>
      <w:r w:rsidRPr="001D6085">
        <w:rPr>
          <w:rFonts w:ascii="Times New Roman" w:hAnsi="Times New Roman" w:cs="Times New Roman"/>
        </w:rPr>
        <w:t>, Piero Parchi</w:t>
      </w:r>
      <w:r w:rsidRPr="001D6085">
        <w:rPr>
          <w:rFonts w:ascii="Times New Roman" w:hAnsi="Times New Roman" w:cs="Times New Roman"/>
          <w:vertAlign w:val="superscript"/>
        </w:rPr>
        <w:t>1,2</w:t>
      </w:r>
    </w:p>
    <w:p w14:paraId="678A5A68" w14:textId="77777777" w:rsidR="00B52D96" w:rsidRPr="00B04964" w:rsidRDefault="00B52D96" w:rsidP="00B52D96">
      <w:pPr>
        <w:jc w:val="both"/>
        <w:rPr>
          <w:rFonts w:ascii="Times New Roman" w:hAnsi="Times New Roman" w:cs="Times New Roman"/>
          <w:bCs/>
          <w:lang w:val="en-US"/>
        </w:rPr>
      </w:pPr>
      <w:r w:rsidRPr="00B04964">
        <w:rPr>
          <w:rFonts w:ascii="Times New Roman" w:hAnsi="Times New Roman" w:cs="Times New Roman"/>
          <w:bCs/>
          <w:vertAlign w:val="superscript"/>
          <w:lang w:val="en-US"/>
        </w:rPr>
        <w:t>1</w:t>
      </w:r>
      <w:r w:rsidRPr="00B04964">
        <w:rPr>
          <w:rFonts w:ascii="Times New Roman" w:hAnsi="Times New Roman" w:cs="Times New Roman"/>
          <w:bCs/>
          <w:lang w:val="en-US"/>
        </w:rPr>
        <w:t>Department of Biomedical and Neuromotor Sciences (</w:t>
      </w:r>
      <w:proofErr w:type="spellStart"/>
      <w:r w:rsidRPr="00B04964">
        <w:rPr>
          <w:rFonts w:ascii="Times New Roman" w:hAnsi="Times New Roman" w:cs="Times New Roman"/>
          <w:bCs/>
          <w:lang w:val="en-US"/>
        </w:rPr>
        <w:t>DiBiNeM</w:t>
      </w:r>
      <w:proofErr w:type="spellEnd"/>
      <w:r w:rsidRPr="00B04964">
        <w:rPr>
          <w:rFonts w:ascii="Times New Roman" w:hAnsi="Times New Roman" w:cs="Times New Roman"/>
          <w:bCs/>
          <w:lang w:val="en-US"/>
        </w:rPr>
        <w:t xml:space="preserve">), University of Bologna, Bologna, Italy </w:t>
      </w:r>
    </w:p>
    <w:p w14:paraId="41BB3EEB" w14:textId="77777777" w:rsidR="00B52D96" w:rsidRPr="001D6085" w:rsidRDefault="00B52D96" w:rsidP="00B52D96">
      <w:pPr>
        <w:jc w:val="both"/>
        <w:rPr>
          <w:rFonts w:ascii="Times New Roman" w:hAnsi="Times New Roman" w:cs="Times New Roman"/>
          <w:bCs/>
        </w:rPr>
      </w:pPr>
      <w:r w:rsidRPr="001D6085">
        <w:rPr>
          <w:rFonts w:ascii="Times New Roman" w:hAnsi="Times New Roman" w:cs="Times New Roman"/>
          <w:bCs/>
          <w:vertAlign w:val="superscript"/>
        </w:rPr>
        <w:t>2</w:t>
      </w:r>
      <w:r w:rsidRPr="001D6085">
        <w:rPr>
          <w:rFonts w:ascii="Times New Roman" w:hAnsi="Times New Roman" w:cs="Times New Roman"/>
          <w:bCs/>
        </w:rPr>
        <w:t xml:space="preserve">IRCCS, Istituto delle Scienze Neurologiche di Bologna, Programma Neuropatologia delle Malattie Neurodegenerative, Bologna, </w:t>
      </w:r>
      <w:proofErr w:type="spellStart"/>
      <w:r w:rsidRPr="001D6085">
        <w:rPr>
          <w:rFonts w:ascii="Times New Roman" w:hAnsi="Times New Roman" w:cs="Times New Roman"/>
          <w:bCs/>
        </w:rPr>
        <w:t>Italy</w:t>
      </w:r>
      <w:proofErr w:type="spellEnd"/>
    </w:p>
    <w:p w14:paraId="1EDE1A7C" w14:textId="77777777" w:rsidR="00B52D96" w:rsidRDefault="00B52D96" w:rsidP="00186F52">
      <w:pPr>
        <w:jc w:val="both"/>
        <w:rPr>
          <w:rFonts w:ascii="Times New Roman" w:hAnsi="Times New Roman" w:cs="Times New Roman"/>
          <w:b/>
          <w:bCs/>
        </w:rPr>
      </w:pPr>
    </w:p>
    <w:p w14:paraId="691B1D61" w14:textId="77777777" w:rsidR="00AA718C" w:rsidRDefault="00AA718C" w:rsidP="00186F52">
      <w:pPr>
        <w:jc w:val="both"/>
        <w:rPr>
          <w:rFonts w:ascii="Times New Roman" w:hAnsi="Times New Roman" w:cs="Times New Roman"/>
          <w:b/>
          <w:bCs/>
        </w:rPr>
      </w:pPr>
    </w:p>
    <w:p w14:paraId="373E7533" w14:textId="106E3974" w:rsidR="00AA718C" w:rsidRPr="00BA0F61" w:rsidRDefault="00AA718C" w:rsidP="00AA718C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BA0F61">
        <w:rPr>
          <w:rFonts w:ascii="Times New Roman" w:hAnsi="Times New Roman" w:cs="Times New Roman"/>
          <w:b/>
          <w:bCs/>
          <w:lang w:val="en-US"/>
        </w:rPr>
        <w:t>SUPPLEMENTARY MATERIALS</w:t>
      </w:r>
    </w:p>
    <w:p w14:paraId="38887869" w14:textId="40C8FBA5" w:rsidR="00B52D96" w:rsidRDefault="00B52D96" w:rsidP="00186F52">
      <w:pPr>
        <w:jc w:val="both"/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t>Supplementary methods</w:t>
      </w:r>
    </w:p>
    <w:p w14:paraId="5BE2FB45" w14:textId="49AACD08" w:rsidR="00186F52" w:rsidRPr="00186F52" w:rsidRDefault="007B43E4" w:rsidP="00186F52">
      <w:pPr>
        <w:jc w:val="both"/>
        <w:rPr>
          <w:rFonts w:ascii="Times New Roman" w:hAnsi="Times New Roman" w:cs="Times New Roman"/>
          <w:b/>
          <w:bCs/>
          <w:lang w:val="en-GB"/>
        </w:rPr>
      </w:pPr>
      <w:proofErr w:type="spellStart"/>
      <w:r>
        <w:rPr>
          <w:rFonts w:ascii="Times New Roman" w:hAnsi="Times New Roman" w:cs="Times New Roman"/>
          <w:b/>
          <w:bCs/>
          <w:lang w:val="en-GB"/>
        </w:rPr>
        <w:t>rpDLB</w:t>
      </w:r>
      <w:proofErr w:type="spellEnd"/>
      <w:r>
        <w:rPr>
          <w:rFonts w:ascii="Times New Roman" w:hAnsi="Times New Roman" w:cs="Times New Roman"/>
          <w:b/>
          <w:bCs/>
          <w:lang w:val="en-GB"/>
        </w:rPr>
        <w:t xml:space="preserve"> </w:t>
      </w:r>
      <w:proofErr w:type="gramStart"/>
      <w:r>
        <w:rPr>
          <w:rFonts w:ascii="Times New Roman" w:hAnsi="Times New Roman" w:cs="Times New Roman"/>
          <w:b/>
          <w:bCs/>
          <w:lang w:val="en-GB"/>
        </w:rPr>
        <w:t>patients</w:t>
      </w:r>
      <w:proofErr w:type="gramEnd"/>
      <w:r>
        <w:rPr>
          <w:rFonts w:ascii="Times New Roman" w:hAnsi="Times New Roman" w:cs="Times New Roman"/>
          <w:b/>
          <w:bCs/>
          <w:lang w:val="en-GB"/>
        </w:rPr>
        <w:t xml:space="preserve"> selection</w:t>
      </w:r>
    </w:p>
    <w:bookmarkEnd w:id="0"/>
    <w:p w14:paraId="0E08919D" w14:textId="7831037C" w:rsidR="00030619" w:rsidRDefault="00186F52" w:rsidP="00097643">
      <w:pPr>
        <w:jc w:val="both"/>
        <w:rPr>
          <w:rFonts w:ascii="Times New Roman" w:hAnsi="Times New Roman" w:cs="Times New Roman"/>
          <w:lang w:val="en-GB"/>
        </w:rPr>
      </w:pPr>
      <w:r w:rsidRPr="00186F52">
        <w:rPr>
          <w:rFonts w:ascii="Times New Roman" w:hAnsi="Times New Roman" w:cs="Times New Roman"/>
          <w:lang w:val="en-GB"/>
        </w:rPr>
        <w:t xml:space="preserve">In the total RPD cohort of 826 brains, 58 showed LBP pathology in neocortical or limbic stages. However, only 33 (4%) received a primary diagnosis of LBD (either DLB or PDD), given that all the others had a pathology known as a primary cause of RPD (i.e., CJD, Wernicke encephalopathy, primary CNS lymphoma, meningeal carcinomatosis). We also excluded 8 patients with a previous clinical PD diagnosis who developed an RPD syndrome in the late disease stage (i.e., the total disease duration was longer than 4 years) and three individuals with insufficient clinical documentation. We eventually selected 22 participants fulfilling our inclusion criteria for </w:t>
      </w:r>
      <w:proofErr w:type="spellStart"/>
      <w:r w:rsidRPr="00186F52">
        <w:rPr>
          <w:rFonts w:ascii="Times New Roman" w:hAnsi="Times New Roman" w:cs="Times New Roman"/>
          <w:lang w:val="en-GB"/>
        </w:rPr>
        <w:t>rpDLB</w:t>
      </w:r>
      <w:proofErr w:type="spellEnd"/>
      <w:r w:rsidRPr="00186F52">
        <w:rPr>
          <w:rFonts w:ascii="Times New Roman" w:hAnsi="Times New Roman" w:cs="Times New Roman"/>
          <w:lang w:val="en-GB"/>
        </w:rPr>
        <w:t xml:space="preserve"> (medical documentation indicating a previously neurologically unimpaired individual who developed an RPD syndrome lasting less than 4 years and showed LBP in the neocortical or limbic stage at post-mortem examination). Of note, in 18 out of 22 </w:t>
      </w:r>
      <w:proofErr w:type="spellStart"/>
      <w:r w:rsidRPr="00186F52">
        <w:rPr>
          <w:rFonts w:ascii="Times New Roman" w:hAnsi="Times New Roman" w:cs="Times New Roman"/>
          <w:lang w:val="en-GB"/>
        </w:rPr>
        <w:t>rpDLB</w:t>
      </w:r>
      <w:proofErr w:type="spellEnd"/>
      <w:r w:rsidRPr="00186F52">
        <w:rPr>
          <w:rFonts w:ascii="Times New Roman" w:hAnsi="Times New Roman" w:cs="Times New Roman"/>
          <w:lang w:val="en-GB"/>
        </w:rPr>
        <w:t xml:space="preserve"> cases eventually included, disease duration was &lt;2 years. </w:t>
      </w:r>
    </w:p>
    <w:p w14:paraId="6E323E15" w14:textId="79CB553F" w:rsidR="00030619" w:rsidRPr="00030619" w:rsidRDefault="00F80C87" w:rsidP="00097643">
      <w:pPr>
        <w:jc w:val="both"/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t xml:space="preserve">CJD and </w:t>
      </w:r>
      <w:proofErr w:type="spellStart"/>
      <w:r>
        <w:rPr>
          <w:rFonts w:ascii="Times New Roman" w:hAnsi="Times New Roman" w:cs="Times New Roman"/>
          <w:b/>
          <w:bCs/>
          <w:lang w:val="en-GB"/>
        </w:rPr>
        <w:t>rpAD</w:t>
      </w:r>
      <w:proofErr w:type="spellEnd"/>
      <w:r w:rsidR="00030619" w:rsidRPr="00030619">
        <w:rPr>
          <w:rFonts w:ascii="Times New Roman" w:hAnsi="Times New Roman" w:cs="Times New Roman"/>
          <w:b/>
          <w:bCs/>
          <w:lang w:val="en-GB"/>
        </w:rPr>
        <w:t xml:space="preserve"> </w:t>
      </w:r>
      <w:proofErr w:type="gramStart"/>
      <w:r w:rsidR="00030619" w:rsidRPr="00030619">
        <w:rPr>
          <w:rFonts w:ascii="Times New Roman" w:hAnsi="Times New Roman" w:cs="Times New Roman"/>
          <w:b/>
          <w:bCs/>
          <w:lang w:val="en-GB"/>
        </w:rPr>
        <w:t>cohort</w:t>
      </w:r>
      <w:r>
        <w:rPr>
          <w:rFonts w:ascii="Times New Roman" w:hAnsi="Times New Roman" w:cs="Times New Roman"/>
          <w:b/>
          <w:bCs/>
          <w:lang w:val="en-GB"/>
        </w:rPr>
        <w:t>s</w:t>
      </w:r>
      <w:proofErr w:type="gramEnd"/>
      <w:r w:rsidR="00030619" w:rsidRPr="00030619">
        <w:rPr>
          <w:rFonts w:ascii="Times New Roman" w:hAnsi="Times New Roman" w:cs="Times New Roman"/>
          <w:b/>
          <w:bCs/>
          <w:lang w:val="en-GB"/>
        </w:rPr>
        <w:t xml:space="preserve"> selection</w:t>
      </w:r>
    </w:p>
    <w:p w14:paraId="05003131" w14:textId="74656DC5" w:rsidR="00030619" w:rsidRDefault="00F80C87" w:rsidP="00030619">
      <w:pPr>
        <w:jc w:val="both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t xml:space="preserve">The </w:t>
      </w:r>
      <w:r w:rsidR="00030619">
        <w:rPr>
          <w:rFonts w:ascii="Times New Roman" w:hAnsi="Times New Roman" w:cs="Times New Roman"/>
          <w:lang w:val="en-GB"/>
        </w:rPr>
        <w:t>CJD</w:t>
      </w:r>
      <w:r w:rsidR="00030619" w:rsidRPr="00030619">
        <w:rPr>
          <w:rFonts w:ascii="Times New Roman" w:hAnsi="Times New Roman" w:cs="Times New Roman"/>
          <w:lang w:val="en-GB"/>
        </w:rPr>
        <w:t xml:space="preserve"> </w:t>
      </w:r>
      <w:r w:rsidR="00030619">
        <w:rPr>
          <w:rFonts w:ascii="Times New Roman" w:hAnsi="Times New Roman" w:cs="Times New Roman"/>
          <w:lang w:val="en-GB"/>
        </w:rPr>
        <w:t xml:space="preserve">cohort included </w:t>
      </w:r>
      <w:r>
        <w:rPr>
          <w:rFonts w:ascii="Times New Roman" w:hAnsi="Times New Roman" w:cs="Times New Roman"/>
          <w:lang w:val="en-GB"/>
        </w:rPr>
        <w:t xml:space="preserve">a consecutive series of </w:t>
      </w:r>
      <w:r w:rsidR="00B54A30">
        <w:rPr>
          <w:rFonts w:ascii="Times New Roman" w:hAnsi="Times New Roman" w:cs="Times New Roman"/>
          <w:lang w:val="en-GB"/>
        </w:rPr>
        <w:t>100</w:t>
      </w:r>
      <w:r w:rsidR="00F919E2">
        <w:rPr>
          <w:rFonts w:ascii="Times New Roman" w:hAnsi="Times New Roman" w:cs="Times New Roman"/>
          <w:lang w:val="en-GB"/>
        </w:rPr>
        <w:t xml:space="preserve"> </w:t>
      </w:r>
      <w:r w:rsidR="00030619" w:rsidRPr="00186F52">
        <w:rPr>
          <w:rFonts w:ascii="Times New Roman" w:hAnsi="Times New Roman" w:cs="Times New Roman"/>
          <w:lang w:val="en-GB"/>
        </w:rPr>
        <w:t>previously neurologically unimpaired individual</w:t>
      </w:r>
      <w:r>
        <w:rPr>
          <w:rFonts w:ascii="Times New Roman" w:hAnsi="Times New Roman" w:cs="Times New Roman"/>
          <w:lang w:val="en-GB"/>
        </w:rPr>
        <w:t>s</w:t>
      </w:r>
      <w:r w:rsidR="00030619" w:rsidRPr="00186F52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>who developed</w:t>
      </w:r>
      <w:r w:rsidR="00030619" w:rsidRPr="00186F52">
        <w:rPr>
          <w:rFonts w:ascii="Times New Roman" w:hAnsi="Times New Roman" w:cs="Times New Roman"/>
          <w:lang w:val="en-GB"/>
        </w:rPr>
        <w:t xml:space="preserve"> a</w:t>
      </w:r>
      <w:r>
        <w:rPr>
          <w:rFonts w:ascii="Times New Roman" w:hAnsi="Times New Roman" w:cs="Times New Roman"/>
          <w:lang w:val="en-GB"/>
        </w:rPr>
        <w:t xml:space="preserve"> </w:t>
      </w:r>
      <w:r w:rsidR="002D30AA">
        <w:rPr>
          <w:rFonts w:ascii="Times New Roman" w:hAnsi="Times New Roman" w:cs="Times New Roman"/>
          <w:lang w:val="en-GB"/>
        </w:rPr>
        <w:t>rapidly progressive</w:t>
      </w:r>
      <w:r>
        <w:rPr>
          <w:rFonts w:ascii="Times New Roman" w:hAnsi="Times New Roman" w:cs="Times New Roman"/>
          <w:lang w:val="en-GB"/>
        </w:rPr>
        <w:t xml:space="preserve"> neurological syndrome and showed neuropathological findings consistent with CJD </w:t>
      </w:r>
      <w:r w:rsidR="00030619" w:rsidRPr="00030619">
        <w:rPr>
          <w:rFonts w:ascii="Times New Roman" w:hAnsi="Times New Roman" w:cs="Times New Roman"/>
          <w:lang w:val="en-US"/>
        </w:rPr>
        <w:t>[1]</w:t>
      </w:r>
      <w:r>
        <w:rPr>
          <w:rFonts w:ascii="Times New Roman" w:hAnsi="Times New Roman" w:cs="Times New Roman"/>
          <w:lang w:val="en-GB"/>
        </w:rPr>
        <w:t>, sent to our center from</w:t>
      </w:r>
      <w:r w:rsidR="00B54A30">
        <w:rPr>
          <w:rFonts w:ascii="Times New Roman" w:hAnsi="Times New Roman" w:cs="Times New Roman"/>
          <w:lang w:val="en-GB"/>
        </w:rPr>
        <w:t xml:space="preserve"> 2013</w:t>
      </w:r>
      <w:r>
        <w:rPr>
          <w:rFonts w:ascii="Times New Roman" w:hAnsi="Times New Roman" w:cs="Times New Roman"/>
          <w:lang w:val="en-GB"/>
        </w:rPr>
        <w:t xml:space="preserve"> to </w:t>
      </w:r>
      <w:r w:rsidR="00B54A30">
        <w:rPr>
          <w:rFonts w:ascii="Times New Roman" w:hAnsi="Times New Roman" w:cs="Times New Roman"/>
          <w:lang w:val="en-GB"/>
        </w:rPr>
        <w:t>2022</w:t>
      </w:r>
      <w:r>
        <w:rPr>
          <w:rFonts w:ascii="Times New Roman" w:hAnsi="Times New Roman" w:cs="Times New Roman"/>
          <w:lang w:val="en-GB"/>
        </w:rPr>
        <w:t xml:space="preserve"> for RPD diagnostic assessment. </w:t>
      </w:r>
      <w:r w:rsidR="007B43E4">
        <w:rPr>
          <w:rFonts w:ascii="Times New Roman" w:hAnsi="Times New Roman" w:cs="Times New Roman"/>
          <w:lang w:val="en-GB"/>
        </w:rPr>
        <w:t xml:space="preserve">The overall cohort comprised </w:t>
      </w:r>
      <w:r w:rsidR="00B54A30">
        <w:rPr>
          <w:rFonts w:ascii="Times New Roman" w:hAnsi="Times New Roman" w:cs="Times New Roman"/>
          <w:lang w:val="en-GB"/>
        </w:rPr>
        <w:t>68</w:t>
      </w:r>
      <w:r w:rsidR="007B43E4">
        <w:rPr>
          <w:rFonts w:ascii="Times New Roman" w:hAnsi="Times New Roman" w:cs="Times New Roman"/>
          <w:lang w:val="en-GB"/>
        </w:rPr>
        <w:t xml:space="preserve"> MM(V)1, </w:t>
      </w:r>
      <w:r w:rsidR="00B54A30">
        <w:rPr>
          <w:rFonts w:ascii="Times New Roman" w:hAnsi="Times New Roman" w:cs="Times New Roman"/>
          <w:lang w:val="en-GB"/>
        </w:rPr>
        <w:t>13</w:t>
      </w:r>
      <w:r w:rsidR="007B43E4">
        <w:rPr>
          <w:rFonts w:ascii="Times New Roman" w:hAnsi="Times New Roman" w:cs="Times New Roman"/>
          <w:lang w:val="en-GB"/>
        </w:rPr>
        <w:t xml:space="preserve"> VV2, </w:t>
      </w:r>
      <w:r w:rsidR="00BF51E4">
        <w:rPr>
          <w:rFonts w:ascii="Times New Roman" w:hAnsi="Times New Roman" w:cs="Times New Roman"/>
          <w:lang w:val="en-GB"/>
        </w:rPr>
        <w:t>13</w:t>
      </w:r>
      <w:r w:rsidR="007B43E4">
        <w:rPr>
          <w:rFonts w:ascii="Times New Roman" w:hAnsi="Times New Roman" w:cs="Times New Roman"/>
          <w:lang w:val="en-GB"/>
        </w:rPr>
        <w:t xml:space="preserve"> MV2K, </w:t>
      </w:r>
      <w:r w:rsidR="00BF51E4">
        <w:rPr>
          <w:rFonts w:ascii="Times New Roman" w:hAnsi="Times New Roman" w:cs="Times New Roman"/>
          <w:lang w:val="en-GB"/>
        </w:rPr>
        <w:t>5</w:t>
      </w:r>
      <w:r w:rsidR="007B43E4">
        <w:rPr>
          <w:rFonts w:ascii="Times New Roman" w:hAnsi="Times New Roman" w:cs="Times New Roman"/>
          <w:lang w:val="en-GB"/>
        </w:rPr>
        <w:t xml:space="preserve"> MM(V)2C, </w:t>
      </w:r>
      <w:r w:rsidR="00BF51E4">
        <w:rPr>
          <w:rFonts w:ascii="Times New Roman" w:hAnsi="Times New Roman" w:cs="Times New Roman"/>
          <w:lang w:val="en-GB"/>
        </w:rPr>
        <w:t>and</w:t>
      </w:r>
      <w:r w:rsidR="007B43E4">
        <w:rPr>
          <w:rFonts w:ascii="Times New Roman" w:hAnsi="Times New Roman" w:cs="Times New Roman"/>
          <w:lang w:val="en-GB"/>
        </w:rPr>
        <w:t xml:space="preserve"> </w:t>
      </w:r>
      <w:r w:rsidR="00BF51E4">
        <w:rPr>
          <w:rFonts w:ascii="Times New Roman" w:hAnsi="Times New Roman" w:cs="Times New Roman"/>
          <w:lang w:val="en-GB"/>
        </w:rPr>
        <w:t>1</w:t>
      </w:r>
      <w:r w:rsidR="007B43E4">
        <w:rPr>
          <w:rFonts w:ascii="Times New Roman" w:hAnsi="Times New Roman" w:cs="Times New Roman"/>
          <w:lang w:val="en-GB"/>
        </w:rPr>
        <w:t xml:space="preserve"> VV1</w:t>
      </w:r>
      <w:r w:rsidR="00BF51E4">
        <w:rPr>
          <w:rFonts w:ascii="Times New Roman" w:hAnsi="Times New Roman" w:cs="Times New Roman"/>
          <w:lang w:val="en-GB"/>
        </w:rPr>
        <w:t xml:space="preserve"> patients</w:t>
      </w:r>
      <w:r w:rsidR="007B43E4">
        <w:rPr>
          <w:rFonts w:ascii="Times New Roman" w:hAnsi="Times New Roman" w:cs="Times New Roman"/>
          <w:lang w:val="en-GB"/>
        </w:rPr>
        <w:t>.</w:t>
      </w:r>
      <w:r w:rsidR="00BF51E4">
        <w:rPr>
          <w:rFonts w:ascii="Times New Roman" w:hAnsi="Times New Roman" w:cs="Times New Roman"/>
          <w:lang w:val="en-GB"/>
        </w:rPr>
        <w:t xml:space="preserve"> </w:t>
      </w:r>
      <w:r w:rsidR="00BF51E4" w:rsidRPr="00BF51E4">
        <w:rPr>
          <w:rFonts w:ascii="Times New Roman" w:hAnsi="Times New Roman" w:cs="Times New Roman"/>
          <w:lang w:val="en-GB"/>
        </w:rPr>
        <w:t>Among these, 2</w:t>
      </w:r>
      <w:r w:rsidR="00BF51E4">
        <w:rPr>
          <w:rFonts w:ascii="Times New Roman" w:hAnsi="Times New Roman" w:cs="Times New Roman"/>
          <w:lang w:val="en-GB"/>
        </w:rPr>
        <w:t>3</w:t>
      </w:r>
      <w:r w:rsidR="00BF51E4" w:rsidRPr="00BF51E4">
        <w:rPr>
          <w:rFonts w:ascii="Times New Roman" w:hAnsi="Times New Roman" w:cs="Times New Roman"/>
          <w:lang w:val="en-GB"/>
        </w:rPr>
        <w:t xml:space="preserve"> patients showing a mixed subtype were classified based on the dominant histotype according to published criteria</w:t>
      </w:r>
      <w:r w:rsidR="00BF51E4">
        <w:rPr>
          <w:rFonts w:ascii="Times New Roman" w:hAnsi="Times New Roman" w:cs="Times New Roman"/>
          <w:lang w:val="en-GB"/>
        </w:rPr>
        <w:t xml:space="preserve"> </w:t>
      </w:r>
      <w:r w:rsidR="00BF51E4" w:rsidRPr="00BF51E4">
        <w:rPr>
          <w:rFonts w:ascii="Times New Roman" w:hAnsi="Times New Roman" w:cs="Times New Roman"/>
          <w:lang w:val="en-US"/>
        </w:rPr>
        <w:t>[2]</w:t>
      </w:r>
      <w:r w:rsidR="00BF51E4">
        <w:rPr>
          <w:rFonts w:ascii="Times New Roman" w:hAnsi="Times New Roman" w:cs="Times New Roman"/>
          <w:lang w:val="en-GB"/>
        </w:rPr>
        <w:t>.</w:t>
      </w:r>
    </w:p>
    <w:p w14:paraId="4E469AC7" w14:textId="4A7D2E6D" w:rsidR="00030619" w:rsidRPr="00030619" w:rsidRDefault="00F80C87" w:rsidP="00097643">
      <w:pPr>
        <w:jc w:val="both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/>
        </w:rPr>
        <w:t xml:space="preserve">The </w:t>
      </w:r>
      <w:proofErr w:type="spellStart"/>
      <w:r>
        <w:rPr>
          <w:rFonts w:ascii="Times New Roman" w:hAnsi="Times New Roman" w:cs="Times New Roman"/>
          <w:lang w:val="en-GB"/>
        </w:rPr>
        <w:t>rpAD</w:t>
      </w:r>
      <w:proofErr w:type="spellEnd"/>
      <w:r>
        <w:rPr>
          <w:rFonts w:ascii="Times New Roman" w:hAnsi="Times New Roman" w:cs="Times New Roman"/>
          <w:lang w:val="en-GB"/>
        </w:rPr>
        <w:t xml:space="preserve"> cohort included </w:t>
      </w:r>
      <w:r w:rsidR="00F919E2">
        <w:rPr>
          <w:rFonts w:ascii="Times New Roman" w:hAnsi="Times New Roman" w:cs="Times New Roman"/>
          <w:lang w:val="en-GB"/>
        </w:rPr>
        <w:t xml:space="preserve">all subjects sent to our center for RPD diagnostic assessment with </w:t>
      </w:r>
      <w:r w:rsidR="00F919E2" w:rsidRPr="00186F52">
        <w:rPr>
          <w:rFonts w:ascii="Times New Roman" w:hAnsi="Times New Roman" w:cs="Times New Roman"/>
          <w:lang w:val="en-GB"/>
        </w:rPr>
        <w:t xml:space="preserve">medical </w:t>
      </w:r>
      <w:r w:rsidR="00F919E2">
        <w:rPr>
          <w:rFonts w:ascii="Times New Roman" w:hAnsi="Times New Roman" w:cs="Times New Roman"/>
          <w:lang w:val="en-GB"/>
        </w:rPr>
        <w:t>charts</w:t>
      </w:r>
      <w:r w:rsidR="00F919E2" w:rsidRPr="00186F52">
        <w:rPr>
          <w:rFonts w:ascii="Times New Roman" w:hAnsi="Times New Roman" w:cs="Times New Roman"/>
          <w:lang w:val="en-GB"/>
        </w:rPr>
        <w:t xml:space="preserve"> indicating a previously neurologically unimpaired individual who developed an RPD syndrome lasting less than 4 years and </w:t>
      </w:r>
      <w:r w:rsidR="00F919E2">
        <w:rPr>
          <w:rFonts w:ascii="Times New Roman" w:hAnsi="Times New Roman" w:cs="Times New Roman"/>
          <w:lang w:val="en-GB"/>
        </w:rPr>
        <w:t xml:space="preserve">who </w:t>
      </w:r>
      <w:r w:rsidR="00F919E2" w:rsidRPr="00186F52">
        <w:rPr>
          <w:rFonts w:ascii="Times New Roman" w:hAnsi="Times New Roman" w:cs="Times New Roman"/>
          <w:lang w:val="en-GB"/>
        </w:rPr>
        <w:t xml:space="preserve">showed </w:t>
      </w:r>
      <w:r w:rsidR="00F919E2">
        <w:rPr>
          <w:rFonts w:ascii="Times New Roman" w:hAnsi="Times New Roman" w:cs="Times New Roman"/>
          <w:lang w:val="en-GB"/>
        </w:rPr>
        <w:t xml:space="preserve">AD neuropathological changes as primary neuropathological diagnosis </w:t>
      </w:r>
      <w:r w:rsidR="00F919E2" w:rsidRPr="00186F52">
        <w:rPr>
          <w:rFonts w:ascii="Times New Roman" w:hAnsi="Times New Roman" w:cs="Times New Roman"/>
          <w:lang w:val="en-GB"/>
        </w:rPr>
        <w:t>at post-mortem examination</w:t>
      </w:r>
      <w:r w:rsidR="00F919E2">
        <w:rPr>
          <w:rFonts w:ascii="Times New Roman" w:hAnsi="Times New Roman" w:cs="Times New Roman"/>
          <w:lang w:val="en-GB"/>
        </w:rPr>
        <w:t xml:space="preserve">. </w:t>
      </w:r>
      <w:r w:rsidR="00F50B7B">
        <w:rPr>
          <w:rFonts w:ascii="Times New Roman" w:hAnsi="Times New Roman" w:cs="Times New Roman"/>
          <w:lang w:val="en-GB"/>
        </w:rPr>
        <w:t xml:space="preserve">As per inclusion criteria, none of </w:t>
      </w:r>
      <w:proofErr w:type="spellStart"/>
      <w:r w:rsidR="00F50B7B">
        <w:rPr>
          <w:rFonts w:ascii="Times New Roman" w:hAnsi="Times New Roman" w:cs="Times New Roman"/>
          <w:lang w:val="en-GB"/>
        </w:rPr>
        <w:t>rpAD</w:t>
      </w:r>
      <w:proofErr w:type="spellEnd"/>
      <w:r w:rsidR="00F50B7B">
        <w:rPr>
          <w:rFonts w:ascii="Times New Roman" w:hAnsi="Times New Roman" w:cs="Times New Roman"/>
          <w:lang w:val="en-GB"/>
        </w:rPr>
        <w:t xml:space="preserve"> patients showed LBP in limbic or neocortical stages</w:t>
      </w:r>
      <w:r w:rsidR="00AB295B">
        <w:rPr>
          <w:rFonts w:ascii="Times New Roman" w:hAnsi="Times New Roman" w:cs="Times New Roman"/>
          <w:lang w:val="en-GB"/>
        </w:rPr>
        <w:t>.</w:t>
      </w:r>
      <w:r w:rsidR="00F50B7B">
        <w:rPr>
          <w:rFonts w:ascii="Times New Roman" w:hAnsi="Times New Roman" w:cs="Times New Roman"/>
          <w:lang w:val="en-GB"/>
        </w:rPr>
        <w:t xml:space="preserve"> T</w:t>
      </w:r>
      <w:r w:rsidR="00615703">
        <w:rPr>
          <w:rFonts w:ascii="Times New Roman" w:hAnsi="Times New Roman" w:cs="Times New Roman"/>
          <w:lang w:val="en-GB"/>
        </w:rPr>
        <w:t xml:space="preserve">he overall </w:t>
      </w:r>
      <w:proofErr w:type="spellStart"/>
      <w:r w:rsidR="00615703">
        <w:rPr>
          <w:rFonts w:ascii="Times New Roman" w:hAnsi="Times New Roman" w:cs="Times New Roman"/>
          <w:lang w:val="en-GB"/>
        </w:rPr>
        <w:t>rpAD</w:t>
      </w:r>
      <w:proofErr w:type="spellEnd"/>
      <w:r w:rsidR="00615703">
        <w:rPr>
          <w:rFonts w:ascii="Times New Roman" w:hAnsi="Times New Roman" w:cs="Times New Roman"/>
          <w:lang w:val="en-GB"/>
        </w:rPr>
        <w:t xml:space="preserve"> cohort included 31 patients.</w:t>
      </w:r>
    </w:p>
    <w:p w14:paraId="32924F5A" w14:textId="1D8FE121" w:rsidR="00097643" w:rsidRPr="00097643" w:rsidRDefault="00097643" w:rsidP="00097643">
      <w:pPr>
        <w:jc w:val="both"/>
        <w:rPr>
          <w:rFonts w:ascii="Times New Roman" w:hAnsi="Times New Roman" w:cs="Times New Roman"/>
          <w:b/>
          <w:bCs/>
          <w:lang w:val="en-US"/>
        </w:rPr>
      </w:pPr>
      <w:r w:rsidRPr="00097643">
        <w:rPr>
          <w:rFonts w:ascii="Times New Roman" w:hAnsi="Times New Roman" w:cs="Times New Roman"/>
          <w:b/>
          <w:bCs/>
          <w:lang w:val="en-US"/>
        </w:rPr>
        <w:t>Neuropathology score composition</w:t>
      </w:r>
    </w:p>
    <w:p w14:paraId="31FAEDF6" w14:textId="1F7D56B4" w:rsidR="00097643" w:rsidRPr="00097643" w:rsidRDefault="00097643" w:rsidP="00097643">
      <w:pPr>
        <w:jc w:val="both"/>
        <w:rPr>
          <w:rFonts w:ascii="Times New Roman" w:hAnsi="Times New Roman" w:cs="Times New Roman"/>
          <w:lang w:val="en-US"/>
        </w:rPr>
      </w:pPr>
      <w:r w:rsidRPr="00097643">
        <w:rPr>
          <w:rFonts w:ascii="Times New Roman" w:hAnsi="Times New Roman" w:cs="Times New Roman"/>
          <w:lang w:val="en-US"/>
        </w:rPr>
        <w:t xml:space="preserve">Each </w:t>
      </w:r>
      <w:proofErr w:type="spellStart"/>
      <w:r w:rsidRPr="00097643">
        <w:rPr>
          <w:rFonts w:ascii="Times New Roman" w:hAnsi="Times New Roman" w:cs="Times New Roman"/>
          <w:lang w:val="en-US"/>
        </w:rPr>
        <w:t>rpDLB</w:t>
      </w:r>
      <w:proofErr w:type="spellEnd"/>
      <w:r w:rsidRPr="00097643">
        <w:rPr>
          <w:rFonts w:ascii="Times New Roman" w:hAnsi="Times New Roman" w:cs="Times New Roman"/>
          <w:lang w:val="en-US"/>
        </w:rPr>
        <w:t xml:space="preserve"> case was given a composite neuropathology score (NP score) obtained by </w:t>
      </w:r>
      <w:proofErr w:type="gramStart"/>
      <w:r w:rsidRPr="00097643">
        <w:rPr>
          <w:rFonts w:ascii="Times New Roman" w:hAnsi="Times New Roman" w:cs="Times New Roman"/>
          <w:lang w:val="en-US"/>
        </w:rPr>
        <w:t>taking into account</w:t>
      </w:r>
      <w:proofErr w:type="gramEnd"/>
      <w:r w:rsidRPr="00097643">
        <w:rPr>
          <w:rFonts w:ascii="Times New Roman" w:hAnsi="Times New Roman" w:cs="Times New Roman"/>
          <w:lang w:val="en-US"/>
        </w:rPr>
        <w:t xml:space="preserve"> the following NP lesions: Alzheimer’s disease neuropathological changes (AD), atherosclerosis, small vessel disease (SVD), vascular brain injury (VBI), cerebral amyloid angiopathy (CAA) </w:t>
      </w:r>
      <w:r w:rsidR="00BF51E4" w:rsidRPr="00BF51E4">
        <w:rPr>
          <w:rFonts w:ascii="Times New Roman" w:hAnsi="Times New Roman" w:cs="Times New Roman"/>
          <w:lang w:val="en-US"/>
        </w:rPr>
        <w:t>[3,4]</w:t>
      </w:r>
      <w:r w:rsidRPr="00097643">
        <w:rPr>
          <w:rFonts w:ascii="Times New Roman" w:hAnsi="Times New Roman" w:cs="Times New Roman"/>
          <w:lang w:val="en-US"/>
        </w:rPr>
        <w:t xml:space="preserve">. Lesions were scored into four categories of increasing severity (none=0, mild=1, moderate=2, and severe=3). For VBI-SVD sections three sub-variables (infarcts/lacunes, hemorrhages, and SVD), were coded into binary variables (no=0, yes=1) and then summed up (ranging from 0 to 3). Further points were added in case “other pathologies” (including hippocampal sclerosis (HS), primary age-related tauopathy [PART], </w:t>
      </w:r>
      <w:r w:rsidRPr="00097643">
        <w:rPr>
          <w:rFonts w:ascii="Times New Roman" w:hAnsi="Times New Roman" w:cs="Times New Roman"/>
          <w:bCs/>
          <w:lang w:val="en-GB"/>
        </w:rPr>
        <w:t>limbic-predominant age-</w:t>
      </w:r>
      <w:r w:rsidRPr="00097643">
        <w:rPr>
          <w:rFonts w:ascii="Times New Roman" w:hAnsi="Times New Roman" w:cs="Times New Roman"/>
          <w:bCs/>
          <w:lang w:val="en-GB"/>
        </w:rPr>
        <w:lastRenderedPageBreak/>
        <w:t>related TDP-43 encephalopathy [LATE]</w:t>
      </w:r>
      <w:r w:rsidRPr="00097643">
        <w:rPr>
          <w:rFonts w:ascii="Times New Roman" w:hAnsi="Times New Roman" w:cs="Times New Roman"/>
          <w:lang w:val="en-US"/>
        </w:rPr>
        <w:t xml:space="preserve">), coded as binary variables, were present (no=0, yes=1) </w:t>
      </w:r>
      <w:r w:rsidR="00BF51E4" w:rsidRPr="00BF51E4">
        <w:rPr>
          <w:rFonts w:ascii="Times New Roman" w:hAnsi="Times New Roman" w:cs="Times New Roman"/>
          <w:lang w:val="en-US"/>
        </w:rPr>
        <w:t>[5,6]</w:t>
      </w:r>
      <w:r w:rsidRPr="00097643">
        <w:rPr>
          <w:rFonts w:ascii="Times New Roman" w:hAnsi="Times New Roman" w:cs="Times New Roman"/>
          <w:lang w:val="en-US"/>
        </w:rPr>
        <w:t xml:space="preserve">. Further details on NP score calculation are reported in Supplementary Table 1. </w:t>
      </w:r>
    </w:p>
    <w:p w14:paraId="0287CE0A" w14:textId="77777777" w:rsidR="00097643" w:rsidRPr="00097643" w:rsidRDefault="00097643" w:rsidP="00097643">
      <w:pPr>
        <w:jc w:val="both"/>
        <w:rPr>
          <w:rFonts w:ascii="Times New Roman" w:hAnsi="Times New Roman" w:cs="Times New Roman"/>
          <w:b/>
          <w:bCs/>
          <w:lang w:val="en-US"/>
        </w:rPr>
      </w:pPr>
      <w:r w:rsidRPr="00097643">
        <w:rPr>
          <w:rFonts w:ascii="Times New Roman" w:hAnsi="Times New Roman" w:cs="Times New Roman"/>
          <w:b/>
          <w:bCs/>
          <w:lang w:val="en-US"/>
        </w:rPr>
        <w:t xml:space="preserve">Patients and control cohorts in LBP assessment and </w:t>
      </w:r>
      <w:r w:rsidRPr="00097643">
        <w:rPr>
          <w:rFonts w:ascii="Times New Roman" w:hAnsi="Times New Roman" w:cs="Times New Roman"/>
          <w:b/>
          <w:bCs/>
          <w:lang w:val="en-GB"/>
        </w:rPr>
        <w:t>αSyn RT-QuIC SAA experiments</w:t>
      </w:r>
    </w:p>
    <w:p w14:paraId="2EF7F6AD" w14:textId="766F45CE" w:rsidR="00097643" w:rsidRPr="00097643" w:rsidRDefault="00097643" w:rsidP="00097643">
      <w:pPr>
        <w:jc w:val="both"/>
        <w:rPr>
          <w:rFonts w:ascii="Times New Roman" w:hAnsi="Times New Roman" w:cs="Times New Roman"/>
          <w:lang w:val="en-US"/>
        </w:rPr>
      </w:pPr>
      <w:r w:rsidRPr="00097643">
        <w:rPr>
          <w:rFonts w:ascii="Times New Roman" w:hAnsi="Times New Roman" w:cs="Times New Roman"/>
          <w:lang w:val="en-US"/>
        </w:rPr>
        <w:t xml:space="preserve">LBP assessment through immunohistochemistry was performed in the whole </w:t>
      </w:r>
      <w:proofErr w:type="spellStart"/>
      <w:r w:rsidRPr="00097643">
        <w:rPr>
          <w:rFonts w:ascii="Times New Roman" w:hAnsi="Times New Roman" w:cs="Times New Roman"/>
          <w:lang w:val="en-US"/>
        </w:rPr>
        <w:t>rpDLB</w:t>
      </w:r>
      <w:proofErr w:type="spellEnd"/>
      <w:r w:rsidRPr="00097643">
        <w:rPr>
          <w:rFonts w:ascii="Times New Roman" w:hAnsi="Times New Roman" w:cs="Times New Roman"/>
          <w:lang w:val="en-US"/>
        </w:rPr>
        <w:t xml:space="preserve"> cohort (age at death: 75.0 [73.0-80.0] years</w:t>
      </w:r>
      <w:r w:rsidR="00B01A8F">
        <w:rPr>
          <w:rFonts w:ascii="Times New Roman" w:hAnsi="Times New Roman" w:cs="Times New Roman"/>
          <w:lang w:val="en-US"/>
        </w:rPr>
        <w:t xml:space="preserve">; disease duration: </w:t>
      </w:r>
      <w:r w:rsidR="00B01A8F" w:rsidRPr="00B01A8F">
        <w:rPr>
          <w:rFonts w:ascii="Times New Roman" w:hAnsi="Times New Roman" w:cs="Times New Roman"/>
          <w:lang w:val="en-GB"/>
        </w:rPr>
        <w:t xml:space="preserve">7.5 </w:t>
      </w:r>
      <w:r w:rsidR="00B01A8F">
        <w:rPr>
          <w:rFonts w:ascii="Times New Roman" w:hAnsi="Times New Roman" w:cs="Times New Roman"/>
          <w:lang w:val="en-GB"/>
        </w:rPr>
        <w:t>[</w:t>
      </w:r>
      <w:r w:rsidR="00B01A8F" w:rsidRPr="00B01A8F">
        <w:rPr>
          <w:rFonts w:ascii="Times New Roman" w:hAnsi="Times New Roman" w:cs="Times New Roman"/>
          <w:lang w:val="en-GB"/>
        </w:rPr>
        <w:t>2.0-21.0</w:t>
      </w:r>
      <w:r w:rsidR="00B01A8F">
        <w:rPr>
          <w:rFonts w:ascii="Times New Roman" w:hAnsi="Times New Roman" w:cs="Times New Roman"/>
          <w:lang w:val="en-GB"/>
        </w:rPr>
        <w:t>] months</w:t>
      </w:r>
      <w:r w:rsidRPr="00097643">
        <w:rPr>
          <w:rFonts w:ascii="Times New Roman" w:hAnsi="Times New Roman" w:cs="Times New Roman"/>
          <w:lang w:val="en-US"/>
        </w:rPr>
        <w:t>) and a control group of eight patients with typical LBD with dementia (age at death: 80 [77.3-81.8] years; disease duration: 11.0 [5.5-19.0] years). Age at death was not significantly different between the two groups.</w:t>
      </w:r>
      <w:r w:rsidR="00490136">
        <w:rPr>
          <w:rFonts w:ascii="Times New Roman" w:hAnsi="Times New Roman" w:cs="Times New Roman"/>
          <w:lang w:val="en-US"/>
        </w:rPr>
        <w:t xml:space="preserve"> </w:t>
      </w:r>
    </w:p>
    <w:p w14:paraId="45EAC97B" w14:textId="05F3F318" w:rsidR="00097643" w:rsidRDefault="00097643" w:rsidP="009C75E8">
      <w:pPr>
        <w:jc w:val="both"/>
        <w:rPr>
          <w:rFonts w:ascii="Times New Roman" w:hAnsi="Times New Roman" w:cs="Times New Roman"/>
          <w:lang w:val="en-US"/>
        </w:rPr>
      </w:pPr>
      <w:r w:rsidRPr="00097643">
        <w:rPr>
          <w:rFonts w:ascii="Times New Roman" w:hAnsi="Times New Roman" w:cs="Times New Roman"/>
          <w:lang w:val="en-US"/>
        </w:rPr>
        <w:t xml:space="preserve">Quantification of </w:t>
      </w:r>
      <w:r w:rsidRPr="00097643">
        <w:rPr>
          <w:rFonts w:ascii="Times New Roman" w:hAnsi="Times New Roman" w:cs="Times New Roman"/>
          <w:lang w:val="en-GB"/>
        </w:rPr>
        <w:t xml:space="preserve">αSyn seeding activity was performed in brain homogenates from five rpDLB patients </w:t>
      </w:r>
      <w:r w:rsidRPr="00097643">
        <w:rPr>
          <w:rFonts w:ascii="Times New Roman" w:hAnsi="Times New Roman" w:cs="Times New Roman"/>
          <w:lang w:val="en-US"/>
        </w:rPr>
        <w:t>(age at death: 75.0 [73.0-77.0] years; disease duration: 2.0 [1.0-3.0] months)</w:t>
      </w:r>
      <w:r w:rsidRPr="00097643">
        <w:rPr>
          <w:rFonts w:ascii="Times New Roman" w:hAnsi="Times New Roman" w:cs="Times New Roman"/>
          <w:lang w:val="en-GB"/>
        </w:rPr>
        <w:t xml:space="preserve"> and a control group of five patients with typical LBD with dementia </w:t>
      </w:r>
      <w:r w:rsidRPr="00097643">
        <w:rPr>
          <w:rFonts w:ascii="Times New Roman" w:hAnsi="Times New Roman" w:cs="Times New Roman"/>
          <w:lang w:val="en-US"/>
        </w:rPr>
        <w:t xml:space="preserve">(age at death: 79.0 [72.0-81.0] years; disease duration: 12.0 [10.0-19.0] years). Age at death was not significantly different between the two groups. </w:t>
      </w:r>
    </w:p>
    <w:p w14:paraId="78B78049" w14:textId="77777777" w:rsidR="00186F52" w:rsidRDefault="00186F52" w:rsidP="009C75E8">
      <w:pPr>
        <w:jc w:val="both"/>
        <w:rPr>
          <w:rFonts w:ascii="Times New Roman" w:hAnsi="Times New Roman" w:cs="Times New Roman"/>
          <w:lang w:val="en-US"/>
        </w:rPr>
      </w:pPr>
    </w:p>
    <w:p w14:paraId="7FEA0BD4" w14:textId="77777777" w:rsidR="00BC1A5B" w:rsidRDefault="00BC1A5B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</w:p>
    <w:p w14:paraId="3A9ED7C2" w14:textId="7AC81134" w:rsidR="00AA718C" w:rsidRPr="00097643" w:rsidRDefault="00097643" w:rsidP="00097643">
      <w:pPr>
        <w:spacing w:line="480" w:lineRule="auto"/>
        <w:jc w:val="both"/>
        <w:rPr>
          <w:rFonts w:ascii="Times New Roman" w:eastAsiaTheme="minorEastAsia" w:hAnsi="Times New Roman" w:cs="Times New Roman"/>
          <w:b/>
          <w:bCs/>
          <w:kern w:val="0"/>
          <w:lang w:val="en-US"/>
          <w14:ligatures w14:val="none"/>
        </w:rPr>
      </w:pPr>
      <w:r w:rsidRPr="00097643">
        <w:rPr>
          <w:rFonts w:ascii="Times New Roman" w:eastAsiaTheme="minorEastAsia" w:hAnsi="Times New Roman" w:cs="Times New Roman"/>
          <w:b/>
          <w:bCs/>
          <w:kern w:val="0"/>
          <w:lang w:val="en-US"/>
          <w14:ligatures w14:val="none"/>
        </w:rPr>
        <w:t xml:space="preserve">Supplementary Tables </w:t>
      </w:r>
    </w:p>
    <w:p w14:paraId="2481D402" w14:textId="77777777" w:rsidR="00097643" w:rsidRPr="00097643" w:rsidRDefault="00097643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  <w:r w:rsidRPr="00097643">
        <w:rPr>
          <w:rFonts w:ascii="Times New Roman" w:eastAsiaTheme="minorEastAsia" w:hAnsi="Times New Roman" w:cs="Times New Roman"/>
          <w:kern w:val="0"/>
          <w:lang w:val="en-US"/>
          <w14:ligatures w14:val="none"/>
        </w:rPr>
        <w:t>Supplementary Table 1 – NP score composition</w:t>
      </w:r>
    </w:p>
    <w:tbl>
      <w:tblPr>
        <w:tblStyle w:val="Grigliatabella1"/>
        <w:tblW w:w="0" w:type="auto"/>
        <w:tblLook w:val="04A0" w:firstRow="1" w:lastRow="0" w:firstColumn="1" w:lastColumn="0" w:noHBand="0" w:noVBand="1"/>
      </w:tblPr>
      <w:tblGrid>
        <w:gridCol w:w="3256"/>
        <w:gridCol w:w="3827"/>
      </w:tblGrid>
      <w:tr w:rsidR="00097643" w:rsidRPr="00097643" w14:paraId="50B89E48" w14:textId="77777777" w:rsidTr="00A3167F">
        <w:tc>
          <w:tcPr>
            <w:tcW w:w="3256" w:type="dxa"/>
          </w:tcPr>
          <w:p w14:paraId="23AF052E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097643">
              <w:rPr>
                <w:rFonts w:ascii="Times New Roman" w:hAnsi="Times New Roman" w:cs="Times New Roman"/>
                <w:b/>
                <w:bCs/>
                <w:lang w:val="en-US"/>
              </w:rPr>
              <w:t>NP lesion</w:t>
            </w:r>
          </w:p>
        </w:tc>
        <w:tc>
          <w:tcPr>
            <w:tcW w:w="3827" w:type="dxa"/>
          </w:tcPr>
          <w:p w14:paraId="0C666EE2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097643">
              <w:rPr>
                <w:rFonts w:ascii="Times New Roman" w:hAnsi="Times New Roman" w:cs="Times New Roman"/>
                <w:b/>
                <w:bCs/>
                <w:lang w:val="en-US"/>
              </w:rPr>
              <w:t>Score</w:t>
            </w:r>
          </w:p>
        </w:tc>
      </w:tr>
      <w:tr w:rsidR="00097643" w:rsidRPr="00097643" w14:paraId="0973F481" w14:textId="77777777" w:rsidTr="00A3167F">
        <w:tc>
          <w:tcPr>
            <w:tcW w:w="3256" w:type="dxa"/>
          </w:tcPr>
          <w:p w14:paraId="559D0340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>AD</w:t>
            </w:r>
          </w:p>
        </w:tc>
        <w:tc>
          <w:tcPr>
            <w:tcW w:w="3827" w:type="dxa"/>
          </w:tcPr>
          <w:p w14:paraId="039298F4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 xml:space="preserve">0: none </w:t>
            </w:r>
          </w:p>
          <w:p w14:paraId="2A026EEE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>1: ABC score – low</w:t>
            </w:r>
          </w:p>
          <w:p w14:paraId="3A667355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</w:rPr>
            </w:pPr>
            <w:r w:rsidRPr="00097643">
              <w:rPr>
                <w:rFonts w:ascii="Times New Roman" w:hAnsi="Times New Roman" w:cs="Times New Roman"/>
              </w:rPr>
              <w:t>2: ABC score – intermediate</w:t>
            </w:r>
          </w:p>
          <w:p w14:paraId="076359AD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</w:rPr>
            </w:pPr>
            <w:r w:rsidRPr="00097643">
              <w:rPr>
                <w:rFonts w:ascii="Times New Roman" w:hAnsi="Times New Roman" w:cs="Times New Roman"/>
              </w:rPr>
              <w:t>3: ABC score – high</w:t>
            </w:r>
          </w:p>
        </w:tc>
      </w:tr>
      <w:tr w:rsidR="00097643" w:rsidRPr="00097643" w14:paraId="1DB42BA8" w14:textId="77777777" w:rsidTr="00A3167F">
        <w:tc>
          <w:tcPr>
            <w:tcW w:w="3256" w:type="dxa"/>
          </w:tcPr>
          <w:p w14:paraId="4077A43F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>Atherosclerosis</w:t>
            </w:r>
          </w:p>
        </w:tc>
        <w:tc>
          <w:tcPr>
            <w:tcW w:w="3827" w:type="dxa"/>
          </w:tcPr>
          <w:p w14:paraId="48E4E53F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>0: none</w:t>
            </w:r>
          </w:p>
          <w:p w14:paraId="103B6BFE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>1: mild</w:t>
            </w:r>
          </w:p>
          <w:p w14:paraId="52AABB66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>2: moderate</w:t>
            </w:r>
          </w:p>
          <w:p w14:paraId="7AE426DF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>3: severe</w:t>
            </w:r>
          </w:p>
        </w:tc>
      </w:tr>
      <w:tr w:rsidR="00097643" w:rsidRPr="00097643" w14:paraId="6E8FC8AC" w14:textId="77777777" w:rsidTr="00A3167F">
        <w:tc>
          <w:tcPr>
            <w:tcW w:w="3256" w:type="dxa"/>
          </w:tcPr>
          <w:p w14:paraId="23FB7C36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>VBI and SVD</w:t>
            </w:r>
          </w:p>
        </w:tc>
        <w:tc>
          <w:tcPr>
            <w:tcW w:w="3827" w:type="dxa"/>
          </w:tcPr>
          <w:p w14:paraId="01D8F598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>infarcts/lacunes: 0: absent; 1: present</w:t>
            </w:r>
          </w:p>
          <w:p w14:paraId="7B5270C0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>hemorrhages: 0: absent; 1: present</w:t>
            </w:r>
          </w:p>
          <w:p w14:paraId="24BC8039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>SVD: 0: absent; 1: present</w:t>
            </w:r>
          </w:p>
        </w:tc>
      </w:tr>
      <w:tr w:rsidR="00097643" w:rsidRPr="00097643" w14:paraId="61688F32" w14:textId="77777777" w:rsidTr="00A3167F">
        <w:tc>
          <w:tcPr>
            <w:tcW w:w="3256" w:type="dxa"/>
          </w:tcPr>
          <w:p w14:paraId="1D1250A5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>CAA</w:t>
            </w:r>
          </w:p>
        </w:tc>
        <w:tc>
          <w:tcPr>
            <w:tcW w:w="3827" w:type="dxa"/>
          </w:tcPr>
          <w:p w14:paraId="62AC7B9E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>0: none</w:t>
            </w:r>
          </w:p>
          <w:p w14:paraId="0E0F46A6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>1: mild</w:t>
            </w:r>
          </w:p>
          <w:p w14:paraId="7B161782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>2: moderate</w:t>
            </w:r>
          </w:p>
          <w:p w14:paraId="1990C1D4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>3: severe</w:t>
            </w:r>
          </w:p>
        </w:tc>
      </w:tr>
      <w:tr w:rsidR="00097643" w:rsidRPr="00097643" w14:paraId="347F66F6" w14:textId="77777777" w:rsidTr="00A3167F">
        <w:tc>
          <w:tcPr>
            <w:tcW w:w="3256" w:type="dxa"/>
          </w:tcPr>
          <w:p w14:paraId="034A5F50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>Other pathologies</w:t>
            </w:r>
          </w:p>
        </w:tc>
        <w:tc>
          <w:tcPr>
            <w:tcW w:w="3827" w:type="dxa"/>
          </w:tcPr>
          <w:p w14:paraId="573733FD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>HS: 0: absent; 1: present</w:t>
            </w:r>
          </w:p>
          <w:p w14:paraId="7BD24607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>PART: 0: absent; 1: present</w:t>
            </w:r>
          </w:p>
          <w:p w14:paraId="4CD57892" w14:textId="77777777" w:rsidR="00097643" w:rsidRPr="00097643" w:rsidRDefault="00097643" w:rsidP="00097643">
            <w:pPr>
              <w:jc w:val="both"/>
              <w:rPr>
                <w:rFonts w:ascii="Times New Roman" w:hAnsi="Times New Roman" w:cs="Times New Roman"/>
                <w:lang w:val="en-US"/>
              </w:rPr>
            </w:pPr>
            <w:r w:rsidRPr="00097643">
              <w:rPr>
                <w:rFonts w:ascii="Times New Roman" w:hAnsi="Times New Roman" w:cs="Times New Roman"/>
                <w:lang w:val="en-US"/>
              </w:rPr>
              <w:t>LATE: 0: absent; 1: present</w:t>
            </w:r>
          </w:p>
        </w:tc>
      </w:tr>
    </w:tbl>
    <w:p w14:paraId="0CB46D7E" w14:textId="3FC6AF0F" w:rsidR="00BA0F61" w:rsidRPr="00BA0F61" w:rsidRDefault="00097643" w:rsidP="00BA0F61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14:ligatures w14:val="none"/>
        </w:rPr>
      </w:pPr>
      <w:proofErr w:type="spellStart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>Abbreviations</w:t>
      </w:r>
      <w:proofErr w:type="spellEnd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 xml:space="preserve">: AD, </w:t>
      </w:r>
      <w:proofErr w:type="spellStart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>Alzheimer’s</w:t>
      </w:r>
      <w:proofErr w:type="spellEnd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 xml:space="preserve"> </w:t>
      </w:r>
      <w:proofErr w:type="spellStart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>disease</w:t>
      </w:r>
      <w:proofErr w:type="spellEnd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 xml:space="preserve">; CAA, </w:t>
      </w:r>
      <w:proofErr w:type="spellStart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>cerebral</w:t>
      </w:r>
      <w:proofErr w:type="spellEnd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 xml:space="preserve"> </w:t>
      </w:r>
      <w:proofErr w:type="spellStart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>amyloid</w:t>
      </w:r>
      <w:proofErr w:type="spellEnd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 xml:space="preserve"> </w:t>
      </w:r>
      <w:proofErr w:type="spellStart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>angiopathy</w:t>
      </w:r>
      <w:proofErr w:type="spellEnd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 xml:space="preserve">; HS, </w:t>
      </w:r>
      <w:proofErr w:type="spellStart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>hippocampal</w:t>
      </w:r>
      <w:proofErr w:type="spellEnd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 xml:space="preserve"> </w:t>
      </w:r>
      <w:proofErr w:type="spellStart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>sclerosis</w:t>
      </w:r>
      <w:proofErr w:type="spellEnd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 xml:space="preserve">; LATE, </w:t>
      </w:r>
      <w:proofErr w:type="spellStart"/>
      <w:r w:rsidRPr="00BA0F61">
        <w:rPr>
          <w:rFonts w:ascii="Times New Roman" w:eastAsiaTheme="minorEastAsia" w:hAnsi="Times New Roman" w:cs="Times New Roman"/>
          <w:bCs/>
          <w:kern w:val="0"/>
          <w14:ligatures w14:val="none"/>
        </w:rPr>
        <w:t>limbic-predominant</w:t>
      </w:r>
      <w:proofErr w:type="spellEnd"/>
      <w:r w:rsidRPr="00BA0F61">
        <w:rPr>
          <w:rFonts w:ascii="Times New Roman" w:eastAsiaTheme="minorEastAsia" w:hAnsi="Times New Roman" w:cs="Times New Roman"/>
          <w:bCs/>
          <w:kern w:val="0"/>
          <w14:ligatures w14:val="none"/>
        </w:rPr>
        <w:t xml:space="preserve"> age-</w:t>
      </w:r>
      <w:proofErr w:type="spellStart"/>
      <w:r w:rsidRPr="00BA0F61">
        <w:rPr>
          <w:rFonts w:ascii="Times New Roman" w:eastAsiaTheme="minorEastAsia" w:hAnsi="Times New Roman" w:cs="Times New Roman"/>
          <w:bCs/>
          <w:kern w:val="0"/>
          <w14:ligatures w14:val="none"/>
        </w:rPr>
        <w:t>related</w:t>
      </w:r>
      <w:proofErr w:type="spellEnd"/>
      <w:r w:rsidRPr="00BA0F61">
        <w:rPr>
          <w:rFonts w:ascii="Times New Roman" w:eastAsiaTheme="minorEastAsia" w:hAnsi="Times New Roman" w:cs="Times New Roman"/>
          <w:bCs/>
          <w:kern w:val="0"/>
          <w14:ligatures w14:val="none"/>
        </w:rPr>
        <w:t xml:space="preserve"> TDP-43 </w:t>
      </w:r>
      <w:proofErr w:type="spellStart"/>
      <w:r w:rsidRPr="00BA0F61">
        <w:rPr>
          <w:rFonts w:ascii="Times New Roman" w:eastAsiaTheme="minorEastAsia" w:hAnsi="Times New Roman" w:cs="Times New Roman"/>
          <w:bCs/>
          <w:kern w:val="0"/>
          <w14:ligatures w14:val="none"/>
        </w:rPr>
        <w:t>encephalopathy</w:t>
      </w:r>
      <w:proofErr w:type="spellEnd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 xml:space="preserve">; PART, </w:t>
      </w:r>
      <w:proofErr w:type="spellStart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>primary</w:t>
      </w:r>
      <w:proofErr w:type="spellEnd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 xml:space="preserve"> age-</w:t>
      </w:r>
      <w:proofErr w:type="spellStart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>related</w:t>
      </w:r>
      <w:proofErr w:type="spellEnd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 xml:space="preserve"> </w:t>
      </w:r>
      <w:proofErr w:type="spellStart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>tauopathy</w:t>
      </w:r>
      <w:proofErr w:type="spellEnd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 xml:space="preserve">; SVD, small vessel </w:t>
      </w:r>
      <w:proofErr w:type="spellStart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>disease</w:t>
      </w:r>
      <w:proofErr w:type="spellEnd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 xml:space="preserve">; VBI, </w:t>
      </w:r>
      <w:proofErr w:type="spellStart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>vascular</w:t>
      </w:r>
      <w:proofErr w:type="spellEnd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 xml:space="preserve"> brain </w:t>
      </w:r>
      <w:proofErr w:type="spellStart"/>
      <w:r w:rsidRPr="00BA0F61">
        <w:rPr>
          <w:rFonts w:ascii="Times New Roman" w:eastAsiaTheme="minorEastAsia" w:hAnsi="Times New Roman" w:cs="Times New Roman"/>
          <w:kern w:val="0"/>
          <w14:ligatures w14:val="none"/>
        </w:rPr>
        <w:t>injury</w:t>
      </w:r>
      <w:proofErr w:type="spellEnd"/>
      <w:r w:rsidR="00BA0F61" w:rsidRPr="00BA0F61">
        <w:rPr>
          <w:rFonts w:ascii="Times New Roman" w:eastAsiaTheme="minorEastAsia" w:hAnsi="Times New Roman" w:cs="Times New Roman"/>
          <w:kern w:val="0"/>
          <w14:ligatures w14:val="none"/>
        </w:rPr>
        <w:t xml:space="preserve"> </w:t>
      </w:r>
    </w:p>
    <w:p w14:paraId="107DFA6B" w14:textId="00D94149" w:rsidR="00097643" w:rsidRPr="00BA0F61" w:rsidRDefault="00097643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14:ligatures w14:val="none"/>
        </w:rPr>
      </w:pPr>
    </w:p>
    <w:p w14:paraId="5106B230" w14:textId="77777777" w:rsidR="00AA718C" w:rsidRPr="00BA0F61" w:rsidRDefault="00AA718C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14:ligatures w14:val="none"/>
        </w:rPr>
      </w:pPr>
    </w:p>
    <w:p w14:paraId="4AAFBF51" w14:textId="77777777" w:rsidR="00AA718C" w:rsidRPr="00BA0F61" w:rsidRDefault="00AA718C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14:ligatures w14:val="none"/>
        </w:rPr>
      </w:pPr>
    </w:p>
    <w:p w14:paraId="0C575249" w14:textId="3E743249" w:rsidR="00AA718C" w:rsidRPr="00BA0F61" w:rsidRDefault="00BA0F61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  <w:r w:rsidRPr="00BA0F61">
        <w:rPr>
          <w:rFonts w:ascii="Times New Roman" w:eastAsiaTheme="minorEastAsia" w:hAnsi="Times New Roman" w:cs="Times New Roman"/>
          <w:kern w:val="0"/>
          <w:lang w:val="en-US"/>
          <w14:ligatures w14:val="none"/>
        </w:rPr>
        <w:lastRenderedPageBreak/>
        <w:t xml:space="preserve">Supplementary Table 2 – </w:t>
      </w:r>
      <w:bookmarkStart w:id="1" w:name="_Hlk172579517"/>
      <w:r w:rsidRPr="00BA0F61">
        <w:rPr>
          <w:rFonts w:ascii="Times New Roman" w:eastAsiaTheme="minorEastAsia" w:hAnsi="Times New Roman" w:cs="Times New Roman"/>
          <w:kern w:val="0"/>
          <w:lang w:val="en-US"/>
          <w14:ligatures w14:val="none"/>
        </w:rPr>
        <w:t>LB score dis</w:t>
      </w:r>
      <w:r>
        <w:rPr>
          <w:rFonts w:ascii="Times New Roman" w:eastAsiaTheme="minorEastAsia" w:hAnsi="Times New Roman" w:cs="Times New Roman"/>
          <w:kern w:val="0"/>
          <w:lang w:val="en-US"/>
          <w14:ligatures w14:val="none"/>
        </w:rPr>
        <w:t xml:space="preserve">tribution per brain area in </w:t>
      </w:r>
      <w:proofErr w:type="spellStart"/>
      <w:r>
        <w:rPr>
          <w:rFonts w:ascii="Times New Roman" w:eastAsiaTheme="minorEastAsia" w:hAnsi="Times New Roman" w:cs="Times New Roman"/>
          <w:kern w:val="0"/>
          <w:lang w:val="en-US"/>
          <w14:ligatures w14:val="none"/>
        </w:rPr>
        <w:t>rpDLB</w:t>
      </w:r>
      <w:proofErr w:type="spellEnd"/>
      <w:r>
        <w:rPr>
          <w:rFonts w:ascii="Times New Roman" w:eastAsiaTheme="minorEastAsia" w:hAnsi="Times New Roman" w:cs="Times New Roman"/>
          <w:kern w:val="0"/>
          <w:lang w:val="en-US"/>
          <w14:ligatures w14:val="none"/>
        </w:rPr>
        <w:t xml:space="preserve"> cases</w:t>
      </w:r>
      <w:bookmarkEnd w:id="1"/>
    </w:p>
    <w:tbl>
      <w:tblPr>
        <w:tblStyle w:val="Grigliatabella"/>
        <w:tblW w:w="0" w:type="auto"/>
        <w:tblInd w:w="-147" w:type="dxa"/>
        <w:tblLook w:val="04A0" w:firstRow="1" w:lastRow="0" w:firstColumn="1" w:lastColumn="0" w:noHBand="0" w:noVBand="1"/>
      </w:tblPr>
      <w:tblGrid>
        <w:gridCol w:w="491"/>
        <w:gridCol w:w="441"/>
        <w:gridCol w:w="401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  <w:gridCol w:w="402"/>
      </w:tblGrid>
      <w:tr w:rsidR="00BA0F61" w:rsidRPr="00637E68" w14:paraId="3576D123" w14:textId="77777777" w:rsidTr="00BA0F61">
        <w:trPr>
          <w:trHeight w:val="290"/>
        </w:trPr>
        <w:tc>
          <w:tcPr>
            <w:tcW w:w="541" w:type="dxa"/>
            <w:vMerge w:val="restart"/>
            <w:noWrap/>
            <w:textDirection w:val="btLr"/>
            <w:hideMark/>
          </w:tcPr>
          <w:p w14:paraId="1DB09478" w14:textId="77777777" w:rsidR="00BA0F61" w:rsidRPr="00084D30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</w:rPr>
            </w:pPr>
            <w:r w:rsidRPr="00084D30">
              <w:rPr>
                <w:rFonts w:ascii="Times New Roman" w:hAnsi="Times New Roman" w:cs="Times New Roman"/>
                <w:b/>
                <w:bCs/>
              </w:rPr>
              <w:t>Case N</w:t>
            </w:r>
          </w:p>
          <w:p w14:paraId="1A3C8F3F" w14:textId="77777777" w:rsidR="00BA0F61" w:rsidRPr="00084D30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438" w:type="dxa"/>
            <w:vMerge w:val="restart"/>
            <w:textDirection w:val="btLr"/>
            <w:hideMark/>
          </w:tcPr>
          <w:p w14:paraId="20501A96" w14:textId="77777777" w:rsidR="00BA0F61" w:rsidRPr="00084D30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</w:rPr>
            </w:pPr>
            <w:r w:rsidRPr="00084D30">
              <w:rPr>
                <w:rFonts w:ascii="Times New Roman" w:hAnsi="Times New Roman" w:cs="Times New Roman"/>
                <w:b/>
                <w:bCs/>
              </w:rPr>
              <w:t>LB score</w:t>
            </w:r>
          </w:p>
          <w:p w14:paraId="3C18B6E6" w14:textId="77777777" w:rsidR="00BA0F61" w:rsidRPr="00084D30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796" w:type="dxa"/>
            <w:gridSpan w:val="22"/>
            <w:hideMark/>
          </w:tcPr>
          <w:p w14:paraId="1B2D5732" w14:textId="77777777" w:rsidR="00BA0F61" w:rsidRPr="00637E68" w:rsidRDefault="00BA0F61" w:rsidP="009902DD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84D30">
              <w:rPr>
                <w:rFonts w:ascii="Times New Roman" w:hAnsi="Times New Roman" w:cs="Times New Roman"/>
                <w:b/>
                <w:bCs/>
              </w:rPr>
              <w:t>Brain area</w:t>
            </w:r>
          </w:p>
        </w:tc>
      </w:tr>
      <w:tr w:rsidR="00BA0F61" w:rsidRPr="00637E68" w14:paraId="260D3B05" w14:textId="77777777" w:rsidTr="00BA0F61">
        <w:trPr>
          <w:trHeight w:val="349"/>
        </w:trPr>
        <w:tc>
          <w:tcPr>
            <w:tcW w:w="541" w:type="dxa"/>
            <w:vMerge/>
            <w:noWrap/>
          </w:tcPr>
          <w:p w14:paraId="2A41F97E" w14:textId="77777777" w:rsidR="00BA0F61" w:rsidRPr="00637E68" w:rsidRDefault="00BA0F61" w:rsidP="009902D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438" w:type="dxa"/>
            <w:vMerge/>
          </w:tcPr>
          <w:p w14:paraId="400D1F14" w14:textId="77777777" w:rsidR="00BA0F61" w:rsidRPr="00637E68" w:rsidRDefault="00BA0F61" w:rsidP="009902D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98" w:type="dxa"/>
            <w:gridSpan w:val="2"/>
          </w:tcPr>
          <w:p w14:paraId="526E26F8" w14:textId="77777777" w:rsidR="00BA0F61" w:rsidRPr="00084D30" w:rsidRDefault="00BA0F61" w:rsidP="009902D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84D3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FC</w:t>
            </w:r>
          </w:p>
        </w:tc>
        <w:tc>
          <w:tcPr>
            <w:tcW w:w="798" w:type="dxa"/>
            <w:gridSpan w:val="2"/>
          </w:tcPr>
          <w:p w14:paraId="66D9D6BA" w14:textId="77777777" w:rsidR="00BA0F61" w:rsidRPr="00084D30" w:rsidRDefault="00BA0F61" w:rsidP="009902D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84D3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TC</w:t>
            </w:r>
          </w:p>
        </w:tc>
        <w:tc>
          <w:tcPr>
            <w:tcW w:w="800" w:type="dxa"/>
            <w:gridSpan w:val="2"/>
          </w:tcPr>
          <w:p w14:paraId="4E0F8738" w14:textId="77777777" w:rsidR="00BA0F61" w:rsidRPr="00084D30" w:rsidRDefault="00BA0F61" w:rsidP="009902D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84D3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CIN</w:t>
            </w:r>
          </w:p>
        </w:tc>
        <w:tc>
          <w:tcPr>
            <w:tcW w:w="800" w:type="dxa"/>
            <w:gridSpan w:val="2"/>
          </w:tcPr>
          <w:p w14:paraId="44C34D87" w14:textId="77777777" w:rsidR="00BA0F61" w:rsidRPr="00084D30" w:rsidRDefault="00BA0F61" w:rsidP="009902D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84D3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EC</w:t>
            </w:r>
          </w:p>
        </w:tc>
        <w:tc>
          <w:tcPr>
            <w:tcW w:w="800" w:type="dxa"/>
            <w:gridSpan w:val="2"/>
          </w:tcPr>
          <w:p w14:paraId="13821A40" w14:textId="77777777" w:rsidR="00BA0F61" w:rsidRPr="00084D30" w:rsidRDefault="00BA0F61" w:rsidP="009902D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84D3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HIPP</w:t>
            </w:r>
          </w:p>
        </w:tc>
        <w:tc>
          <w:tcPr>
            <w:tcW w:w="800" w:type="dxa"/>
            <w:gridSpan w:val="2"/>
          </w:tcPr>
          <w:p w14:paraId="0135B370" w14:textId="77777777" w:rsidR="00BA0F61" w:rsidRPr="00084D30" w:rsidRDefault="00BA0F61" w:rsidP="009902D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84D3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AMG</w:t>
            </w:r>
          </w:p>
        </w:tc>
        <w:tc>
          <w:tcPr>
            <w:tcW w:w="800" w:type="dxa"/>
            <w:gridSpan w:val="2"/>
          </w:tcPr>
          <w:p w14:paraId="04318D48" w14:textId="77777777" w:rsidR="00BA0F61" w:rsidRPr="00084D30" w:rsidRDefault="00BA0F61" w:rsidP="009902D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84D3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HYP</w:t>
            </w:r>
          </w:p>
          <w:p w14:paraId="7C05C278" w14:textId="77777777" w:rsidR="00BA0F61" w:rsidRPr="00084D30" w:rsidRDefault="00BA0F61" w:rsidP="009902D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00" w:type="dxa"/>
            <w:gridSpan w:val="2"/>
          </w:tcPr>
          <w:p w14:paraId="04026D97" w14:textId="77777777" w:rsidR="00BA0F61" w:rsidRPr="00084D30" w:rsidRDefault="00BA0F61" w:rsidP="009902D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84D3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BF</w:t>
            </w:r>
          </w:p>
        </w:tc>
        <w:tc>
          <w:tcPr>
            <w:tcW w:w="800" w:type="dxa"/>
            <w:gridSpan w:val="2"/>
          </w:tcPr>
          <w:p w14:paraId="6C32F4F9" w14:textId="77777777" w:rsidR="00BA0F61" w:rsidRPr="00084D30" w:rsidRDefault="00BA0F61" w:rsidP="009902D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84D3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SN</w:t>
            </w:r>
          </w:p>
        </w:tc>
        <w:tc>
          <w:tcPr>
            <w:tcW w:w="800" w:type="dxa"/>
            <w:gridSpan w:val="2"/>
          </w:tcPr>
          <w:p w14:paraId="79ECDA5B" w14:textId="77777777" w:rsidR="00BA0F61" w:rsidRPr="00084D30" w:rsidRDefault="00BA0F61" w:rsidP="009902D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84D3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</w:t>
            </w:r>
          </w:p>
        </w:tc>
        <w:tc>
          <w:tcPr>
            <w:tcW w:w="800" w:type="dxa"/>
            <w:gridSpan w:val="2"/>
          </w:tcPr>
          <w:p w14:paraId="0E81D677" w14:textId="77777777" w:rsidR="00BA0F61" w:rsidRPr="00084D30" w:rsidRDefault="00BA0F61" w:rsidP="009902DD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084D3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MED</w:t>
            </w:r>
          </w:p>
        </w:tc>
      </w:tr>
      <w:tr w:rsidR="00BA0F61" w:rsidRPr="00637E68" w14:paraId="302D6421" w14:textId="77777777" w:rsidTr="00BA0F61">
        <w:trPr>
          <w:cantSplit/>
          <w:trHeight w:val="491"/>
        </w:trPr>
        <w:tc>
          <w:tcPr>
            <w:tcW w:w="541" w:type="dxa"/>
            <w:vMerge/>
            <w:noWrap/>
          </w:tcPr>
          <w:p w14:paraId="649DF39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38" w:type="dxa"/>
            <w:vMerge/>
          </w:tcPr>
          <w:p w14:paraId="1A972B0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9" w:type="dxa"/>
            <w:textDirection w:val="btLr"/>
          </w:tcPr>
          <w:p w14:paraId="345B2581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LB</w:t>
            </w:r>
          </w:p>
        </w:tc>
        <w:tc>
          <w:tcPr>
            <w:tcW w:w="399" w:type="dxa"/>
            <w:textDirection w:val="btLr"/>
          </w:tcPr>
          <w:p w14:paraId="27BA9DE8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LN</w:t>
            </w:r>
          </w:p>
        </w:tc>
        <w:tc>
          <w:tcPr>
            <w:tcW w:w="399" w:type="dxa"/>
            <w:textDirection w:val="btLr"/>
          </w:tcPr>
          <w:p w14:paraId="3D48912B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LB</w:t>
            </w:r>
          </w:p>
        </w:tc>
        <w:tc>
          <w:tcPr>
            <w:tcW w:w="399" w:type="dxa"/>
            <w:textDirection w:val="btLr"/>
          </w:tcPr>
          <w:p w14:paraId="23F5E7D4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LN</w:t>
            </w:r>
          </w:p>
        </w:tc>
        <w:tc>
          <w:tcPr>
            <w:tcW w:w="400" w:type="dxa"/>
            <w:textDirection w:val="btLr"/>
          </w:tcPr>
          <w:p w14:paraId="2BCB7540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LB</w:t>
            </w:r>
          </w:p>
        </w:tc>
        <w:tc>
          <w:tcPr>
            <w:tcW w:w="400" w:type="dxa"/>
            <w:textDirection w:val="btLr"/>
          </w:tcPr>
          <w:p w14:paraId="375DEBCC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LN</w:t>
            </w:r>
          </w:p>
        </w:tc>
        <w:tc>
          <w:tcPr>
            <w:tcW w:w="400" w:type="dxa"/>
            <w:textDirection w:val="btLr"/>
          </w:tcPr>
          <w:p w14:paraId="292BB8E4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LB</w:t>
            </w:r>
          </w:p>
        </w:tc>
        <w:tc>
          <w:tcPr>
            <w:tcW w:w="400" w:type="dxa"/>
            <w:textDirection w:val="btLr"/>
          </w:tcPr>
          <w:p w14:paraId="0D60DD1F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LN</w:t>
            </w:r>
          </w:p>
        </w:tc>
        <w:tc>
          <w:tcPr>
            <w:tcW w:w="400" w:type="dxa"/>
            <w:textDirection w:val="btLr"/>
          </w:tcPr>
          <w:p w14:paraId="580F9D04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LB</w:t>
            </w:r>
          </w:p>
        </w:tc>
        <w:tc>
          <w:tcPr>
            <w:tcW w:w="400" w:type="dxa"/>
            <w:textDirection w:val="btLr"/>
          </w:tcPr>
          <w:p w14:paraId="6A07897A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LN</w:t>
            </w:r>
          </w:p>
        </w:tc>
        <w:tc>
          <w:tcPr>
            <w:tcW w:w="400" w:type="dxa"/>
            <w:textDirection w:val="btLr"/>
          </w:tcPr>
          <w:p w14:paraId="3E320428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LB</w:t>
            </w:r>
          </w:p>
        </w:tc>
        <w:tc>
          <w:tcPr>
            <w:tcW w:w="400" w:type="dxa"/>
            <w:textDirection w:val="btLr"/>
          </w:tcPr>
          <w:p w14:paraId="1FD64F85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LN</w:t>
            </w:r>
          </w:p>
        </w:tc>
        <w:tc>
          <w:tcPr>
            <w:tcW w:w="400" w:type="dxa"/>
            <w:textDirection w:val="btLr"/>
          </w:tcPr>
          <w:p w14:paraId="7BB564C0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LB</w:t>
            </w:r>
          </w:p>
        </w:tc>
        <w:tc>
          <w:tcPr>
            <w:tcW w:w="400" w:type="dxa"/>
            <w:textDirection w:val="btLr"/>
          </w:tcPr>
          <w:p w14:paraId="78E705DE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LN</w:t>
            </w:r>
          </w:p>
        </w:tc>
        <w:tc>
          <w:tcPr>
            <w:tcW w:w="400" w:type="dxa"/>
            <w:textDirection w:val="btLr"/>
          </w:tcPr>
          <w:p w14:paraId="51D91A0C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LB</w:t>
            </w:r>
          </w:p>
        </w:tc>
        <w:tc>
          <w:tcPr>
            <w:tcW w:w="400" w:type="dxa"/>
            <w:textDirection w:val="btLr"/>
          </w:tcPr>
          <w:p w14:paraId="10C916B4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LN</w:t>
            </w:r>
          </w:p>
        </w:tc>
        <w:tc>
          <w:tcPr>
            <w:tcW w:w="400" w:type="dxa"/>
            <w:textDirection w:val="btLr"/>
          </w:tcPr>
          <w:p w14:paraId="0D78B0CA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LB</w:t>
            </w:r>
          </w:p>
        </w:tc>
        <w:tc>
          <w:tcPr>
            <w:tcW w:w="400" w:type="dxa"/>
            <w:textDirection w:val="btLr"/>
          </w:tcPr>
          <w:p w14:paraId="6A22EE1A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LN</w:t>
            </w:r>
          </w:p>
        </w:tc>
        <w:tc>
          <w:tcPr>
            <w:tcW w:w="400" w:type="dxa"/>
            <w:textDirection w:val="btLr"/>
          </w:tcPr>
          <w:p w14:paraId="5915488A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LB</w:t>
            </w:r>
          </w:p>
        </w:tc>
        <w:tc>
          <w:tcPr>
            <w:tcW w:w="400" w:type="dxa"/>
            <w:textDirection w:val="btLr"/>
          </w:tcPr>
          <w:p w14:paraId="208CC1F5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LN</w:t>
            </w:r>
          </w:p>
        </w:tc>
        <w:tc>
          <w:tcPr>
            <w:tcW w:w="400" w:type="dxa"/>
            <w:textDirection w:val="btLr"/>
          </w:tcPr>
          <w:p w14:paraId="52F99617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LB</w:t>
            </w:r>
          </w:p>
        </w:tc>
        <w:tc>
          <w:tcPr>
            <w:tcW w:w="400" w:type="dxa"/>
            <w:textDirection w:val="btLr"/>
          </w:tcPr>
          <w:p w14:paraId="4BFFD223" w14:textId="77777777" w:rsidR="00BA0F61" w:rsidRPr="00637E68" w:rsidRDefault="00BA0F61" w:rsidP="009902DD">
            <w:pPr>
              <w:ind w:left="113" w:right="113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LN</w:t>
            </w:r>
          </w:p>
        </w:tc>
      </w:tr>
      <w:tr w:rsidR="00BA0F61" w:rsidRPr="00637E68" w14:paraId="771600D3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5867108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#1</w:t>
            </w:r>
          </w:p>
        </w:tc>
        <w:tc>
          <w:tcPr>
            <w:tcW w:w="438" w:type="dxa"/>
            <w:noWrap/>
            <w:hideMark/>
          </w:tcPr>
          <w:p w14:paraId="04F2741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61</w:t>
            </w:r>
          </w:p>
        </w:tc>
        <w:tc>
          <w:tcPr>
            <w:tcW w:w="399" w:type="dxa"/>
            <w:noWrap/>
            <w:hideMark/>
          </w:tcPr>
          <w:p w14:paraId="645BACA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99" w:type="dxa"/>
            <w:noWrap/>
            <w:hideMark/>
          </w:tcPr>
          <w:p w14:paraId="2BFA916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46A7F78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399" w:type="dxa"/>
            <w:noWrap/>
            <w:hideMark/>
          </w:tcPr>
          <w:p w14:paraId="34CECB5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7C5C447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ABA697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5C6D89F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153CE4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71D876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2E0865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A8D634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D25BDA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BE9CF5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3C4195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50E000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524781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320F3B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2334F2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570A5E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D991F6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6568AC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116144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0F61" w:rsidRPr="00637E68" w14:paraId="1B77534A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222A8EA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#2</w:t>
            </w:r>
          </w:p>
        </w:tc>
        <w:tc>
          <w:tcPr>
            <w:tcW w:w="438" w:type="dxa"/>
            <w:noWrap/>
            <w:hideMark/>
          </w:tcPr>
          <w:p w14:paraId="55B0253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56</w:t>
            </w:r>
          </w:p>
        </w:tc>
        <w:tc>
          <w:tcPr>
            <w:tcW w:w="399" w:type="dxa"/>
            <w:noWrap/>
            <w:hideMark/>
          </w:tcPr>
          <w:p w14:paraId="61917D4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399" w:type="dxa"/>
            <w:noWrap/>
            <w:hideMark/>
          </w:tcPr>
          <w:p w14:paraId="25812BF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6780B4F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399" w:type="dxa"/>
            <w:noWrap/>
            <w:hideMark/>
          </w:tcPr>
          <w:p w14:paraId="4FAC3D5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1DB99D2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4CFA32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5CB23CB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CD14CB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447906C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7207167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14F63A0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51C49F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94DC65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7BEFA5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4974D7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B8401A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241718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3AD823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26A468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220D09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FEEC3A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5D51AF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0F61" w:rsidRPr="00637E68" w14:paraId="250557D8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4BC2F92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#3</w:t>
            </w:r>
          </w:p>
        </w:tc>
        <w:tc>
          <w:tcPr>
            <w:tcW w:w="438" w:type="dxa"/>
            <w:noWrap/>
            <w:hideMark/>
          </w:tcPr>
          <w:p w14:paraId="11DD1AA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66</w:t>
            </w:r>
          </w:p>
        </w:tc>
        <w:tc>
          <w:tcPr>
            <w:tcW w:w="399" w:type="dxa"/>
            <w:noWrap/>
            <w:hideMark/>
          </w:tcPr>
          <w:p w14:paraId="6A53FEB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399" w:type="dxa"/>
            <w:noWrap/>
            <w:hideMark/>
          </w:tcPr>
          <w:p w14:paraId="3360677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399" w:type="dxa"/>
            <w:noWrap/>
            <w:hideMark/>
          </w:tcPr>
          <w:p w14:paraId="146EDD3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399" w:type="dxa"/>
            <w:noWrap/>
            <w:hideMark/>
          </w:tcPr>
          <w:p w14:paraId="7C28257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B316A4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1C79E0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2066A2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B2249E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D7B166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617C10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8548E7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EEB621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71F294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17E8A1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E84684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8A1300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ABD4EC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B83B28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665ED5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F500BA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CDD1EE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9F8489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0F61" w:rsidRPr="00637E68" w14:paraId="12580D87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5907B98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#4</w:t>
            </w:r>
          </w:p>
        </w:tc>
        <w:tc>
          <w:tcPr>
            <w:tcW w:w="438" w:type="dxa"/>
            <w:noWrap/>
            <w:hideMark/>
          </w:tcPr>
          <w:p w14:paraId="18657BD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399" w:type="dxa"/>
            <w:noWrap/>
            <w:hideMark/>
          </w:tcPr>
          <w:p w14:paraId="084D7E8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99" w:type="dxa"/>
            <w:noWrap/>
            <w:hideMark/>
          </w:tcPr>
          <w:p w14:paraId="1FFB4E6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06FB344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399" w:type="dxa"/>
            <w:noWrap/>
            <w:hideMark/>
          </w:tcPr>
          <w:p w14:paraId="6E10B15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16FA5D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0339866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50E6668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1F8109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4A1C05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1C5C554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D4104F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2689F6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2B8B95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3AB26E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800662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025ABD4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E1C3CF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C5B7FF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D49D69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4B9415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20D216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CC6D14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0F61" w:rsidRPr="00637E68" w14:paraId="7CE0D83F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570BC15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#5</w:t>
            </w:r>
          </w:p>
        </w:tc>
        <w:tc>
          <w:tcPr>
            <w:tcW w:w="438" w:type="dxa"/>
            <w:noWrap/>
            <w:hideMark/>
          </w:tcPr>
          <w:p w14:paraId="79061E5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54</w:t>
            </w:r>
          </w:p>
        </w:tc>
        <w:tc>
          <w:tcPr>
            <w:tcW w:w="399" w:type="dxa"/>
            <w:noWrap/>
            <w:hideMark/>
          </w:tcPr>
          <w:p w14:paraId="7AC7F99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99" w:type="dxa"/>
            <w:noWrap/>
            <w:hideMark/>
          </w:tcPr>
          <w:p w14:paraId="64BE7F4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99" w:type="dxa"/>
            <w:noWrap/>
            <w:hideMark/>
          </w:tcPr>
          <w:p w14:paraId="7B26936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399" w:type="dxa"/>
            <w:noWrap/>
            <w:hideMark/>
          </w:tcPr>
          <w:p w14:paraId="11F1958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7C0173F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ECABF7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2320386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621CBF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799BCF0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69620DC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71B70A5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613B7C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D7DBB3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B84CF4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10FBE0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3F96B4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2957C1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BC6CE4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4E47C0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C7699F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CFD83E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4B91ED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0F61" w:rsidRPr="00637E68" w14:paraId="0FE33E19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58D4E74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#6</w:t>
            </w:r>
          </w:p>
        </w:tc>
        <w:tc>
          <w:tcPr>
            <w:tcW w:w="438" w:type="dxa"/>
            <w:noWrap/>
            <w:hideMark/>
          </w:tcPr>
          <w:p w14:paraId="7AB9EC3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52</w:t>
            </w:r>
          </w:p>
        </w:tc>
        <w:tc>
          <w:tcPr>
            <w:tcW w:w="399" w:type="dxa"/>
            <w:noWrap/>
            <w:hideMark/>
          </w:tcPr>
          <w:p w14:paraId="49A77D6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99" w:type="dxa"/>
            <w:noWrap/>
            <w:hideMark/>
          </w:tcPr>
          <w:p w14:paraId="3983A63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99" w:type="dxa"/>
            <w:noWrap/>
            <w:hideMark/>
          </w:tcPr>
          <w:p w14:paraId="0A8CBA9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399" w:type="dxa"/>
            <w:noWrap/>
            <w:hideMark/>
          </w:tcPr>
          <w:p w14:paraId="53DE08B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08005B1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0B39E0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55C26B7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EA2079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490A887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34214DA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7CAD3AD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CB719E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7699DF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9DEE26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6A06E0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3AA9A0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2E3C5F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72DD92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4F0EAA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9673D6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8AB2A0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9781C5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0F61" w:rsidRPr="00637E68" w14:paraId="7D76567E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1BD2038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#7</w:t>
            </w:r>
          </w:p>
        </w:tc>
        <w:tc>
          <w:tcPr>
            <w:tcW w:w="438" w:type="dxa"/>
            <w:noWrap/>
            <w:hideMark/>
          </w:tcPr>
          <w:p w14:paraId="62DD04B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39</w:t>
            </w:r>
          </w:p>
        </w:tc>
        <w:tc>
          <w:tcPr>
            <w:tcW w:w="399" w:type="dxa"/>
            <w:noWrap/>
            <w:hideMark/>
          </w:tcPr>
          <w:p w14:paraId="540BAC3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5ED98BF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99" w:type="dxa"/>
            <w:noWrap/>
            <w:hideMark/>
          </w:tcPr>
          <w:p w14:paraId="5ADC985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5BCC3DB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456914C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6B4E50E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3682CCD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52F937F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3DE59D4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2CCEB73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11582C8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EAFEAB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3DCC3B8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F13B99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12C323F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347228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3B047B8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6046FE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3465DD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D8AE84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4FDF09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D02BF6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0F61" w:rsidRPr="00637E68" w14:paraId="0BBFD06E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3FE10BD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#8</w:t>
            </w:r>
          </w:p>
        </w:tc>
        <w:tc>
          <w:tcPr>
            <w:tcW w:w="438" w:type="dxa"/>
            <w:noWrap/>
            <w:hideMark/>
          </w:tcPr>
          <w:p w14:paraId="378F4E6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52</w:t>
            </w:r>
          </w:p>
        </w:tc>
        <w:tc>
          <w:tcPr>
            <w:tcW w:w="399" w:type="dxa"/>
            <w:noWrap/>
            <w:hideMark/>
          </w:tcPr>
          <w:p w14:paraId="0FC0B55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6EF8B8B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99" w:type="dxa"/>
            <w:noWrap/>
            <w:hideMark/>
          </w:tcPr>
          <w:p w14:paraId="56D351F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99" w:type="dxa"/>
            <w:noWrap/>
            <w:hideMark/>
          </w:tcPr>
          <w:p w14:paraId="03FB885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63AAE3E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DF6BEE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6E06B2E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209517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0A86C8C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FD0400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334EA9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018768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588D4F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D5DF39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8570A7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E38BDE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1DA6F3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3E91CB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10092C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E0C538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9EE585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7BEBF5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0F61" w:rsidRPr="00637E68" w14:paraId="370C6076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58ABB6E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#9</w:t>
            </w:r>
          </w:p>
        </w:tc>
        <w:tc>
          <w:tcPr>
            <w:tcW w:w="438" w:type="dxa"/>
            <w:noWrap/>
            <w:hideMark/>
          </w:tcPr>
          <w:p w14:paraId="4E95BC0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52</w:t>
            </w:r>
          </w:p>
        </w:tc>
        <w:tc>
          <w:tcPr>
            <w:tcW w:w="399" w:type="dxa"/>
            <w:noWrap/>
            <w:hideMark/>
          </w:tcPr>
          <w:p w14:paraId="615B994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121359B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99" w:type="dxa"/>
            <w:noWrap/>
            <w:hideMark/>
          </w:tcPr>
          <w:p w14:paraId="0B6561B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99" w:type="dxa"/>
            <w:noWrap/>
            <w:hideMark/>
          </w:tcPr>
          <w:p w14:paraId="4B61EDE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06F0F45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64DA684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29DF27E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109FCD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27369C7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751DC74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272587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7B8A24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136377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7FB8B0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81081F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C571AC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4AB1EA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3C3EF4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EBEF48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EB8677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3661A7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F11559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0F61" w:rsidRPr="00637E68" w14:paraId="2BDC5A7B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70DD5EF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#10</w:t>
            </w:r>
          </w:p>
        </w:tc>
        <w:tc>
          <w:tcPr>
            <w:tcW w:w="438" w:type="dxa"/>
            <w:noWrap/>
            <w:hideMark/>
          </w:tcPr>
          <w:p w14:paraId="77910A3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34</w:t>
            </w:r>
          </w:p>
        </w:tc>
        <w:tc>
          <w:tcPr>
            <w:tcW w:w="399" w:type="dxa"/>
            <w:noWrap/>
            <w:hideMark/>
          </w:tcPr>
          <w:p w14:paraId="12429E3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99" w:type="dxa"/>
            <w:noWrap/>
            <w:hideMark/>
          </w:tcPr>
          <w:p w14:paraId="20BBF4D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99" w:type="dxa"/>
            <w:noWrap/>
            <w:hideMark/>
          </w:tcPr>
          <w:p w14:paraId="65AD1F5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99" w:type="dxa"/>
            <w:noWrap/>
            <w:hideMark/>
          </w:tcPr>
          <w:p w14:paraId="3D9940A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3B510E0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2F94A69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74C8E77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5A63D76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434B864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436B0EE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7D28C90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20B5FCF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00B5A84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404A55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1490C9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A751BC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9B7851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1079E7D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FBF581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AA3BE1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6C0D16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E2EFE3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0F61" w:rsidRPr="00637E68" w14:paraId="5B9F977B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3F87DEE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#11</w:t>
            </w:r>
          </w:p>
        </w:tc>
        <w:tc>
          <w:tcPr>
            <w:tcW w:w="438" w:type="dxa"/>
            <w:noWrap/>
            <w:hideMark/>
          </w:tcPr>
          <w:p w14:paraId="5A7E081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37</w:t>
            </w:r>
          </w:p>
        </w:tc>
        <w:tc>
          <w:tcPr>
            <w:tcW w:w="399" w:type="dxa"/>
            <w:noWrap/>
            <w:hideMark/>
          </w:tcPr>
          <w:p w14:paraId="30088C6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99" w:type="dxa"/>
            <w:noWrap/>
            <w:hideMark/>
          </w:tcPr>
          <w:p w14:paraId="5300356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99" w:type="dxa"/>
            <w:noWrap/>
            <w:hideMark/>
          </w:tcPr>
          <w:p w14:paraId="4A0D50F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99" w:type="dxa"/>
            <w:noWrap/>
            <w:hideMark/>
          </w:tcPr>
          <w:p w14:paraId="7BE6DA9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625C665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0DCED3C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529F274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3EB37CA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06C2F28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7FDF24A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2E8DB49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0D55FF5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37326BF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46428F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1843D7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93788E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28BCB0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7F7AAF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366E27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D0B623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8C400D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2622E8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0F61" w:rsidRPr="00637E68" w14:paraId="79FD4EB9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14832A7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#12</w:t>
            </w:r>
          </w:p>
        </w:tc>
        <w:tc>
          <w:tcPr>
            <w:tcW w:w="438" w:type="dxa"/>
            <w:noWrap/>
            <w:hideMark/>
          </w:tcPr>
          <w:p w14:paraId="0701F15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38</w:t>
            </w:r>
          </w:p>
        </w:tc>
        <w:tc>
          <w:tcPr>
            <w:tcW w:w="399" w:type="dxa"/>
            <w:noWrap/>
            <w:hideMark/>
          </w:tcPr>
          <w:p w14:paraId="7093D6E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72A8C01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99" w:type="dxa"/>
            <w:noWrap/>
            <w:hideMark/>
          </w:tcPr>
          <w:p w14:paraId="4EDD767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21176E4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1AEF787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6FECFD5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71BFCE7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66609FB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23DD273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763772F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4841D70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0E3000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3F85209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1408AC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4192ED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527B93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FF9402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81F1BD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3C7B003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5C4D96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BD656C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8CC203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0F61" w:rsidRPr="00637E68" w14:paraId="4B9F36C2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05C2008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#13</w:t>
            </w:r>
          </w:p>
        </w:tc>
        <w:tc>
          <w:tcPr>
            <w:tcW w:w="438" w:type="dxa"/>
            <w:noWrap/>
            <w:hideMark/>
          </w:tcPr>
          <w:p w14:paraId="7E99FA8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49</w:t>
            </w:r>
          </w:p>
        </w:tc>
        <w:tc>
          <w:tcPr>
            <w:tcW w:w="399" w:type="dxa"/>
            <w:noWrap/>
            <w:hideMark/>
          </w:tcPr>
          <w:p w14:paraId="742DDB1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99" w:type="dxa"/>
            <w:noWrap/>
            <w:hideMark/>
          </w:tcPr>
          <w:p w14:paraId="1E3A387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3A9477C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99" w:type="dxa"/>
            <w:noWrap/>
            <w:hideMark/>
          </w:tcPr>
          <w:p w14:paraId="6CC5067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5D96850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27B6B5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03D1A8C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1D436D7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3ECA81E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79E5A24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798F5C3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BD10BA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DB8307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E287E0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276C38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1370F3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84FABA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3788A5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25F3A2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A4736F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913CC0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78670B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0F61" w:rsidRPr="00637E68" w14:paraId="17ACA19D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36048A3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#14</w:t>
            </w:r>
          </w:p>
        </w:tc>
        <w:tc>
          <w:tcPr>
            <w:tcW w:w="438" w:type="dxa"/>
            <w:noWrap/>
            <w:hideMark/>
          </w:tcPr>
          <w:p w14:paraId="6738373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41</w:t>
            </w:r>
          </w:p>
        </w:tc>
        <w:tc>
          <w:tcPr>
            <w:tcW w:w="399" w:type="dxa"/>
            <w:noWrap/>
            <w:hideMark/>
          </w:tcPr>
          <w:p w14:paraId="72AB899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39C9E6F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99" w:type="dxa"/>
            <w:noWrap/>
            <w:hideMark/>
          </w:tcPr>
          <w:p w14:paraId="11AEFA8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00CE1AF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7DED03E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08BB285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0F07167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1DF618B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0520036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382E1EE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5C63E05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7EA1C5A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1F27F73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B442D0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180784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892221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9339DD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C3AD26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7A704C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D6EF8B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55488E0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B7E4F1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0F61" w:rsidRPr="00637E68" w14:paraId="20ACBEF0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54C0B45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#15</w:t>
            </w:r>
          </w:p>
        </w:tc>
        <w:tc>
          <w:tcPr>
            <w:tcW w:w="438" w:type="dxa"/>
            <w:noWrap/>
            <w:hideMark/>
          </w:tcPr>
          <w:p w14:paraId="7FD433B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45</w:t>
            </w:r>
          </w:p>
        </w:tc>
        <w:tc>
          <w:tcPr>
            <w:tcW w:w="399" w:type="dxa"/>
            <w:noWrap/>
            <w:hideMark/>
          </w:tcPr>
          <w:p w14:paraId="0ACFFA5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67C300B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99" w:type="dxa"/>
            <w:noWrap/>
            <w:hideMark/>
          </w:tcPr>
          <w:p w14:paraId="3EFF600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66137D1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14B32DC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8EF20C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48C8453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613EBD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054AFB3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2894F0C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74E512A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30951C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79339A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61786E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F9EE71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E15414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0759F9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B789EE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D73DF9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0155EF4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8C9A34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A89B9E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0F61" w:rsidRPr="00637E68" w14:paraId="06DEEF5D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1E25BAA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#16</w:t>
            </w:r>
          </w:p>
        </w:tc>
        <w:tc>
          <w:tcPr>
            <w:tcW w:w="438" w:type="dxa"/>
            <w:noWrap/>
            <w:hideMark/>
          </w:tcPr>
          <w:p w14:paraId="28758A3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45</w:t>
            </w:r>
          </w:p>
        </w:tc>
        <w:tc>
          <w:tcPr>
            <w:tcW w:w="399" w:type="dxa"/>
            <w:noWrap/>
            <w:hideMark/>
          </w:tcPr>
          <w:p w14:paraId="4044C7C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99" w:type="dxa"/>
            <w:noWrap/>
            <w:hideMark/>
          </w:tcPr>
          <w:p w14:paraId="29B229E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99" w:type="dxa"/>
            <w:noWrap/>
            <w:hideMark/>
          </w:tcPr>
          <w:p w14:paraId="32FDD39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4EAA1CF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6F253D6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2B0F82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5A2BB28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96CA2C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37ADDD4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240EA19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605B066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F11C61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07E8E89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D300EA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7AFB53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AC741C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932C6A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BFCF05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19CAEA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2E59C0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D9FA48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0772BF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0F61" w:rsidRPr="00637E68" w14:paraId="37FB3349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3191789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#17</w:t>
            </w:r>
          </w:p>
        </w:tc>
        <w:tc>
          <w:tcPr>
            <w:tcW w:w="438" w:type="dxa"/>
            <w:noWrap/>
            <w:hideMark/>
          </w:tcPr>
          <w:p w14:paraId="34CBD60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56</w:t>
            </w:r>
          </w:p>
        </w:tc>
        <w:tc>
          <w:tcPr>
            <w:tcW w:w="399" w:type="dxa"/>
            <w:noWrap/>
            <w:hideMark/>
          </w:tcPr>
          <w:p w14:paraId="0ADDB11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99" w:type="dxa"/>
            <w:noWrap/>
            <w:hideMark/>
          </w:tcPr>
          <w:p w14:paraId="75DF993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1E04E4D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399" w:type="dxa"/>
            <w:noWrap/>
            <w:hideMark/>
          </w:tcPr>
          <w:p w14:paraId="3CCBBF4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6F76095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1E50524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0A7220C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7602CB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FA11C3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02C41D6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38A8034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093A4D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B27FDA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83C0F2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31DDFD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C2166C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8704C5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72E597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82BD1B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41A753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60F76E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A505C8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0F61" w:rsidRPr="00637E68" w14:paraId="12D0E2A7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3AEB5BD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#18</w:t>
            </w:r>
          </w:p>
        </w:tc>
        <w:tc>
          <w:tcPr>
            <w:tcW w:w="438" w:type="dxa"/>
            <w:noWrap/>
            <w:hideMark/>
          </w:tcPr>
          <w:p w14:paraId="722F75F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52</w:t>
            </w:r>
          </w:p>
        </w:tc>
        <w:tc>
          <w:tcPr>
            <w:tcW w:w="399" w:type="dxa"/>
            <w:noWrap/>
            <w:hideMark/>
          </w:tcPr>
          <w:p w14:paraId="21CE42C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00E58ED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99" w:type="dxa"/>
            <w:noWrap/>
            <w:hideMark/>
          </w:tcPr>
          <w:p w14:paraId="01A6665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99" w:type="dxa"/>
            <w:noWrap/>
            <w:hideMark/>
          </w:tcPr>
          <w:p w14:paraId="67B0D7F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065A2B8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4C45CBB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2CA5F3B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58490F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79B9745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AB14B7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EA97CB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72303F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55C52D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1E2740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789B7F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963318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D700E1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ED9607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456CCD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0FC0CB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080E1C8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B62A7E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0F61" w:rsidRPr="00637E68" w14:paraId="572D4CC2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7293D2F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#19</w:t>
            </w:r>
          </w:p>
        </w:tc>
        <w:tc>
          <w:tcPr>
            <w:tcW w:w="438" w:type="dxa"/>
            <w:noWrap/>
            <w:hideMark/>
          </w:tcPr>
          <w:p w14:paraId="2C10632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37</w:t>
            </w:r>
          </w:p>
        </w:tc>
        <w:tc>
          <w:tcPr>
            <w:tcW w:w="399" w:type="dxa"/>
            <w:noWrap/>
            <w:hideMark/>
          </w:tcPr>
          <w:p w14:paraId="0BB9D0D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99" w:type="dxa"/>
            <w:noWrap/>
            <w:hideMark/>
          </w:tcPr>
          <w:p w14:paraId="728D04D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99" w:type="dxa"/>
            <w:noWrap/>
            <w:hideMark/>
          </w:tcPr>
          <w:p w14:paraId="26FEC1C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99" w:type="dxa"/>
            <w:noWrap/>
            <w:hideMark/>
          </w:tcPr>
          <w:p w14:paraId="165CF93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07D25C0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2C20206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6786DB7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3B9D4C5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1C86EB6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7F022FB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11EDD3D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6BE43D2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E0B433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011F19A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2128191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1A57B07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119CF8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63AA39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2A3265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5801F20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5DADDE8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23E32B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0F61" w:rsidRPr="00637E68" w14:paraId="53336B2B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7FE68F0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#20</w:t>
            </w:r>
          </w:p>
        </w:tc>
        <w:tc>
          <w:tcPr>
            <w:tcW w:w="438" w:type="dxa"/>
            <w:noWrap/>
            <w:hideMark/>
          </w:tcPr>
          <w:p w14:paraId="4B0B117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47</w:t>
            </w:r>
          </w:p>
        </w:tc>
        <w:tc>
          <w:tcPr>
            <w:tcW w:w="399" w:type="dxa"/>
            <w:noWrap/>
            <w:hideMark/>
          </w:tcPr>
          <w:p w14:paraId="02A99BA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3FC45F6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99" w:type="dxa"/>
            <w:noWrap/>
            <w:hideMark/>
          </w:tcPr>
          <w:p w14:paraId="6B8DE70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399" w:type="dxa"/>
            <w:noWrap/>
            <w:hideMark/>
          </w:tcPr>
          <w:p w14:paraId="3DE5409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1EEB2E6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3F61026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07A7395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54E758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1DFE754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5E542F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0745C27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A42EBF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462F8D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3F0F39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DBEF85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24A432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5FEFA5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1D5FCB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94E06D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416A90E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3045930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8258A3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BA0F61" w:rsidRPr="00637E68" w14:paraId="3F4DAB65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76A323B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#21</w:t>
            </w:r>
          </w:p>
        </w:tc>
        <w:tc>
          <w:tcPr>
            <w:tcW w:w="438" w:type="dxa"/>
            <w:noWrap/>
            <w:hideMark/>
          </w:tcPr>
          <w:p w14:paraId="6B9E0E2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44</w:t>
            </w:r>
          </w:p>
        </w:tc>
        <w:tc>
          <w:tcPr>
            <w:tcW w:w="399" w:type="dxa"/>
            <w:noWrap/>
            <w:hideMark/>
          </w:tcPr>
          <w:p w14:paraId="2992C75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7EF70DB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399" w:type="dxa"/>
            <w:noWrap/>
            <w:hideMark/>
          </w:tcPr>
          <w:p w14:paraId="66D69BB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521FD0B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29968FD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1017F32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1D8222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5BA2AC6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ABC9F6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013CBEF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1276BD3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70456BE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24A47F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6B891E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51C1E7F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6EDC10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A132DD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CD36EF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65416D4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02FC7F7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2BB381EE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00" w:type="dxa"/>
            <w:noWrap/>
            <w:hideMark/>
          </w:tcPr>
          <w:p w14:paraId="208C3EB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</w:tr>
      <w:tr w:rsidR="00BA0F61" w:rsidRPr="00637E68" w14:paraId="28050588" w14:textId="77777777" w:rsidTr="00BA0F61">
        <w:trPr>
          <w:trHeight w:val="290"/>
        </w:trPr>
        <w:tc>
          <w:tcPr>
            <w:tcW w:w="541" w:type="dxa"/>
            <w:noWrap/>
            <w:hideMark/>
          </w:tcPr>
          <w:p w14:paraId="21B52A25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#22</w:t>
            </w:r>
          </w:p>
        </w:tc>
        <w:tc>
          <w:tcPr>
            <w:tcW w:w="438" w:type="dxa"/>
            <w:noWrap/>
            <w:hideMark/>
          </w:tcPr>
          <w:p w14:paraId="3E1E88DC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53</w:t>
            </w:r>
          </w:p>
        </w:tc>
        <w:tc>
          <w:tcPr>
            <w:tcW w:w="399" w:type="dxa"/>
            <w:noWrap/>
            <w:hideMark/>
          </w:tcPr>
          <w:p w14:paraId="34753B5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399" w:type="dxa"/>
            <w:noWrap/>
            <w:hideMark/>
          </w:tcPr>
          <w:p w14:paraId="10721CC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399" w:type="dxa"/>
            <w:noWrap/>
            <w:hideMark/>
          </w:tcPr>
          <w:p w14:paraId="04C78DB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399" w:type="dxa"/>
            <w:noWrap/>
            <w:hideMark/>
          </w:tcPr>
          <w:p w14:paraId="769348A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0B5796A6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A3B1F9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0936DF89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92A46C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00" w:type="dxa"/>
            <w:noWrap/>
            <w:hideMark/>
          </w:tcPr>
          <w:p w14:paraId="05EA79D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F5016E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00" w:type="dxa"/>
            <w:noWrap/>
            <w:hideMark/>
          </w:tcPr>
          <w:p w14:paraId="0E8A61F3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DDC613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A89A4AA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4D7EDE0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717BACF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466670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678A2FA2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3B524261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5DC945A0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0D80E26B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247AEDCD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400" w:type="dxa"/>
            <w:noWrap/>
            <w:hideMark/>
          </w:tcPr>
          <w:p w14:paraId="1B019D87" w14:textId="77777777" w:rsidR="00BA0F61" w:rsidRPr="00637E68" w:rsidRDefault="00BA0F61" w:rsidP="009902DD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37E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</w:tbl>
    <w:p w14:paraId="32276176" w14:textId="2DEA2016" w:rsidR="00BA0F61" w:rsidRPr="00BA0F61" w:rsidRDefault="00BA0F61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  <w:r w:rsidRPr="00BA0F61">
        <w:rPr>
          <w:rFonts w:ascii="Times New Roman" w:eastAsiaTheme="minorEastAsia" w:hAnsi="Times New Roman" w:cs="Times New Roman"/>
          <w:kern w:val="0"/>
          <w:lang w:val="en-US"/>
          <w14:ligatures w14:val="none"/>
        </w:rPr>
        <w:t xml:space="preserve">LBs and LNs are scored separately. </w:t>
      </w:r>
      <w:r w:rsidRPr="00BA0F61">
        <w:rPr>
          <w:rFonts w:ascii="Times New Roman" w:eastAsiaTheme="minorEastAsia" w:hAnsi="Times New Roman" w:cs="Times New Roman"/>
          <w:kern w:val="0"/>
          <w:lang w:val="en-US"/>
          <w14:ligatures w14:val="none"/>
        </w:rPr>
        <w:t>Abbreviations: AMG, amygdala; CIN, cingulate gyrus; CTRL, controls; EC, entorhinal cortex; FC, frontal cortex; HYP, hypothalamus; H</w:t>
      </w:r>
      <w:r>
        <w:rPr>
          <w:rFonts w:ascii="Times New Roman" w:eastAsiaTheme="minorEastAsia" w:hAnsi="Times New Roman" w:cs="Times New Roman"/>
          <w:kern w:val="0"/>
          <w:lang w:val="en-US"/>
          <w14:ligatures w14:val="none"/>
        </w:rPr>
        <w:t>I</w:t>
      </w:r>
      <w:r w:rsidRPr="00BA0F61">
        <w:rPr>
          <w:rFonts w:ascii="Times New Roman" w:eastAsiaTheme="minorEastAsia" w:hAnsi="Times New Roman" w:cs="Times New Roman"/>
          <w:kern w:val="0"/>
          <w:lang w:val="en-US"/>
          <w14:ligatures w14:val="none"/>
        </w:rPr>
        <w:t>PP, hippocampus; LB, Lewy-body; MED, medulla oblongata; NP, neuropathology; PO, pons; SN, substantia nigra; TC, temporal cortex.</w:t>
      </w:r>
    </w:p>
    <w:p w14:paraId="50AC9A47" w14:textId="77777777" w:rsidR="00BA0F61" w:rsidRPr="00BA0F61" w:rsidRDefault="00BA0F61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</w:p>
    <w:p w14:paraId="1BB73CEA" w14:textId="77777777" w:rsidR="00BA0F61" w:rsidRPr="00BA0F61" w:rsidRDefault="00BA0F61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</w:p>
    <w:p w14:paraId="5FDE60AD" w14:textId="77777777" w:rsidR="00BA0F61" w:rsidRPr="00BA0F61" w:rsidRDefault="00BA0F61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</w:p>
    <w:p w14:paraId="4D98CE69" w14:textId="77777777" w:rsidR="00BA0F61" w:rsidRPr="00BA0F61" w:rsidRDefault="00BA0F61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</w:p>
    <w:p w14:paraId="200D87E1" w14:textId="77777777" w:rsidR="00BA0F61" w:rsidRPr="00BA0F61" w:rsidRDefault="00BA0F61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</w:p>
    <w:p w14:paraId="59656BD3" w14:textId="77777777" w:rsidR="00BA0F61" w:rsidRPr="00BA0F61" w:rsidRDefault="00BA0F61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</w:p>
    <w:p w14:paraId="2885AE8F" w14:textId="5E3BDF76" w:rsidR="00097643" w:rsidRPr="00097643" w:rsidRDefault="00097643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  <w:r w:rsidRPr="00097643">
        <w:rPr>
          <w:rFonts w:ascii="Times New Roman" w:eastAsiaTheme="minorEastAsia" w:hAnsi="Times New Roman" w:cs="Times New Roman"/>
          <w:kern w:val="0"/>
          <w:lang w:val="en-US"/>
          <w14:ligatures w14:val="none"/>
        </w:rPr>
        <w:lastRenderedPageBreak/>
        <w:t xml:space="preserve">Supplementary Table </w:t>
      </w:r>
      <w:r w:rsidR="00BA0F61">
        <w:rPr>
          <w:rFonts w:ascii="Times New Roman" w:eastAsiaTheme="minorEastAsia" w:hAnsi="Times New Roman" w:cs="Times New Roman"/>
          <w:kern w:val="0"/>
          <w:lang w:val="en-US"/>
          <w14:ligatures w14:val="none"/>
        </w:rPr>
        <w:t>3</w:t>
      </w:r>
      <w:r w:rsidRPr="00097643">
        <w:rPr>
          <w:rFonts w:ascii="Times New Roman" w:eastAsiaTheme="minorEastAsia" w:hAnsi="Times New Roman" w:cs="Times New Roman"/>
          <w:kern w:val="0"/>
          <w:lang w:val="en-US"/>
          <w14:ligatures w14:val="none"/>
        </w:rPr>
        <w:t xml:space="preserve"> – Variants in genes related to neurodegenerative conditions identified in rpDLB cases </w:t>
      </w:r>
    </w:p>
    <w:tbl>
      <w:tblPr>
        <w:tblStyle w:val="Grigliatabella1"/>
        <w:tblW w:w="10065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851"/>
        <w:gridCol w:w="1134"/>
        <w:gridCol w:w="1276"/>
        <w:gridCol w:w="1559"/>
        <w:gridCol w:w="1701"/>
        <w:gridCol w:w="2268"/>
        <w:gridCol w:w="1276"/>
      </w:tblGrid>
      <w:tr w:rsidR="00097643" w:rsidRPr="00B52D96" w14:paraId="73BF25C4" w14:textId="77777777" w:rsidTr="00A3167F">
        <w:trPr>
          <w:trHeight w:val="463"/>
        </w:trPr>
        <w:tc>
          <w:tcPr>
            <w:tcW w:w="851" w:type="dxa"/>
          </w:tcPr>
          <w:p w14:paraId="2B867EC4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097643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Case N</w:t>
            </w:r>
          </w:p>
        </w:tc>
        <w:tc>
          <w:tcPr>
            <w:tcW w:w="1134" w:type="dxa"/>
          </w:tcPr>
          <w:p w14:paraId="61B9DE5F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097643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Gene</w:t>
            </w:r>
          </w:p>
        </w:tc>
        <w:tc>
          <w:tcPr>
            <w:tcW w:w="1276" w:type="dxa"/>
          </w:tcPr>
          <w:p w14:paraId="3294D30E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097643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Nucleotide change</w:t>
            </w:r>
          </w:p>
        </w:tc>
        <w:tc>
          <w:tcPr>
            <w:tcW w:w="1559" w:type="dxa"/>
          </w:tcPr>
          <w:p w14:paraId="1271932F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097643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Protein change</w:t>
            </w:r>
          </w:p>
        </w:tc>
        <w:tc>
          <w:tcPr>
            <w:tcW w:w="1701" w:type="dxa"/>
          </w:tcPr>
          <w:p w14:paraId="2A283669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</w:pPr>
            <w:r w:rsidRPr="00097643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GB"/>
              </w:rPr>
              <w:t xml:space="preserve">Franklin ACMG Classification </w:t>
            </w:r>
          </w:p>
          <w:p w14:paraId="63BC26CB" w14:textId="56FDA725" w:rsidR="00097643" w:rsidRPr="00097643" w:rsidRDefault="00BF51E4" w:rsidP="0009764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BF51E4">
              <w:rPr>
                <w:rFonts w:ascii="Times New Roman" w:hAnsi="Times New Roman" w:cs="Times New Roman"/>
                <w:sz w:val="20"/>
              </w:rPr>
              <w:t>[7–9]</w:t>
            </w:r>
          </w:p>
        </w:tc>
        <w:tc>
          <w:tcPr>
            <w:tcW w:w="2268" w:type="dxa"/>
          </w:tcPr>
          <w:p w14:paraId="442932FB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  <w:r w:rsidRPr="00097643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Pathogenicity</w:t>
            </w:r>
          </w:p>
          <w:p w14:paraId="7B959CF9" w14:textId="0826E466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</w:pPr>
            <w:proofErr w:type="spellStart"/>
            <w:r w:rsidRPr="00097643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ClinVar</w:t>
            </w:r>
            <w:proofErr w:type="spellEnd"/>
            <w:r w:rsidRPr="00097643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 </w:t>
            </w:r>
            <w:r w:rsidR="00BF51E4" w:rsidRPr="00BF51E4">
              <w:rPr>
                <w:rFonts w:ascii="Times New Roman" w:hAnsi="Times New Roman" w:cs="Times New Roman"/>
                <w:sz w:val="20"/>
              </w:rPr>
              <w:t>[10]</w:t>
            </w:r>
          </w:p>
          <w:p w14:paraId="35B3FBD6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276" w:type="dxa"/>
          </w:tcPr>
          <w:p w14:paraId="54D1127D" w14:textId="5061FC36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</w:pPr>
            <w:r w:rsidRPr="00097643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Frequency GnomAD</w:t>
            </w:r>
            <w:r w:rsidRPr="00097643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val="en-US"/>
              </w:rPr>
              <w:t xml:space="preserve">1 </w:t>
            </w:r>
            <w:r w:rsidR="00BF51E4" w:rsidRPr="00BF51E4">
              <w:rPr>
                <w:rFonts w:ascii="Times New Roman" w:hAnsi="Times New Roman" w:cs="Times New Roman"/>
                <w:sz w:val="20"/>
                <w:lang w:val="en-US"/>
              </w:rPr>
              <w:t>[11]</w:t>
            </w:r>
          </w:p>
        </w:tc>
      </w:tr>
      <w:tr w:rsidR="00097643" w:rsidRPr="00B52D96" w14:paraId="1DC72B1A" w14:textId="77777777" w:rsidTr="00A3167F">
        <w:trPr>
          <w:trHeight w:val="367"/>
        </w:trPr>
        <w:tc>
          <w:tcPr>
            <w:tcW w:w="851" w:type="dxa"/>
          </w:tcPr>
          <w:p w14:paraId="0718C0AD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#3</w:t>
            </w:r>
          </w:p>
        </w:tc>
        <w:tc>
          <w:tcPr>
            <w:tcW w:w="1134" w:type="dxa"/>
          </w:tcPr>
          <w:p w14:paraId="5BA452AF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  <w:t>EIF4G1</w:t>
            </w:r>
          </w:p>
        </w:tc>
        <w:tc>
          <w:tcPr>
            <w:tcW w:w="1276" w:type="dxa"/>
          </w:tcPr>
          <w:p w14:paraId="4A04F95C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c.37G&gt;C</w:t>
            </w:r>
          </w:p>
        </w:tc>
        <w:tc>
          <w:tcPr>
            <w:tcW w:w="1559" w:type="dxa"/>
          </w:tcPr>
          <w:p w14:paraId="3BDF2CF1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p.Ala13Pro</w:t>
            </w:r>
          </w:p>
        </w:tc>
        <w:tc>
          <w:tcPr>
            <w:tcW w:w="1701" w:type="dxa"/>
          </w:tcPr>
          <w:p w14:paraId="7BCBF050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VUS </w:t>
            </w:r>
          </w:p>
          <w:p w14:paraId="59CF3A4D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(PM2, PP2, BP4)</w:t>
            </w:r>
          </w:p>
        </w:tc>
        <w:tc>
          <w:tcPr>
            <w:tcW w:w="2268" w:type="dxa"/>
          </w:tcPr>
          <w:p w14:paraId="7DFC84F2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NR</w:t>
            </w:r>
          </w:p>
        </w:tc>
        <w:tc>
          <w:tcPr>
            <w:tcW w:w="1276" w:type="dxa"/>
          </w:tcPr>
          <w:p w14:paraId="5B85241C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40670/296308</w:t>
            </w:r>
          </w:p>
        </w:tc>
      </w:tr>
      <w:tr w:rsidR="00097643" w:rsidRPr="00B52D96" w14:paraId="6D924152" w14:textId="77777777" w:rsidTr="00A3167F">
        <w:trPr>
          <w:trHeight w:val="373"/>
        </w:trPr>
        <w:tc>
          <w:tcPr>
            <w:tcW w:w="851" w:type="dxa"/>
          </w:tcPr>
          <w:p w14:paraId="7CCD519E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#3</w:t>
            </w:r>
          </w:p>
        </w:tc>
        <w:tc>
          <w:tcPr>
            <w:tcW w:w="1134" w:type="dxa"/>
          </w:tcPr>
          <w:p w14:paraId="6BC11E0C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  <w:t>EIF4G1</w:t>
            </w:r>
          </w:p>
        </w:tc>
        <w:tc>
          <w:tcPr>
            <w:tcW w:w="1276" w:type="dxa"/>
          </w:tcPr>
          <w:p w14:paraId="6AAA91BE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c.42_43del</w:t>
            </w:r>
          </w:p>
        </w:tc>
        <w:tc>
          <w:tcPr>
            <w:tcW w:w="1559" w:type="dxa"/>
          </w:tcPr>
          <w:p w14:paraId="2CA608B5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p.Ser15ProfsX39</w:t>
            </w:r>
          </w:p>
        </w:tc>
        <w:tc>
          <w:tcPr>
            <w:tcW w:w="1701" w:type="dxa"/>
          </w:tcPr>
          <w:p w14:paraId="78A8C3B2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NR</w:t>
            </w:r>
          </w:p>
          <w:p w14:paraId="7D68697D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2268" w:type="dxa"/>
          </w:tcPr>
          <w:p w14:paraId="29A3DAEB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NR</w:t>
            </w:r>
          </w:p>
        </w:tc>
        <w:tc>
          <w:tcPr>
            <w:tcW w:w="1276" w:type="dxa"/>
          </w:tcPr>
          <w:p w14:paraId="0E12429D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10852/981300</w:t>
            </w:r>
          </w:p>
        </w:tc>
      </w:tr>
      <w:tr w:rsidR="00097643" w:rsidRPr="00B52D96" w14:paraId="79B86CBF" w14:textId="77777777" w:rsidTr="00A3167F">
        <w:trPr>
          <w:trHeight w:val="418"/>
        </w:trPr>
        <w:tc>
          <w:tcPr>
            <w:tcW w:w="851" w:type="dxa"/>
          </w:tcPr>
          <w:p w14:paraId="1EE0E126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#3</w:t>
            </w:r>
          </w:p>
        </w:tc>
        <w:tc>
          <w:tcPr>
            <w:tcW w:w="1134" w:type="dxa"/>
          </w:tcPr>
          <w:p w14:paraId="342A3A1C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  <w:t>EIF4G1</w:t>
            </w:r>
          </w:p>
        </w:tc>
        <w:tc>
          <w:tcPr>
            <w:tcW w:w="1276" w:type="dxa"/>
          </w:tcPr>
          <w:p w14:paraId="53040CB4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c.49_50del</w:t>
            </w:r>
          </w:p>
        </w:tc>
        <w:tc>
          <w:tcPr>
            <w:tcW w:w="1559" w:type="dxa"/>
          </w:tcPr>
          <w:p w14:paraId="5D6828A2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p.Gly17ThrfsX37</w:t>
            </w:r>
          </w:p>
        </w:tc>
        <w:tc>
          <w:tcPr>
            <w:tcW w:w="1701" w:type="dxa"/>
          </w:tcPr>
          <w:p w14:paraId="7FEBC77C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VUS </w:t>
            </w:r>
          </w:p>
          <w:p w14:paraId="1350CAD3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(PM2, MVS1)</w:t>
            </w:r>
          </w:p>
        </w:tc>
        <w:tc>
          <w:tcPr>
            <w:tcW w:w="2268" w:type="dxa"/>
          </w:tcPr>
          <w:p w14:paraId="1D81ADFD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NR</w:t>
            </w:r>
          </w:p>
        </w:tc>
        <w:tc>
          <w:tcPr>
            <w:tcW w:w="1276" w:type="dxa"/>
          </w:tcPr>
          <w:p w14:paraId="12FC7245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11/1.068536</w:t>
            </w:r>
          </w:p>
        </w:tc>
      </w:tr>
      <w:tr w:rsidR="00097643" w:rsidRPr="00B52D96" w14:paraId="153B92C4" w14:textId="77777777" w:rsidTr="00A3167F">
        <w:trPr>
          <w:trHeight w:val="412"/>
        </w:trPr>
        <w:tc>
          <w:tcPr>
            <w:tcW w:w="851" w:type="dxa"/>
          </w:tcPr>
          <w:p w14:paraId="3330D79E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#3</w:t>
            </w:r>
          </w:p>
        </w:tc>
        <w:tc>
          <w:tcPr>
            <w:tcW w:w="1134" w:type="dxa"/>
          </w:tcPr>
          <w:p w14:paraId="73CCA887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  <w:t>EIF4G1</w:t>
            </w:r>
          </w:p>
        </w:tc>
        <w:tc>
          <w:tcPr>
            <w:tcW w:w="1276" w:type="dxa"/>
          </w:tcPr>
          <w:p w14:paraId="0D6A44F9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c.53T&gt;C</w:t>
            </w:r>
          </w:p>
        </w:tc>
        <w:tc>
          <w:tcPr>
            <w:tcW w:w="1559" w:type="dxa"/>
          </w:tcPr>
          <w:p w14:paraId="40E4B6BC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p.Leu18Pro</w:t>
            </w:r>
          </w:p>
        </w:tc>
        <w:tc>
          <w:tcPr>
            <w:tcW w:w="1701" w:type="dxa"/>
          </w:tcPr>
          <w:p w14:paraId="21431F91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VUS </w:t>
            </w:r>
          </w:p>
          <w:p w14:paraId="271ECC47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(PM2, PP2, BP4)</w:t>
            </w:r>
          </w:p>
        </w:tc>
        <w:tc>
          <w:tcPr>
            <w:tcW w:w="2268" w:type="dxa"/>
          </w:tcPr>
          <w:p w14:paraId="638F8806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NR</w:t>
            </w:r>
          </w:p>
        </w:tc>
        <w:tc>
          <w:tcPr>
            <w:tcW w:w="1276" w:type="dxa"/>
          </w:tcPr>
          <w:p w14:paraId="14622BEB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1.406/474038</w:t>
            </w:r>
          </w:p>
        </w:tc>
      </w:tr>
      <w:tr w:rsidR="00097643" w:rsidRPr="00B52D96" w14:paraId="3494D869" w14:textId="77777777" w:rsidTr="00A3167F">
        <w:trPr>
          <w:trHeight w:val="376"/>
        </w:trPr>
        <w:tc>
          <w:tcPr>
            <w:tcW w:w="851" w:type="dxa"/>
          </w:tcPr>
          <w:p w14:paraId="297A2C1E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#9</w:t>
            </w:r>
          </w:p>
        </w:tc>
        <w:tc>
          <w:tcPr>
            <w:tcW w:w="1134" w:type="dxa"/>
          </w:tcPr>
          <w:p w14:paraId="4EFB363E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  <w:t>VPS13C</w:t>
            </w:r>
          </w:p>
        </w:tc>
        <w:tc>
          <w:tcPr>
            <w:tcW w:w="1276" w:type="dxa"/>
          </w:tcPr>
          <w:p w14:paraId="165CBCF8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c.2798C&gt;T</w:t>
            </w:r>
          </w:p>
        </w:tc>
        <w:tc>
          <w:tcPr>
            <w:tcW w:w="1559" w:type="dxa"/>
          </w:tcPr>
          <w:p w14:paraId="7ECA44C4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p.Pro933Leu</w:t>
            </w:r>
          </w:p>
        </w:tc>
        <w:tc>
          <w:tcPr>
            <w:tcW w:w="1701" w:type="dxa"/>
          </w:tcPr>
          <w:p w14:paraId="30BD08C4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VUS </w:t>
            </w:r>
          </w:p>
          <w:p w14:paraId="5F0620E4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(PM2, BP4)</w:t>
            </w:r>
          </w:p>
        </w:tc>
        <w:tc>
          <w:tcPr>
            <w:tcW w:w="2268" w:type="dxa"/>
          </w:tcPr>
          <w:p w14:paraId="0928B4EE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VUS / PD</w:t>
            </w:r>
          </w:p>
        </w:tc>
        <w:tc>
          <w:tcPr>
            <w:tcW w:w="1276" w:type="dxa"/>
          </w:tcPr>
          <w:p w14:paraId="79B1C9BA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44/1106114</w:t>
            </w:r>
          </w:p>
        </w:tc>
      </w:tr>
      <w:tr w:rsidR="00097643" w:rsidRPr="00B52D96" w14:paraId="55B89A82" w14:textId="77777777" w:rsidTr="00A3167F">
        <w:trPr>
          <w:trHeight w:val="651"/>
        </w:trPr>
        <w:tc>
          <w:tcPr>
            <w:tcW w:w="851" w:type="dxa"/>
          </w:tcPr>
          <w:p w14:paraId="4D3F0717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#9</w:t>
            </w:r>
          </w:p>
        </w:tc>
        <w:tc>
          <w:tcPr>
            <w:tcW w:w="1134" w:type="dxa"/>
          </w:tcPr>
          <w:p w14:paraId="05FFDA1F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  <w:t>GRN</w:t>
            </w:r>
          </w:p>
        </w:tc>
        <w:tc>
          <w:tcPr>
            <w:tcW w:w="1276" w:type="dxa"/>
          </w:tcPr>
          <w:p w14:paraId="435F85CB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c.268G&gt;A</w:t>
            </w:r>
          </w:p>
        </w:tc>
        <w:tc>
          <w:tcPr>
            <w:tcW w:w="1559" w:type="dxa"/>
          </w:tcPr>
          <w:p w14:paraId="429C8EDE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p.Val90Met</w:t>
            </w:r>
          </w:p>
        </w:tc>
        <w:tc>
          <w:tcPr>
            <w:tcW w:w="1701" w:type="dxa"/>
          </w:tcPr>
          <w:p w14:paraId="0B21B77D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VUS </w:t>
            </w:r>
          </w:p>
          <w:p w14:paraId="2788EBE9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(PM2, BP6)</w:t>
            </w:r>
          </w:p>
        </w:tc>
        <w:tc>
          <w:tcPr>
            <w:tcW w:w="2268" w:type="dxa"/>
          </w:tcPr>
          <w:p w14:paraId="4ACF17A5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Conflicting interpretation: VUS (1), likely benign (1) / GRN-FTLD</w:t>
            </w:r>
          </w:p>
        </w:tc>
        <w:tc>
          <w:tcPr>
            <w:tcW w:w="1276" w:type="dxa"/>
          </w:tcPr>
          <w:p w14:paraId="05CAF228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52/1109970</w:t>
            </w:r>
          </w:p>
        </w:tc>
      </w:tr>
      <w:tr w:rsidR="00097643" w:rsidRPr="00B52D96" w14:paraId="004DB826" w14:textId="77777777" w:rsidTr="00A3167F">
        <w:trPr>
          <w:trHeight w:val="419"/>
        </w:trPr>
        <w:tc>
          <w:tcPr>
            <w:tcW w:w="851" w:type="dxa"/>
          </w:tcPr>
          <w:p w14:paraId="260C4CFD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#10</w:t>
            </w:r>
          </w:p>
        </w:tc>
        <w:tc>
          <w:tcPr>
            <w:tcW w:w="1134" w:type="dxa"/>
          </w:tcPr>
          <w:p w14:paraId="40F23EA2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  <w:t>SYNJ1</w:t>
            </w:r>
          </w:p>
        </w:tc>
        <w:tc>
          <w:tcPr>
            <w:tcW w:w="1276" w:type="dxa"/>
          </w:tcPr>
          <w:p w14:paraId="28599396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c.2525C&gt;A</w:t>
            </w:r>
          </w:p>
        </w:tc>
        <w:tc>
          <w:tcPr>
            <w:tcW w:w="1559" w:type="dxa"/>
          </w:tcPr>
          <w:p w14:paraId="0F7FA6F4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p.Thr842Asn</w:t>
            </w:r>
          </w:p>
        </w:tc>
        <w:tc>
          <w:tcPr>
            <w:tcW w:w="1701" w:type="dxa"/>
          </w:tcPr>
          <w:p w14:paraId="2F34A0BB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VUS </w:t>
            </w:r>
          </w:p>
          <w:p w14:paraId="1106E15B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(PM2)</w:t>
            </w:r>
          </w:p>
        </w:tc>
        <w:tc>
          <w:tcPr>
            <w:tcW w:w="2268" w:type="dxa"/>
          </w:tcPr>
          <w:p w14:paraId="5000151B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VUS / PD</w:t>
            </w:r>
          </w:p>
        </w:tc>
        <w:tc>
          <w:tcPr>
            <w:tcW w:w="1276" w:type="dxa"/>
          </w:tcPr>
          <w:p w14:paraId="2E369DBA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41/1111998</w:t>
            </w:r>
          </w:p>
        </w:tc>
      </w:tr>
      <w:tr w:rsidR="00097643" w:rsidRPr="00B52D96" w14:paraId="3CB7C1B5" w14:textId="77777777" w:rsidTr="00A3167F">
        <w:trPr>
          <w:trHeight w:val="695"/>
        </w:trPr>
        <w:tc>
          <w:tcPr>
            <w:tcW w:w="851" w:type="dxa"/>
          </w:tcPr>
          <w:p w14:paraId="409E3989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#16</w:t>
            </w:r>
          </w:p>
        </w:tc>
        <w:tc>
          <w:tcPr>
            <w:tcW w:w="1134" w:type="dxa"/>
          </w:tcPr>
          <w:p w14:paraId="11120B4D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  <w:t>NOTCH3</w:t>
            </w:r>
          </w:p>
        </w:tc>
        <w:tc>
          <w:tcPr>
            <w:tcW w:w="1276" w:type="dxa"/>
          </w:tcPr>
          <w:p w14:paraId="7C483241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c.2437G&gt;A</w:t>
            </w:r>
          </w:p>
        </w:tc>
        <w:tc>
          <w:tcPr>
            <w:tcW w:w="1559" w:type="dxa"/>
          </w:tcPr>
          <w:p w14:paraId="78BCEB09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p.Glu813Lys</w:t>
            </w:r>
          </w:p>
        </w:tc>
        <w:tc>
          <w:tcPr>
            <w:tcW w:w="1701" w:type="dxa"/>
          </w:tcPr>
          <w:p w14:paraId="0291A931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VUS </w:t>
            </w:r>
          </w:p>
          <w:p w14:paraId="29146617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(PP3, BP6)</w:t>
            </w:r>
          </w:p>
        </w:tc>
        <w:tc>
          <w:tcPr>
            <w:tcW w:w="2268" w:type="dxa"/>
          </w:tcPr>
          <w:p w14:paraId="0E9D370F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Conflicting interpretation:  VUS (3), likely benign (1), benign (1) / CADASIL</w:t>
            </w:r>
          </w:p>
        </w:tc>
        <w:tc>
          <w:tcPr>
            <w:tcW w:w="1276" w:type="dxa"/>
          </w:tcPr>
          <w:p w14:paraId="4055F57E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27/1111868</w:t>
            </w:r>
          </w:p>
        </w:tc>
      </w:tr>
      <w:tr w:rsidR="00097643" w:rsidRPr="00B52D96" w14:paraId="76150618" w14:textId="77777777" w:rsidTr="00A3167F">
        <w:trPr>
          <w:trHeight w:val="421"/>
        </w:trPr>
        <w:tc>
          <w:tcPr>
            <w:tcW w:w="851" w:type="dxa"/>
          </w:tcPr>
          <w:p w14:paraId="708F1BE9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#19</w:t>
            </w:r>
          </w:p>
        </w:tc>
        <w:tc>
          <w:tcPr>
            <w:tcW w:w="1134" w:type="dxa"/>
          </w:tcPr>
          <w:p w14:paraId="3D2EADB5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  <w:t>MYORG</w:t>
            </w:r>
          </w:p>
        </w:tc>
        <w:tc>
          <w:tcPr>
            <w:tcW w:w="1276" w:type="dxa"/>
          </w:tcPr>
          <w:p w14:paraId="42CAE088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c.1631T&gt;A</w:t>
            </w:r>
          </w:p>
        </w:tc>
        <w:tc>
          <w:tcPr>
            <w:tcW w:w="1559" w:type="dxa"/>
          </w:tcPr>
          <w:p w14:paraId="7C148AD5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p.Leu544Gln</w:t>
            </w:r>
          </w:p>
        </w:tc>
        <w:tc>
          <w:tcPr>
            <w:tcW w:w="1701" w:type="dxa"/>
          </w:tcPr>
          <w:p w14:paraId="3B1F0DE2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VUS </w:t>
            </w:r>
          </w:p>
          <w:p w14:paraId="31645E5C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(PM2)</w:t>
            </w:r>
          </w:p>
        </w:tc>
        <w:tc>
          <w:tcPr>
            <w:tcW w:w="2268" w:type="dxa"/>
          </w:tcPr>
          <w:p w14:paraId="7284BF4B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NR</w:t>
            </w:r>
          </w:p>
        </w:tc>
        <w:tc>
          <w:tcPr>
            <w:tcW w:w="1276" w:type="dxa"/>
          </w:tcPr>
          <w:p w14:paraId="69AB9236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2/1111420</w:t>
            </w:r>
          </w:p>
        </w:tc>
      </w:tr>
      <w:tr w:rsidR="00097643" w:rsidRPr="00B52D96" w14:paraId="225D0051" w14:textId="77777777" w:rsidTr="00A3167F">
        <w:trPr>
          <w:trHeight w:val="555"/>
        </w:trPr>
        <w:tc>
          <w:tcPr>
            <w:tcW w:w="851" w:type="dxa"/>
          </w:tcPr>
          <w:p w14:paraId="1F97B6D0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#22</w:t>
            </w:r>
          </w:p>
        </w:tc>
        <w:tc>
          <w:tcPr>
            <w:tcW w:w="1134" w:type="dxa"/>
          </w:tcPr>
          <w:p w14:paraId="1A4D1937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i/>
                <w:iCs/>
                <w:sz w:val="18"/>
                <w:szCs w:val="18"/>
                <w:lang w:val="en-US"/>
              </w:rPr>
              <w:t>GBA1</w:t>
            </w:r>
          </w:p>
        </w:tc>
        <w:tc>
          <w:tcPr>
            <w:tcW w:w="1276" w:type="dxa"/>
          </w:tcPr>
          <w:p w14:paraId="1ACD09AE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c.586A&gt;C</w:t>
            </w:r>
          </w:p>
        </w:tc>
        <w:tc>
          <w:tcPr>
            <w:tcW w:w="1559" w:type="dxa"/>
          </w:tcPr>
          <w:p w14:paraId="46F9229D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p.Lys196Gln</w:t>
            </w:r>
          </w:p>
        </w:tc>
        <w:tc>
          <w:tcPr>
            <w:tcW w:w="1701" w:type="dxa"/>
          </w:tcPr>
          <w:p w14:paraId="5EB1C909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Likely pathogenic </w:t>
            </w:r>
          </w:p>
          <w:p w14:paraId="657A3C9A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(PM1, PP2, PM2, PP3)</w:t>
            </w:r>
          </w:p>
        </w:tc>
        <w:tc>
          <w:tcPr>
            <w:tcW w:w="2268" w:type="dxa"/>
          </w:tcPr>
          <w:p w14:paraId="1D73D416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Conflicting interpretation: pathogenic (1), VUS (3) / Gaucher disease, PD, DLB</w:t>
            </w:r>
          </w:p>
        </w:tc>
        <w:tc>
          <w:tcPr>
            <w:tcW w:w="1276" w:type="dxa"/>
          </w:tcPr>
          <w:p w14:paraId="7F9C184B" w14:textId="77777777" w:rsidR="00097643" w:rsidRPr="00097643" w:rsidRDefault="00097643" w:rsidP="00097643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97643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3221/1088742</w:t>
            </w:r>
          </w:p>
        </w:tc>
      </w:tr>
    </w:tbl>
    <w:p w14:paraId="64E1DBB2" w14:textId="77777777" w:rsidR="00097643" w:rsidRDefault="00097643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  <w:r w:rsidRPr="00097643">
        <w:rPr>
          <w:rFonts w:ascii="Times New Roman" w:eastAsiaTheme="minorEastAsia" w:hAnsi="Times New Roman" w:cs="Times New Roman"/>
          <w:kern w:val="0"/>
          <w:vertAlign w:val="superscript"/>
          <w:lang w:val="en-US"/>
          <w14:ligatures w14:val="none"/>
        </w:rPr>
        <w:t>1</w:t>
      </w:r>
      <w:r w:rsidRPr="00097643">
        <w:rPr>
          <w:rFonts w:ascii="Times New Roman" w:eastAsiaTheme="minorEastAsia" w:hAnsi="Times New Roman" w:cs="Times New Roman"/>
          <w:kern w:val="0"/>
          <w:lang w:val="en-US"/>
          <w14:ligatures w14:val="none"/>
        </w:rPr>
        <w:t xml:space="preserve">Population allele frequencies referred to the European (non-Finnish) population reported on GnomAD Exomes v24.0 expressed as allele count/allele number. Abbreviations: CADASIL, Cerebral Arteriopathy </w:t>
      </w:r>
      <w:proofErr w:type="gramStart"/>
      <w:r w:rsidRPr="00097643">
        <w:rPr>
          <w:rFonts w:ascii="Times New Roman" w:eastAsiaTheme="minorEastAsia" w:hAnsi="Times New Roman" w:cs="Times New Roman"/>
          <w:kern w:val="0"/>
          <w:lang w:val="en-US"/>
          <w14:ligatures w14:val="none"/>
        </w:rPr>
        <w:t>With</w:t>
      </w:r>
      <w:proofErr w:type="gramEnd"/>
      <w:r w:rsidRPr="00097643">
        <w:rPr>
          <w:rFonts w:ascii="Times New Roman" w:eastAsiaTheme="minorEastAsia" w:hAnsi="Times New Roman" w:cs="Times New Roman"/>
          <w:kern w:val="0"/>
          <w:lang w:val="en-US"/>
          <w14:ligatures w14:val="none"/>
        </w:rPr>
        <w:t xml:space="preserve"> Subcortical Infarcts And Leukoencephalopathy; DLB, dementia with Lewy bodies; FTLD, frontotemporal lobar degeneration; NR, not reported; PD, Parkinson’s disease; VUS, variant of uncertain significance</w:t>
      </w:r>
    </w:p>
    <w:p w14:paraId="09EC59AF" w14:textId="77777777" w:rsidR="00AA718C" w:rsidRDefault="00AA718C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</w:p>
    <w:p w14:paraId="6C8B56B5" w14:textId="77777777" w:rsidR="00AA718C" w:rsidRDefault="00AA718C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</w:p>
    <w:p w14:paraId="2A91C7CF" w14:textId="77777777" w:rsidR="00AA718C" w:rsidRDefault="00AA718C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</w:p>
    <w:p w14:paraId="02E2EE86" w14:textId="77777777" w:rsidR="00AA718C" w:rsidRDefault="00AA718C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</w:p>
    <w:p w14:paraId="33A2754D" w14:textId="77777777" w:rsidR="00AA718C" w:rsidRDefault="00AA718C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</w:p>
    <w:p w14:paraId="56B75C19" w14:textId="77777777" w:rsidR="00AA718C" w:rsidRDefault="00AA718C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</w:p>
    <w:p w14:paraId="7FC1A25E" w14:textId="77777777" w:rsidR="00AA718C" w:rsidRDefault="00AA718C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</w:p>
    <w:p w14:paraId="1B9535E9" w14:textId="77777777" w:rsidR="00AA718C" w:rsidRDefault="00AA718C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</w:p>
    <w:p w14:paraId="688F54A1" w14:textId="77777777" w:rsidR="00AA718C" w:rsidRPr="00097643" w:rsidRDefault="00AA718C" w:rsidP="00097643">
      <w:pPr>
        <w:spacing w:line="480" w:lineRule="auto"/>
        <w:jc w:val="both"/>
        <w:rPr>
          <w:rFonts w:ascii="Times New Roman" w:eastAsiaTheme="minorEastAsia" w:hAnsi="Times New Roman" w:cs="Times New Roman"/>
          <w:kern w:val="0"/>
          <w:lang w:val="en-US"/>
          <w14:ligatures w14:val="none"/>
        </w:rPr>
      </w:pPr>
    </w:p>
    <w:p w14:paraId="2674D91C" w14:textId="5A247920" w:rsidR="00097643" w:rsidRDefault="00AA718C" w:rsidP="009C75E8">
      <w:pPr>
        <w:jc w:val="both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>Supplementary r</w:t>
      </w:r>
      <w:r w:rsidR="003F02F4" w:rsidRPr="003F02F4">
        <w:rPr>
          <w:rFonts w:ascii="Times New Roman" w:hAnsi="Times New Roman" w:cs="Times New Roman"/>
          <w:b/>
          <w:bCs/>
          <w:lang w:val="en-US"/>
        </w:rPr>
        <w:t>eferences</w:t>
      </w:r>
    </w:p>
    <w:p w14:paraId="2E321618" w14:textId="5DA35893" w:rsidR="003F02F4" w:rsidRPr="00BA0F61" w:rsidRDefault="003F02F4" w:rsidP="00556BC3">
      <w:pPr>
        <w:pStyle w:val="Bibliografia"/>
        <w:jc w:val="both"/>
        <w:rPr>
          <w:rFonts w:ascii="Times New Roman" w:hAnsi="Times New Roman" w:cs="Times New Roman"/>
        </w:rPr>
      </w:pPr>
      <w:r w:rsidRPr="003F02F4">
        <w:rPr>
          <w:rFonts w:ascii="Times New Roman" w:hAnsi="Times New Roman" w:cs="Times New Roman"/>
          <w:lang w:val="en-US"/>
        </w:rPr>
        <w:t xml:space="preserve">1. Parchi P, Giese A, Capellari S, Brown P, Schulz-Schaeffer W, Windl O, et al. Classification of sporadic Creutzfeldt-Jakob disease based on molecular and phenotypic analysis of 300 subjects. </w:t>
      </w:r>
      <w:r w:rsidRPr="00BA0F61">
        <w:rPr>
          <w:rFonts w:ascii="Times New Roman" w:hAnsi="Times New Roman" w:cs="Times New Roman"/>
        </w:rPr>
        <w:t>Ann</w:t>
      </w:r>
      <w:r w:rsidR="00556BC3" w:rsidRPr="00BA0F61">
        <w:rPr>
          <w:rFonts w:ascii="Times New Roman" w:hAnsi="Times New Roman" w:cs="Times New Roman"/>
        </w:rPr>
        <w:t xml:space="preserve"> </w:t>
      </w:r>
      <w:proofErr w:type="spellStart"/>
      <w:r w:rsidR="00556BC3" w:rsidRPr="00BA0F61">
        <w:rPr>
          <w:rFonts w:ascii="Times New Roman" w:hAnsi="Times New Roman" w:cs="Times New Roman"/>
        </w:rPr>
        <w:t>N</w:t>
      </w:r>
      <w:r w:rsidRPr="00BA0F61">
        <w:rPr>
          <w:rFonts w:ascii="Times New Roman" w:hAnsi="Times New Roman" w:cs="Times New Roman"/>
        </w:rPr>
        <w:t>eurol</w:t>
      </w:r>
      <w:proofErr w:type="spellEnd"/>
      <w:r w:rsidRPr="00BA0F61">
        <w:rPr>
          <w:rFonts w:ascii="Times New Roman" w:hAnsi="Times New Roman" w:cs="Times New Roman"/>
        </w:rPr>
        <w:t xml:space="preserve">. 1999;46(2):224-233. </w:t>
      </w:r>
    </w:p>
    <w:p w14:paraId="52866DDC" w14:textId="77777777" w:rsidR="003F02F4" w:rsidRPr="003F02F4" w:rsidRDefault="003F02F4" w:rsidP="00556BC3">
      <w:pPr>
        <w:pStyle w:val="Bibliografia"/>
        <w:jc w:val="both"/>
        <w:rPr>
          <w:rFonts w:ascii="Times New Roman" w:hAnsi="Times New Roman" w:cs="Times New Roman"/>
          <w:lang w:val="en-US"/>
        </w:rPr>
      </w:pPr>
      <w:r w:rsidRPr="00BA0F61">
        <w:rPr>
          <w:rFonts w:ascii="Times New Roman" w:hAnsi="Times New Roman" w:cs="Times New Roman"/>
        </w:rPr>
        <w:t xml:space="preserve">2. Parchi P, </w:t>
      </w:r>
      <w:proofErr w:type="spellStart"/>
      <w:r w:rsidRPr="00BA0F61">
        <w:rPr>
          <w:rFonts w:ascii="Times New Roman" w:hAnsi="Times New Roman" w:cs="Times New Roman"/>
        </w:rPr>
        <w:t>Strammiello</w:t>
      </w:r>
      <w:proofErr w:type="spellEnd"/>
      <w:r w:rsidRPr="00BA0F61">
        <w:rPr>
          <w:rFonts w:ascii="Times New Roman" w:hAnsi="Times New Roman" w:cs="Times New Roman"/>
        </w:rPr>
        <w:t xml:space="preserve"> R, Notari S, Giese A, </w:t>
      </w:r>
      <w:proofErr w:type="spellStart"/>
      <w:r w:rsidRPr="00BA0F61">
        <w:rPr>
          <w:rFonts w:ascii="Times New Roman" w:hAnsi="Times New Roman" w:cs="Times New Roman"/>
        </w:rPr>
        <w:t>Langeveld</w:t>
      </w:r>
      <w:proofErr w:type="spellEnd"/>
      <w:r w:rsidRPr="00BA0F61">
        <w:rPr>
          <w:rFonts w:ascii="Times New Roman" w:hAnsi="Times New Roman" w:cs="Times New Roman"/>
        </w:rPr>
        <w:t xml:space="preserve"> JPM, </w:t>
      </w:r>
      <w:proofErr w:type="spellStart"/>
      <w:r w:rsidRPr="00BA0F61">
        <w:rPr>
          <w:rFonts w:ascii="Times New Roman" w:hAnsi="Times New Roman" w:cs="Times New Roman"/>
        </w:rPr>
        <w:t>Ladogana</w:t>
      </w:r>
      <w:proofErr w:type="spellEnd"/>
      <w:r w:rsidRPr="00BA0F61">
        <w:rPr>
          <w:rFonts w:ascii="Times New Roman" w:hAnsi="Times New Roman" w:cs="Times New Roman"/>
        </w:rPr>
        <w:t xml:space="preserve"> A, et al. </w:t>
      </w:r>
      <w:r w:rsidRPr="003F02F4">
        <w:rPr>
          <w:rFonts w:ascii="Times New Roman" w:hAnsi="Times New Roman" w:cs="Times New Roman"/>
          <w:lang w:val="en-US"/>
        </w:rPr>
        <w:t xml:space="preserve">Incidence and spectrum of sporadic Creutzfeldt–Jakob disease variants with mixed phenotype and co-occurrence of PrPSc types: an updated classification. Acta Neuropathol. 2009;118:659–71. </w:t>
      </w:r>
    </w:p>
    <w:p w14:paraId="0A317448" w14:textId="77777777" w:rsidR="003F02F4" w:rsidRPr="003F02F4" w:rsidRDefault="003F02F4" w:rsidP="00556BC3">
      <w:pPr>
        <w:pStyle w:val="Bibliografia"/>
        <w:jc w:val="both"/>
        <w:rPr>
          <w:rFonts w:ascii="Times New Roman" w:hAnsi="Times New Roman" w:cs="Times New Roman"/>
          <w:lang w:val="en-US"/>
        </w:rPr>
      </w:pPr>
      <w:r w:rsidRPr="003F02F4">
        <w:rPr>
          <w:rFonts w:ascii="Times New Roman" w:hAnsi="Times New Roman" w:cs="Times New Roman"/>
          <w:lang w:val="en-US"/>
        </w:rPr>
        <w:t xml:space="preserve">3. Montine TJ, Phelps CH, Beach TG, Bigio EH, Cairns NJ, Dickson DW, et al. National Institute on Aging–Alzheimer’s Association guidelines for the neuropathologic assessment of Alzheimer’s disease: a practical approach. Acta Neuropathol. 2012;123:1–11. </w:t>
      </w:r>
    </w:p>
    <w:p w14:paraId="26469C17" w14:textId="77777777" w:rsidR="003F02F4" w:rsidRPr="003F02F4" w:rsidRDefault="003F02F4" w:rsidP="00556BC3">
      <w:pPr>
        <w:pStyle w:val="Bibliografia"/>
        <w:jc w:val="both"/>
        <w:rPr>
          <w:rFonts w:ascii="Times New Roman" w:hAnsi="Times New Roman" w:cs="Times New Roman"/>
          <w:lang w:val="en-US"/>
        </w:rPr>
      </w:pPr>
      <w:r w:rsidRPr="003F02F4">
        <w:rPr>
          <w:rFonts w:ascii="Times New Roman" w:hAnsi="Times New Roman" w:cs="Times New Roman"/>
          <w:lang w:val="en-US"/>
        </w:rPr>
        <w:t xml:space="preserve">4. Thal DR, Griffin WST, de Vos RAI, Ghebremedhin E. Cerebral amyloid angiopathy and its relationship to Alzheimer’s disease. Acta Neuropathol. 2008;115:599–609. </w:t>
      </w:r>
    </w:p>
    <w:p w14:paraId="7DDEDF17" w14:textId="77777777" w:rsidR="003F02F4" w:rsidRPr="003F02F4" w:rsidRDefault="003F02F4" w:rsidP="00556BC3">
      <w:pPr>
        <w:pStyle w:val="Bibliografia"/>
        <w:jc w:val="both"/>
        <w:rPr>
          <w:rFonts w:ascii="Times New Roman" w:hAnsi="Times New Roman" w:cs="Times New Roman"/>
          <w:lang w:val="en-US"/>
        </w:rPr>
      </w:pPr>
      <w:r w:rsidRPr="003F02F4">
        <w:rPr>
          <w:rFonts w:ascii="Times New Roman" w:hAnsi="Times New Roman" w:cs="Times New Roman"/>
          <w:lang w:val="en-US"/>
        </w:rPr>
        <w:t xml:space="preserve">5. Crary JF, Trojanowski JQ, Schneider JA, Abisambra JF, Abner EL, Alafuzoff I, et al. Primary age-related tauopathy (PART): a common pathology associated with human aging. Acta Neuropathol. 2014;128:755–66. </w:t>
      </w:r>
    </w:p>
    <w:p w14:paraId="6A217328" w14:textId="77777777" w:rsidR="003F02F4" w:rsidRPr="003F02F4" w:rsidRDefault="003F02F4" w:rsidP="00556BC3">
      <w:pPr>
        <w:pStyle w:val="Bibliografia"/>
        <w:jc w:val="both"/>
        <w:rPr>
          <w:rFonts w:ascii="Times New Roman" w:hAnsi="Times New Roman" w:cs="Times New Roman"/>
          <w:lang w:val="en-US"/>
        </w:rPr>
      </w:pPr>
      <w:r w:rsidRPr="003F02F4">
        <w:rPr>
          <w:rFonts w:ascii="Times New Roman" w:hAnsi="Times New Roman" w:cs="Times New Roman"/>
          <w:lang w:val="en-US"/>
        </w:rPr>
        <w:t xml:space="preserve">6. Nelson PT, Dickson DW, Trojanowski JQ, Jack CR, Boyle PA, Arfanakis K, et al. Limbic-predominant age-related TDP-43 encephalopathy (LATE): consensus working group report. Brain. 2019;142:1503–27. </w:t>
      </w:r>
    </w:p>
    <w:p w14:paraId="204BC4D6" w14:textId="77777777" w:rsidR="003F02F4" w:rsidRPr="003F02F4" w:rsidRDefault="003F02F4" w:rsidP="00556BC3">
      <w:pPr>
        <w:pStyle w:val="Bibliografia"/>
        <w:jc w:val="both"/>
        <w:rPr>
          <w:rFonts w:ascii="Times New Roman" w:hAnsi="Times New Roman" w:cs="Times New Roman"/>
          <w:lang w:val="en-US"/>
        </w:rPr>
      </w:pPr>
      <w:r w:rsidRPr="003F02F4">
        <w:rPr>
          <w:rFonts w:ascii="Times New Roman" w:hAnsi="Times New Roman" w:cs="Times New Roman"/>
          <w:lang w:val="en-US"/>
        </w:rPr>
        <w:t xml:space="preserve">7. Richards S, Aziz N, Bale S, Bick D, Das S, Gastier-Foster J, et al. Standards and Guidelines for the Interpretation of Sequence Variants: A Joint Consensus Recommendation of the American College of Medical Genetics and Genomics and the Association for Molecular Pathology. Genet Med. 2015;17:405–24. </w:t>
      </w:r>
    </w:p>
    <w:p w14:paraId="15CB1086" w14:textId="77777777" w:rsidR="003F02F4" w:rsidRPr="003F02F4" w:rsidRDefault="003F02F4" w:rsidP="00556BC3">
      <w:pPr>
        <w:pStyle w:val="Bibliografia"/>
        <w:jc w:val="both"/>
        <w:rPr>
          <w:rFonts w:ascii="Times New Roman" w:hAnsi="Times New Roman" w:cs="Times New Roman"/>
          <w:lang w:val="en-US"/>
        </w:rPr>
      </w:pPr>
      <w:r w:rsidRPr="003F02F4">
        <w:rPr>
          <w:rFonts w:ascii="Times New Roman" w:hAnsi="Times New Roman" w:cs="Times New Roman"/>
          <w:lang w:val="en-US"/>
        </w:rPr>
        <w:t xml:space="preserve">8. Pejaver V, Byrne AB, Feng B-J, Pagel KA, Mooney SD, Karchin R, et al. Calibration of computational tools for missense variant pathogenicity classification and ClinGen recommendations for PP3/BP4 criteria. Am J Hum Genet. 2022;109:2163–77. </w:t>
      </w:r>
    </w:p>
    <w:p w14:paraId="2A45A2CC" w14:textId="20F344A0" w:rsidR="003F02F4" w:rsidRPr="003F02F4" w:rsidRDefault="003F02F4" w:rsidP="00556BC3">
      <w:pPr>
        <w:pStyle w:val="Bibliografia"/>
        <w:jc w:val="both"/>
        <w:rPr>
          <w:rFonts w:ascii="Times New Roman" w:hAnsi="Times New Roman" w:cs="Times New Roman"/>
          <w:lang w:val="en-US"/>
        </w:rPr>
      </w:pPr>
      <w:r w:rsidRPr="003F02F4">
        <w:rPr>
          <w:rFonts w:ascii="Times New Roman" w:hAnsi="Times New Roman" w:cs="Times New Roman"/>
          <w:lang w:val="en-US"/>
        </w:rPr>
        <w:t xml:space="preserve">9. Genoox. Franklin by Genoox. </w:t>
      </w:r>
      <w:r w:rsidR="00556BC3" w:rsidRPr="003F02F4">
        <w:rPr>
          <w:rFonts w:ascii="Times New Roman" w:hAnsi="Times New Roman" w:cs="Times New Roman"/>
          <w:lang w:val="en-US"/>
        </w:rPr>
        <w:t xml:space="preserve">Available online: https://franklin.genoox.com. </w:t>
      </w:r>
      <w:r w:rsidRPr="003F02F4">
        <w:rPr>
          <w:rFonts w:ascii="Times New Roman" w:hAnsi="Times New Roman" w:cs="Times New Roman"/>
          <w:lang w:val="en-US"/>
        </w:rPr>
        <w:t xml:space="preserve">Accessed on 20 April 2024. </w:t>
      </w:r>
    </w:p>
    <w:p w14:paraId="4C8335D7" w14:textId="77777777" w:rsidR="003F02F4" w:rsidRPr="003F02F4" w:rsidRDefault="003F02F4" w:rsidP="00556BC3">
      <w:pPr>
        <w:pStyle w:val="Bibliografia"/>
        <w:jc w:val="both"/>
        <w:rPr>
          <w:rFonts w:ascii="Times New Roman" w:hAnsi="Times New Roman" w:cs="Times New Roman"/>
          <w:lang w:val="en-US"/>
        </w:rPr>
      </w:pPr>
      <w:r w:rsidRPr="003F02F4">
        <w:rPr>
          <w:rFonts w:ascii="Times New Roman" w:hAnsi="Times New Roman" w:cs="Times New Roman"/>
          <w:lang w:val="en-US"/>
        </w:rPr>
        <w:t xml:space="preserve">10. Landrum MJ, Lee JM, Benson M, Brown GR, Chao C, Chitipiralla S, et al. ClinVar: improving access to variant interpretations and supporting evidence. Nucleic Acids Res. 2018;46:D1062–7. </w:t>
      </w:r>
    </w:p>
    <w:p w14:paraId="60B548C1" w14:textId="77777777" w:rsidR="003F02F4" w:rsidRPr="003F02F4" w:rsidRDefault="003F02F4" w:rsidP="00556BC3">
      <w:pPr>
        <w:pStyle w:val="Bibliografia"/>
        <w:jc w:val="both"/>
        <w:rPr>
          <w:rFonts w:ascii="Times New Roman" w:hAnsi="Times New Roman" w:cs="Times New Roman"/>
        </w:rPr>
      </w:pPr>
      <w:r w:rsidRPr="003F02F4">
        <w:rPr>
          <w:rFonts w:ascii="Times New Roman" w:hAnsi="Times New Roman" w:cs="Times New Roman"/>
          <w:lang w:val="en-US"/>
        </w:rPr>
        <w:t xml:space="preserve">11. Karczewski KJ, Francioli LC, Tiao G, Cummings BB, Alföldi J, Wang Q, et al. The mutational constraint spectrum quantified from variation in 141,456 humans. Nature. </w:t>
      </w:r>
      <w:r w:rsidRPr="003F02F4">
        <w:rPr>
          <w:rFonts w:ascii="Times New Roman" w:hAnsi="Times New Roman" w:cs="Times New Roman"/>
        </w:rPr>
        <w:t xml:space="preserve">2020;581:434–43. </w:t>
      </w:r>
    </w:p>
    <w:p w14:paraId="03628028" w14:textId="7F4083CB" w:rsidR="003F02F4" w:rsidRPr="003F02F4" w:rsidRDefault="003F02F4" w:rsidP="00556BC3">
      <w:pPr>
        <w:jc w:val="both"/>
        <w:rPr>
          <w:rFonts w:ascii="Times New Roman" w:hAnsi="Times New Roman" w:cs="Times New Roman"/>
          <w:lang w:val="en-US"/>
        </w:rPr>
      </w:pPr>
    </w:p>
    <w:sectPr w:rsidR="003F02F4" w:rsidRPr="003F02F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hideSpellingErrors/>
  <w:hideGrammaticalError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7FF0"/>
    <w:rsid w:val="000111FA"/>
    <w:rsid w:val="00030619"/>
    <w:rsid w:val="000874FD"/>
    <w:rsid w:val="00097643"/>
    <w:rsid w:val="000B60A1"/>
    <w:rsid w:val="000F5D28"/>
    <w:rsid w:val="001705FC"/>
    <w:rsid w:val="00181A7F"/>
    <w:rsid w:val="00186F52"/>
    <w:rsid w:val="001A0FCC"/>
    <w:rsid w:val="001D33EA"/>
    <w:rsid w:val="001F6874"/>
    <w:rsid w:val="0020135A"/>
    <w:rsid w:val="002130DC"/>
    <w:rsid w:val="00224E41"/>
    <w:rsid w:val="00265912"/>
    <w:rsid w:val="002D30AA"/>
    <w:rsid w:val="002E173B"/>
    <w:rsid w:val="002E45C9"/>
    <w:rsid w:val="003F02F4"/>
    <w:rsid w:val="00490136"/>
    <w:rsid w:val="00491D25"/>
    <w:rsid w:val="00502438"/>
    <w:rsid w:val="00520E71"/>
    <w:rsid w:val="00556BC3"/>
    <w:rsid w:val="00572DD3"/>
    <w:rsid w:val="00574F02"/>
    <w:rsid w:val="00610B24"/>
    <w:rsid w:val="00615703"/>
    <w:rsid w:val="00675A54"/>
    <w:rsid w:val="006C15C9"/>
    <w:rsid w:val="0070165B"/>
    <w:rsid w:val="00722E28"/>
    <w:rsid w:val="0075550C"/>
    <w:rsid w:val="007B1FEF"/>
    <w:rsid w:val="007B43E4"/>
    <w:rsid w:val="00812B02"/>
    <w:rsid w:val="008A7A80"/>
    <w:rsid w:val="00900F37"/>
    <w:rsid w:val="00915E61"/>
    <w:rsid w:val="009C75E8"/>
    <w:rsid w:val="009D046E"/>
    <w:rsid w:val="009E7278"/>
    <w:rsid w:val="00AA718C"/>
    <w:rsid w:val="00AB295B"/>
    <w:rsid w:val="00AC331B"/>
    <w:rsid w:val="00B01A8F"/>
    <w:rsid w:val="00B52D96"/>
    <w:rsid w:val="00B54A30"/>
    <w:rsid w:val="00B77832"/>
    <w:rsid w:val="00B85827"/>
    <w:rsid w:val="00BA0F61"/>
    <w:rsid w:val="00BC1A5B"/>
    <w:rsid w:val="00BD2E20"/>
    <w:rsid w:val="00BD3FFB"/>
    <w:rsid w:val="00BE22B7"/>
    <w:rsid w:val="00BF51E4"/>
    <w:rsid w:val="00C44954"/>
    <w:rsid w:val="00C743B9"/>
    <w:rsid w:val="00CC7FF0"/>
    <w:rsid w:val="00CE6107"/>
    <w:rsid w:val="00D24602"/>
    <w:rsid w:val="00D55E54"/>
    <w:rsid w:val="00D73067"/>
    <w:rsid w:val="00E060D3"/>
    <w:rsid w:val="00E27A31"/>
    <w:rsid w:val="00E4223F"/>
    <w:rsid w:val="00EB37C0"/>
    <w:rsid w:val="00EE107E"/>
    <w:rsid w:val="00F1297C"/>
    <w:rsid w:val="00F21A36"/>
    <w:rsid w:val="00F50B7B"/>
    <w:rsid w:val="00F80C87"/>
    <w:rsid w:val="00F919E2"/>
    <w:rsid w:val="00F91E5D"/>
    <w:rsid w:val="00FC7E66"/>
    <w:rsid w:val="00FE6A16"/>
    <w:rsid w:val="00FF4C97"/>
    <w:rsid w:val="00FF6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10ACD7"/>
  <w15:chartTrackingRefBased/>
  <w15:docId w15:val="{64AE0496-9776-492B-BC04-3E61623EF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812B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FC7E66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FC7E6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FC7E6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FC7E66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C7E6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C7E66"/>
    <w:rPr>
      <w:b/>
      <w:bCs/>
      <w:sz w:val="20"/>
      <w:szCs w:val="20"/>
    </w:rPr>
  </w:style>
  <w:style w:type="table" w:customStyle="1" w:styleId="Grigliatabella1">
    <w:name w:val="Griglia tabella1"/>
    <w:basedOn w:val="Tabellanormale"/>
    <w:next w:val="Grigliatabella"/>
    <w:uiPriority w:val="39"/>
    <w:rsid w:val="00097643"/>
    <w:pPr>
      <w:spacing w:after="0" w:line="240" w:lineRule="auto"/>
    </w:pPr>
    <w:rPr>
      <w:rFonts w:eastAsiaTheme="minorEastAsia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ibliografia">
    <w:name w:val="Bibliography"/>
    <w:basedOn w:val="Normale"/>
    <w:next w:val="Normale"/>
    <w:uiPriority w:val="37"/>
    <w:unhideWhenUsed/>
    <w:rsid w:val="003F02F4"/>
    <w:pPr>
      <w:spacing w:after="24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26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844EE1-107F-4E6D-9412-874798C749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5</Pages>
  <Words>1887</Words>
  <Characters>8727</Characters>
  <Application>Microsoft Office Word</Application>
  <DocSecurity>0</DocSecurity>
  <Lines>821</Lines>
  <Paragraphs>712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Mario Bentivenga - giuseppe.bentivenga@studio.unibo.it</dc:creator>
  <cp:keywords/>
  <dc:description/>
  <cp:lastModifiedBy>Giuseppe Mario Bentivenga - giuseppe.bentivenga@studio.unibo.it</cp:lastModifiedBy>
  <cp:revision>62</cp:revision>
  <dcterms:created xsi:type="dcterms:W3CDTF">2023-07-09T12:22:00Z</dcterms:created>
  <dcterms:modified xsi:type="dcterms:W3CDTF">2024-07-22T20:27:00Z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461e79a71d8b91fc1e0de59ef2989da9bb40b27027375c57e3fe73939528742d</vt:lpwstr>
  </property>
  <property fmtid="{D5CDD505-2E9C-101B-9397-08002B2CF9AE}" pid="3" name="ZOTERO_PREF_1">
    <vt:lpwstr>&lt;data data-version="3" zotero-version="6.0.36"&gt;&lt;session id="SINaecok"/&gt;&lt;style id="http://www.zotero.org/styles/alzheimers-research-and-therapy" hasBibliography="1" bibliographyStyleHasBeenSet="1"/&gt;&lt;prefs&gt;&lt;pref name="fieldType" value="Field"/&gt;&lt;/prefs&gt;&lt;/dat</vt:lpwstr>
  </property>
  <property fmtid="{D5CDD505-2E9C-101B-9397-08002B2CF9AE}" pid="4" name="ZOTERO_PREF_2">
    <vt:lpwstr>a&gt;</vt:lpwstr>
  </property>
</Properties>
</file>