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52C905" w14:textId="77777777" w:rsidR="00701689" w:rsidRPr="00B70120" w:rsidRDefault="00701689" w:rsidP="00701689">
      <w:pPr>
        <w:spacing w:line="480" w:lineRule="auto"/>
        <w:jc w:val="both"/>
        <w:rPr>
          <w:rFonts w:ascii="Arial" w:hAnsi="Arial" w:cs="Arial"/>
          <w:b/>
          <w:bCs/>
        </w:rPr>
      </w:pPr>
      <w:r w:rsidRPr="00B70120">
        <w:rPr>
          <w:rFonts w:ascii="Arial" w:hAnsi="Arial" w:cs="Arial"/>
          <w:b/>
          <w:bCs/>
        </w:rPr>
        <w:t>Reply to Mazaheri et al. “Peak alpha frequency as a candidate biomarker of pain sensitivity: the importance of distinguishing slow from slowing”: A constructive rebuttal.</w:t>
      </w:r>
    </w:p>
    <w:p w14:paraId="312F32E8" w14:textId="77FA7EB5" w:rsidR="00CF08F1" w:rsidRDefault="00CF08F1" w:rsidP="00701689">
      <w:pPr>
        <w:spacing w:line="480" w:lineRule="auto"/>
        <w:jc w:val="both"/>
        <w:rPr>
          <w:rFonts w:ascii="Arial" w:hAnsi="Arial" w:cs="Arial"/>
        </w:rPr>
      </w:pPr>
    </w:p>
    <w:p w14:paraId="50B8EE04" w14:textId="5D3060CC" w:rsidR="00CF08F1" w:rsidRDefault="00CF08F1" w:rsidP="00701689">
      <w:pPr>
        <w:spacing w:line="480" w:lineRule="auto"/>
        <w:jc w:val="both"/>
        <w:rPr>
          <w:rFonts w:ascii="Arial" w:hAnsi="Arial" w:cs="Arial"/>
          <w:b/>
          <w:bCs/>
        </w:rPr>
      </w:pPr>
      <w:r w:rsidRPr="00CF08F1">
        <w:rPr>
          <w:rFonts w:ascii="Arial" w:hAnsi="Arial" w:cs="Arial"/>
          <w:b/>
          <w:bCs/>
        </w:rPr>
        <w:t>Data analysis strategy</w:t>
      </w:r>
    </w:p>
    <w:p w14:paraId="45B8B0C4" w14:textId="735718CB" w:rsidR="00460953" w:rsidRDefault="00851626" w:rsidP="00851626">
      <w:pPr>
        <w:spacing w:line="480" w:lineRule="auto"/>
        <w:jc w:val="both"/>
        <w:rPr>
          <w:rFonts w:ascii="Arial" w:hAnsi="Arial" w:cs="Arial"/>
        </w:rPr>
      </w:pPr>
      <w:r>
        <w:rPr>
          <w:rFonts w:ascii="Arial" w:hAnsi="Arial" w:cs="Arial"/>
        </w:rPr>
        <w:t>In Valentini et al., 2022 w</w:t>
      </w:r>
      <w:r w:rsidRPr="00B70120">
        <w:rPr>
          <w:rFonts w:ascii="Arial" w:hAnsi="Arial" w:cs="Arial"/>
        </w:rPr>
        <w:t>e used a signal decomposition technique that allows</w:t>
      </w:r>
      <w:r w:rsidR="00672D1F">
        <w:rPr>
          <w:rFonts w:ascii="Arial" w:hAnsi="Arial" w:cs="Arial"/>
        </w:rPr>
        <w:t xml:space="preserve"> us</w:t>
      </w:r>
      <w:r w:rsidRPr="00B70120">
        <w:rPr>
          <w:rFonts w:ascii="Arial" w:hAnsi="Arial" w:cs="Arial"/>
        </w:rPr>
        <w:t xml:space="preserve"> to identify the underlying combination of maximally independent signals that linearly explain the signal recorded from the scalp electroencephalography (EEG). We reasoned that our selection of Independent component analysis (ICA, </w:t>
      </w:r>
      <w:r>
        <w:rPr>
          <w:rFonts w:ascii="Arial" w:hAnsi="Arial" w:cs="Arial"/>
        </w:rPr>
        <w:fldChar w:fldCharType="begin"/>
      </w:r>
      <w:r>
        <w:rPr>
          <w:rFonts w:ascii="Arial" w:hAnsi="Arial" w:cs="Arial"/>
        </w:rPr>
        <w:instrText xml:space="preserve"> ADDIN ZOTERO_ITEM CSL_CITATION {"citationID":"nk5WLcNP","properties":{"formattedCitation":"(Bell and Sejnowski, 1995)","plainCitation":"(Bell and Sejnowski, 1995)","dontUpdate":true,"noteIndex":0},"citationItems":[{"id":2722,"uris":["http://zotero.org/users/82215/items/KQB2D4HW"],"itemData":{"id":2722,"type":"article-journal","abstract":"We derive a new self-organizing learning algorithm that maximizes the information transferred in a network of nonlinear units. The algorithm does not assume any knowledge of the input distributions, and is defined here for the zero-noise limit. Under these conditions, information maximization has extra properties not found in the linear case (Linsker 1989). The nonlinearities in the transfer function are able to pick up higher-order moments of the input distributions and perform something akin to true redundancy reduction between units in the output representation. This enables the network to separate statistically independent components in the inputs: a higher-order generalization of principal components analysis. We apply the network to the source separation (or cocktail party) problem, successfully separating unknown mixtures of up to 10 speakers. We also show that a variant on the network architecture is able to perform blind deconvolution (cancellation of unknown echoes and reverberation in a speech signal). Finally, we derive dependencies of information transfer on time delays. We suggest that information maximization provides a unifying framework for problems in \"blind\" signal processing.","container-title":"Neural Comput","ISSN":"0899-7667 (Print) 0899-7667 (Linking)","issue":"6","language":"eng","page":"1129-1159","title":"An information-maximization approach to blind separation and blind deconvolution","URL":"http://www.ncbi.nlm.nih.gov/pubmed/7584893","volume":"7","author":[{"family":"Bell","given":"A J"},{"family":"Sejnowski","given":"T J"}],"issued":{"date-parts":[["1995"]]}}}],"schema":"https://github.com/citation-style-language/schema/raw/master/csl-citation.json"} </w:instrText>
      </w:r>
      <w:r>
        <w:rPr>
          <w:rFonts w:ascii="Arial" w:hAnsi="Arial" w:cs="Arial"/>
        </w:rPr>
        <w:fldChar w:fldCharType="separate"/>
      </w:r>
      <w:r w:rsidRPr="00846944">
        <w:rPr>
          <w:rFonts w:ascii="Arial" w:hAnsi="Arial" w:cs="Arial"/>
        </w:rPr>
        <w:t>Bell and Sejnowski, 1995</w:t>
      </w:r>
      <w:r>
        <w:rPr>
          <w:rFonts w:ascii="Arial" w:hAnsi="Arial" w:cs="Arial"/>
        </w:rPr>
        <w:fldChar w:fldCharType="end"/>
      </w:r>
      <w:r w:rsidRPr="00B70120">
        <w:rPr>
          <w:rFonts w:ascii="Arial" w:hAnsi="Arial" w:cs="Arial"/>
        </w:rPr>
        <w:t>)</w:t>
      </w:r>
      <w:r>
        <w:rPr>
          <w:rFonts w:ascii="Arial" w:hAnsi="Arial" w:cs="Arial"/>
        </w:rPr>
        <w:t xml:space="preserve"> </w:t>
      </w:r>
      <w:r w:rsidRPr="00B70120">
        <w:rPr>
          <w:rFonts w:ascii="Arial" w:hAnsi="Arial" w:cs="Arial"/>
        </w:rPr>
        <w:t>clusters</w:t>
      </w:r>
      <w:r>
        <w:rPr>
          <w:rFonts w:ascii="Arial" w:hAnsi="Arial" w:cs="Arial"/>
        </w:rPr>
        <w:t>,</w:t>
      </w:r>
      <w:r w:rsidRPr="00B70120">
        <w:rPr>
          <w:rFonts w:ascii="Arial" w:hAnsi="Arial" w:cs="Arial"/>
        </w:rPr>
        <w:t xml:space="preserve"> obtained with the ISCTEST approach </w:t>
      </w:r>
      <w:r>
        <w:rPr>
          <w:rFonts w:ascii="Arial" w:hAnsi="Arial" w:cs="Arial"/>
        </w:rPr>
        <w:fldChar w:fldCharType="begin"/>
      </w:r>
      <w:r>
        <w:rPr>
          <w:rFonts w:ascii="Arial" w:hAnsi="Arial" w:cs="Arial"/>
        </w:rPr>
        <w:instrText xml:space="preserve"> ADDIN ZOTERO_ITEM CSL_CITATION {"citationID":"T9VeKa9X","properties":{"formattedCitation":"(Hyv\\uc0\\u228{}rinen, 2011; Hyv\\uc0\\u228{}rinen and Ramkumar, 2013)","plainCitation":"(Hyvärinen, 2011; Hyvärinen and Ramkumar, 2013)","noteIndex":0},"citationItems":[{"id":3199,"uris":["http://zotero.org/users/82215/items/3PC7WHXM"],"itemData":{"id":3199,"type":"article-journal","abstract":"Independent component analysis (ICA) is increasingly used for analyzing brain imaging data. ICA typically gives a large number of components, many of which may be just random, due to insufficient sample size, violations of the model, or algorithmic problems. Few methods are available for computing the statistical significance (reliability) of the components. We propose to approach this problem by performing ICA separately on a number of subjects, and finding components which are sufficiently consistent (similar) over subjects. Similarity is defined here as the similarity of the mixing coefficients, which usually correspond to spatial patterns in EEG and MEG. The threshold of what is \"sufficient\" is rigorously defined by a null hypothesis under which the independent components are random orthogonal components in the whitened space. Components which are consistent in different subjects are found by clustering under the constraint that a cluster can only contain one source from each subject, and by constraining the number of the false positives based on the null hypothesis. Instead of different subjects, the method can also be applied on different recording sessions from a single subject. The testing method is particularly applicable to EEG and MEG analysis.","container-title":"NeuroImage","DOI":"10.1016/j.neuroimage.2011.05.086","ISSN":"1095-9572","issue":"1","journalAbbreviation":"Neuroimage","language":"eng","note":"PMID: 21704714","page":"122-136","source":"PubMed","title":"Testing the ICA mixing matrix based on inter-subject or inter-session consistency","volume":"58","author":[{"family":"Hyvärinen","given":"Aapo"}],"issued":{"date-parts":[["2011",9,1]]}}},{"id":3198,"uris":["http://zotero.org/users/82215/items/2JY29F25"],"itemData":{"id":3198,"type":"article-journal","abstract":"Independent component analysis (ICA) is increasingly used to analyze patterns of spontaneous activity in brain imaging. However, there are hardly any methods for answering the fundamental question: are the obtained components statistically significant? Most methods considering the significance of components either consider group-differences or use arbitrary thresholds with weak statistical justification. In previous work, we proposed a statistically principled method for testing if the coefficients in the mixing matrix are similar in different subjects or sessions. In many applications of ICA, however, we would like to test the reliability of the independent components themselves and not the mixing coefficients. Here, we develop a test for such an inter-subject consistency by extending our previous theory. The test is applicable, for example, to the spatial activity patterns obtained by spatial ICA in resting-state fMRI. We further improve both this and the previously proposed testing method by introducing a new way of correcting for multiple testing, new variants of the clustering method, and a computational approximation which greatly reduces the memory and computation required.","container-title":"Frontiers in Human Neuroscience","DOI":"10.3389/fnhum.2013.00094","ISSN":"1662-5161","journalAbbreviation":"Front Hum Neurosci","language":"eng","note":"PMID: 23525229\nPMCID: PMC3605514","page":"94","source":"PubMed","title":"Testing independent component patterns by inter-subject or inter-session consistency","volume":"7","author":[{"family":"Hyvärinen","given":"Aapo"},{"family":"Ramkumar","given":"Pavan"}],"issued":{"date-parts":[["2013"]]}}}],"schema":"https://github.com/citation-style-language/schema/raw/master/csl-citation.json"} </w:instrText>
      </w:r>
      <w:r>
        <w:rPr>
          <w:rFonts w:ascii="Arial" w:hAnsi="Arial" w:cs="Arial"/>
        </w:rPr>
        <w:fldChar w:fldCharType="separate"/>
      </w:r>
      <w:r w:rsidRPr="00846944">
        <w:rPr>
          <w:rFonts w:ascii="Arial" w:hAnsi="Arial" w:cs="Arial"/>
          <w:szCs w:val="24"/>
        </w:rPr>
        <w:t>(Hyvärinen, 2011; Hyvärinen and Ramkumar, 2013)</w:t>
      </w:r>
      <w:r>
        <w:rPr>
          <w:rFonts w:ascii="Arial" w:hAnsi="Arial" w:cs="Arial"/>
        </w:rPr>
        <w:fldChar w:fldCharType="end"/>
      </w:r>
      <w:r>
        <w:rPr>
          <w:rFonts w:ascii="Arial" w:hAnsi="Arial" w:cs="Arial"/>
        </w:rPr>
        <w:t>,</w:t>
      </w:r>
      <w:r w:rsidRPr="00B70120">
        <w:rPr>
          <w:rFonts w:ascii="Arial" w:hAnsi="Arial" w:cs="Arial"/>
        </w:rPr>
        <w:t xml:space="preserve"> could have hampered the discovery of a negative relationship</w:t>
      </w:r>
      <w:r>
        <w:rPr>
          <w:rFonts w:ascii="Arial" w:hAnsi="Arial" w:cs="Arial"/>
        </w:rPr>
        <w:t xml:space="preserve"> between peak alpha frequency (PAF) at rest and unpleasantness ratings</w:t>
      </w:r>
      <w:r w:rsidRPr="00B70120">
        <w:rPr>
          <w:rFonts w:ascii="Arial" w:hAnsi="Arial" w:cs="Arial"/>
        </w:rPr>
        <w:t xml:space="preserve">. Therefore, </w:t>
      </w:r>
      <w:r w:rsidR="006B6D86">
        <w:rPr>
          <w:rFonts w:ascii="Arial" w:hAnsi="Arial" w:cs="Arial"/>
        </w:rPr>
        <w:t>in contrast to</w:t>
      </w:r>
      <w:r w:rsidRPr="00B70120">
        <w:rPr>
          <w:rFonts w:ascii="Arial" w:hAnsi="Arial" w:cs="Arial"/>
        </w:rPr>
        <w:t xml:space="preserve"> our previous approach, we used all the </w:t>
      </w:r>
      <w:r>
        <w:rPr>
          <w:rFonts w:ascii="Arial" w:hAnsi="Arial" w:cs="Arial"/>
        </w:rPr>
        <w:t xml:space="preserve">available </w:t>
      </w:r>
      <w:r w:rsidRPr="00B70120">
        <w:rPr>
          <w:rFonts w:ascii="Arial" w:hAnsi="Arial" w:cs="Arial"/>
        </w:rPr>
        <w:t xml:space="preserve">clusters </w:t>
      </w:r>
      <w:r>
        <w:rPr>
          <w:rFonts w:ascii="Arial" w:hAnsi="Arial" w:cs="Arial"/>
        </w:rPr>
        <w:t xml:space="preserve">(i.e., 42) </w:t>
      </w:r>
      <w:r w:rsidRPr="00B70120">
        <w:rPr>
          <w:rFonts w:ascii="Arial" w:hAnsi="Arial" w:cs="Arial"/>
        </w:rPr>
        <w:t xml:space="preserve">and no </w:t>
      </w:r>
      <w:r>
        <w:rPr>
          <w:rFonts w:ascii="Arial" w:hAnsi="Arial" w:cs="Arial"/>
        </w:rPr>
        <w:t xml:space="preserve">scalp </w:t>
      </w:r>
      <w:r w:rsidRPr="00B70120">
        <w:rPr>
          <w:rFonts w:ascii="Arial" w:hAnsi="Arial" w:cs="Arial"/>
        </w:rPr>
        <w:t xml:space="preserve">regions of interest for </w:t>
      </w:r>
      <w:r w:rsidR="00460953">
        <w:rPr>
          <w:rFonts w:ascii="Arial" w:hAnsi="Arial" w:cs="Arial"/>
        </w:rPr>
        <w:t xml:space="preserve">the current </w:t>
      </w:r>
      <w:r w:rsidRPr="00B70120">
        <w:rPr>
          <w:rFonts w:ascii="Arial" w:hAnsi="Arial" w:cs="Arial"/>
        </w:rPr>
        <w:t>analys</w:t>
      </w:r>
      <w:r w:rsidR="00460953">
        <w:rPr>
          <w:rFonts w:ascii="Arial" w:hAnsi="Arial" w:cs="Arial"/>
        </w:rPr>
        <w:t>e</w:t>
      </w:r>
      <w:r w:rsidRPr="00B70120">
        <w:rPr>
          <w:rFonts w:ascii="Arial" w:hAnsi="Arial" w:cs="Arial"/>
        </w:rPr>
        <w:t>s</w:t>
      </w:r>
      <w:r>
        <w:rPr>
          <w:rFonts w:ascii="Arial" w:hAnsi="Arial" w:cs="Arial"/>
        </w:rPr>
        <w:t xml:space="preserve"> (see also the main reply)</w:t>
      </w:r>
      <w:r w:rsidRPr="00B70120">
        <w:rPr>
          <w:rFonts w:ascii="Arial" w:hAnsi="Arial" w:cs="Arial"/>
        </w:rPr>
        <w:t>.</w:t>
      </w:r>
      <w:r>
        <w:rPr>
          <w:rFonts w:ascii="Arial" w:hAnsi="Arial" w:cs="Arial"/>
        </w:rPr>
        <w:t xml:space="preserve"> </w:t>
      </w:r>
    </w:p>
    <w:p w14:paraId="6F37225A" w14:textId="47D64226" w:rsidR="00851626" w:rsidRDefault="00EA115B" w:rsidP="00701689">
      <w:pPr>
        <w:spacing w:line="480" w:lineRule="auto"/>
        <w:jc w:val="both"/>
        <w:rPr>
          <w:rFonts w:ascii="Arial" w:hAnsi="Arial" w:cs="Arial"/>
        </w:rPr>
      </w:pPr>
      <w:r w:rsidRPr="00335F6A">
        <w:rPr>
          <w:rFonts w:ascii="Arial" w:hAnsi="Arial" w:cs="Arial"/>
        </w:rPr>
        <w:t xml:space="preserve">Bayesian analyses were performed with </w:t>
      </w:r>
      <w:proofErr w:type="spellStart"/>
      <w:r w:rsidRPr="00335F6A">
        <w:rPr>
          <w:rFonts w:ascii="Arial" w:hAnsi="Arial" w:cs="Arial"/>
        </w:rPr>
        <w:t>Jamovi</w:t>
      </w:r>
      <w:proofErr w:type="spellEnd"/>
      <w:r w:rsidRPr="00335F6A">
        <w:rPr>
          <w:rFonts w:ascii="Arial" w:hAnsi="Arial" w:cs="Arial"/>
        </w:rPr>
        <w:t xml:space="preserve"> (The </w:t>
      </w:r>
      <w:proofErr w:type="spellStart"/>
      <w:r w:rsidRPr="00335F6A">
        <w:rPr>
          <w:rFonts w:ascii="Arial" w:hAnsi="Arial" w:cs="Arial"/>
        </w:rPr>
        <w:t>Jamovi</w:t>
      </w:r>
      <w:proofErr w:type="spellEnd"/>
      <w:r w:rsidRPr="00335F6A">
        <w:rPr>
          <w:rFonts w:ascii="Arial" w:hAnsi="Arial" w:cs="Arial"/>
        </w:rPr>
        <w:t xml:space="preserve"> Project, 2020; v. 2.3.2). Normality was assessed for all the data using Q-Q plots and Shapiro-Wilk test. Because several variables departed from normality, whenever a supported correlation obtained with the Pearson’s Rho coefficient emerged, we also calculated Kendall’s tau. The Bayes Factors (BF10) were calculated with a stretched beta prior width of 1 and reported with their 95% credible intervals.</w:t>
      </w:r>
    </w:p>
    <w:p w14:paraId="402D09AB" w14:textId="77777777" w:rsidR="00EA115B" w:rsidRPr="00CF08F1" w:rsidRDefault="00EA115B" w:rsidP="00701689">
      <w:pPr>
        <w:spacing w:line="480" w:lineRule="auto"/>
        <w:jc w:val="both"/>
        <w:rPr>
          <w:rFonts w:ascii="Arial" w:hAnsi="Arial" w:cs="Arial"/>
          <w:b/>
          <w:bCs/>
        </w:rPr>
      </w:pPr>
    </w:p>
    <w:p w14:paraId="1F537C91" w14:textId="71B584DA" w:rsidR="00CF08F1" w:rsidRPr="00B13E0F" w:rsidRDefault="00CF08F1" w:rsidP="00CF08F1">
      <w:pPr>
        <w:spacing w:line="480" w:lineRule="auto"/>
        <w:jc w:val="both"/>
        <w:rPr>
          <w:rFonts w:ascii="Arial" w:hAnsi="Arial" w:cs="Arial"/>
          <w:b/>
          <w:bCs/>
        </w:rPr>
      </w:pPr>
      <w:r w:rsidRPr="00B13E0F">
        <w:rPr>
          <w:rFonts w:ascii="Arial" w:hAnsi="Arial" w:cs="Arial"/>
          <w:b/>
          <w:bCs/>
        </w:rPr>
        <w:t xml:space="preserve">On the independence between slow and slowing alpha brain oscillations </w:t>
      </w:r>
    </w:p>
    <w:p w14:paraId="72D2ECF0" w14:textId="254F7E74" w:rsidR="00CF08F1" w:rsidRPr="00B77FBA" w:rsidRDefault="00CF08F1" w:rsidP="00701689">
      <w:pPr>
        <w:spacing w:line="480" w:lineRule="auto"/>
        <w:jc w:val="both"/>
        <w:rPr>
          <w:rFonts w:ascii="Arial" w:hAnsi="Arial" w:cs="Arial"/>
        </w:rPr>
      </w:pPr>
      <w:r>
        <w:rPr>
          <w:rFonts w:ascii="Arial" w:hAnsi="Arial" w:cs="Arial"/>
        </w:rPr>
        <w:t xml:space="preserve">For this first analysis we used the previously extracted data </w:t>
      </w:r>
      <w:r w:rsidR="00AF4F21">
        <w:rPr>
          <w:rFonts w:ascii="Arial" w:hAnsi="Arial" w:cs="Arial"/>
        </w:rPr>
        <w:t xml:space="preserve">from </w:t>
      </w:r>
      <w:r>
        <w:rPr>
          <w:rFonts w:ascii="Arial" w:hAnsi="Arial" w:cs="Arial"/>
        </w:rPr>
        <w:t>Valentini et a</w:t>
      </w:r>
      <w:r w:rsidR="00AF4F21">
        <w:rPr>
          <w:rFonts w:ascii="Arial" w:hAnsi="Arial" w:cs="Arial"/>
        </w:rPr>
        <w:t>l</w:t>
      </w:r>
      <w:r>
        <w:rPr>
          <w:rFonts w:ascii="Arial" w:hAnsi="Arial" w:cs="Arial"/>
        </w:rPr>
        <w:t xml:space="preserve">., </w:t>
      </w:r>
      <w:r>
        <w:rPr>
          <w:rFonts w:ascii="Arial" w:hAnsi="Arial" w:cs="Arial"/>
        </w:rPr>
        <w:fldChar w:fldCharType="begin"/>
      </w:r>
      <w:r>
        <w:rPr>
          <w:rFonts w:ascii="Arial" w:hAnsi="Arial" w:cs="Arial"/>
        </w:rPr>
        <w:instrText xml:space="preserve"> ADDIN ZOTERO_ITEM CSL_CITATION {"citationID":"6LiQx2lV","properties":{"formattedCitation":"(Valentini et al., 2022)","plainCitation":"(Valentini et al., 2022)","noteIndex":0},"citationItems":[{"id":6835,"uris":["http://zotero.org/users/82215/items/76YIXXLS"],"itemData":{"id":6835,"type":"article-journal","abstract":"Recent research proposed that the slowing of individual alpha frequency (IAF) could be an objective marker of pain. However, it is unclear whether this research can fully address the requirements of specificity and sensitivity of IAF to the pain experience. Here, we sought to develop a robust methodology for assessing the specificity of the relationship between alpha oscillations and acute tonic pain in healthy individuals. We recorded electroencephalography (EEG) of 36 volunteers during consecutive 5-minute sessions of painful hot water immersion, innocuous warm water immersion and aversive, non-painful auditory stimulus, matched by unpleasantness to the painful condition. Participants rated stimulus unpleasantness throughout each condition. We isolated two regions of the scalp displaying peak alpha activity across participants: centro-parietal (CP) and parieto-occipital (PO) ROI. In line with previous research our findings revealed decreased IAF during hot compared with warm stimulation, however the effect was not specific for pain as we found no difference between hot and sound in the CP ROI (compared to baseline). In contrast, the PO ROI reported the same pattern of differences, but their direction was opposite to the CP in that this ROI revealed faster frequency during hot condition than controls. Finally, we show that IAF in both ROIs did not mediate the relationship between the experimental manipulation and the affective experience. Altogether, these findings emphasize the importance of a robust methodological and analytical design to disclose the functional role of alpha oscillations during affective processing. Likewise, they suggest the absence of a causal role of IAF in the generation of acute pain experience in healthy individuals.","container-title":"NeuroImage","DOI":"10.1016/j.neuroimage.2022.119143","ISSN":"1053-8119","journalAbbreviation":"NeuroImage","language":"en","page":"119143","source":"ScienceDirect","title":"Assessing the specificity of the relationship between brain alpha oscillations and tonic pain","URL":"https://www.sciencedirect.com/science/article/pii/S1053811922002701","volume":"255","author":[{"family":"Valentini","given":"Elia"},{"family":"Halder","given":"Sebastian"},{"family":"McInnerney","given":"Daisy"},{"family":"Cooke","given":"Jason"},{"family":"Gyimes","given":"Istvan L."},{"family":"Romei","given":"Vincenzo"}],"accessed":{"date-parts":[["2023",4,12]]},"issued":{"date-parts":[["2022",7,15]]}}}],"schema":"https://github.com/citation-style-language/schema/raw/master/csl-citation.json"} </w:instrText>
      </w:r>
      <w:r>
        <w:rPr>
          <w:rFonts w:ascii="Arial" w:hAnsi="Arial" w:cs="Arial"/>
        </w:rPr>
        <w:fldChar w:fldCharType="separate"/>
      </w:r>
      <w:r w:rsidRPr="00CF08F1">
        <w:rPr>
          <w:rFonts w:ascii="Arial" w:hAnsi="Arial" w:cs="Arial"/>
        </w:rPr>
        <w:t>(2022)</w:t>
      </w:r>
      <w:r>
        <w:rPr>
          <w:rFonts w:ascii="Arial" w:hAnsi="Arial" w:cs="Arial"/>
        </w:rPr>
        <w:fldChar w:fldCharType="end"/>
      </w:r>
      <w:r>
        <w:rPr>
          <w:rFonts w:ascii="Arial" w:hAnsi="Arial" w:cs="Arial"/>
        </w:rPr>
        <w:t xml:space="preserve"> and simply correlated the </w:t>
      </w:r>
      <w:r w:rsidRPr="00B70120">
        <w:rPr>
          <w:rFonts w:ascii="Arial" w:hAnsi="Arial" w:cs="Arial"/>
        </w:rPr>
        <w:t>ΔPAF (i.e., slowing) and pain-free state PAF (i.e., slow</w:t>
      </w:r>
      <w:r>
        <w:rPr>
          <w:rFonts w:ascii="Arial" w:hAnsi="Arial" w:cs="Arial"/>
        </w:rPr>
        <w:t xml:space="preserve">) for both the </w:t>
      </w:r>
      <w:r w:rsidRPr="00787674">
        <w:rPr>
          <w:rFonts w:ascii="Arial" w:hAnsi="Arial" w:cs="Arial"/>
        </w:rPr>
        <w:t xml:space="preserve">bilateral </w:t>
      </w:r>
      <w:proofErr w:type="spellStart"/>
      <w:r w:rsidRPr="00787674">
        <w:rPr>
          <w:rFonts w:ascii="Arial" w:hAnsi="Arial" w:cs="Arial"/>
        </w:rPr>
        <w:t>centro</w:t>
      </w:r>
      <w:proofErr w:type="spellEnd"/>
      <w:r w:rsidRPr="00787674">
        <w:rPr>
          <w:rFonts w:ascii="Arial" w:hAnsi="Arial" w:cs="Arial"/>
        </w:rPr>
        <w:t>-parietal (CP) ROI and the bilateral parieto-occipital (PO) ROI</w:t>
      </w:r>
      <w:r>
        <w:rPr>
          <w:rFonts w:ascii="Arial" w:hAnsi="Arial" w:cs="Arial"/>
        </w:rPr>
        <w:t>, for both eyes-</w:t>
      </w:r>
      <w:r>
        <w:rPr>
          <w:rFonts w:ascii="Arial" w:hAnsi="Arial" w:cs="Arial"/>
        </w:rPr>
        <w:lastRenderedPageBreak/>
        <w:t>open and eyes-close</w:t>
      </w:r>
      <w:r w:rsidR="006B6D86">
        <w:rPr>
          <w:rFonts w:ascii="Arial" w:hAnsi="Arial" w:cs="Arial"/>
        </w:rPr>
        <w:t>d</w:t>
      </w:r>
      <w:r>
        <w:rPr>
          <w:rFonts w:ascii="Arial" w:hAnsi="Arial" w:cs="Arial"/>
        </w:rPr>
        <w:t xml:space="preserve"> conditions</w:t>
      </w:r>
      <w:r w:rsidRPr="00787674">
        <w:rPr>
          <w:rFonts w:ascii="Arial" w:hAnsi="Arial" w:cs="Arial"/>
        </w:rPr>
        <w:t>.</w:t>
      </w:r>
      <w:r>
        <w:rPr>
          <w:rFonts w:ascii="Arial" w:hAnsi="Arial" w:cs="Arial"/>
        </w:rPr>
        <w:t xml:space="preserve"> We </w:t>
      </w:r>
      <w:r w:rsidRPr="00B77FBA">
        <w:rPr>
          <w:rFonts w:ascii="Arial" w:hAnsi="Arial" w:cs="Arial"/>
        </w:rPr>
        <w:t xml:space="preserve">established a two-tailed hypothesis. </w:t>
      </w:r>
      <w:r w:rsidR="004B7A42" w:rsidRPr="00B77FBA">
        <w:rPr>
          <w:rFonts w:ascii="Arial" w:hAnsi="Arial" w:cs="Arial"/>
        </w:rPr>
        <w:t>All the correlations are reported in Table 1 whereas we will here provide a scatterplot of the only correlation that indicated a credible relationship (Fig. s1)</w:t>
      </w:r>
      <w:r w:rsidR="00396DFC" w:rsidRPr="00B77FBA">
        <w:rPr>
          <w:rFonts w:ascii="Arial" w:hAnsi="Arial" w:cs="Arial"/>
        </w:rPr>
        <w:t xml:space="preserve"> as well as the graphs showing the Bayesian analyses (Figs. s2)</w:t>
      </w:r>
      <w:r w:rsidR="004B7A42" w:rsidRPr="00B77FBA">
        <w:rPr>
          <w:rFonts w:ascii="Arial" w:hAnsi="Arial" w:cs="Arial"/>
        </w:rPr>
        <w:t>.</w:t>
      </w:r>
      <w:r w:rsidR="00460953" w:rsidRPr="00B77FBA">
        <w:rPr>
          <w:rFonts w:ascii="Arial" w:hAnsi="Arial" w:cs="Arial"/>
        </w:rPr>
        <w:t xml:space="preserve"> </w:t>
      </w:r>
    </w:p>
    <w:p w14:paraId="465EE16C" w14:textId="77777777" w:rsidR="004B7A42" w:rsidRDefault="004B7A42" w:rsidP="00701689">
      <w:pPr>
        <w:spacing w:line="480" w:lineRule="auto"/>
        <w:jc w:val="both"/>
        <w:rPr>
          <w:rFonts w:ascii="Arial" w:hAnsi="Arial" w:cs="Arial"/>
        </w:rPr>
      </w:pPr>
    </w:p>
    <w:p w14:paraId="7FA5601E" w14:textId="212EEA86" w:rsidR="00161C71" w:rsidRDefault="004B7A42" w:rsidP="00701689">
      <w:pPr>
        <w:spacing w:line="480" w:lineRule="auto"/>
        <w:jc w:val="both"/>
        <w:rPr>
          <w:rFonts w:ascii="Arial" w:hAnsi="Arial" w:cs="Arial"/>
        </w:rPr>
      </w:pPr>
      <w:r>
        <w:rPr>
          <w:noProof/>
        </w:rPr>
        <w:drawing>
          <wp:inline distT="0" distB="0" distL="0" distR="0" wp14:anchorId="116E7A40" wp14:editId="7B090185">
            <wp:extent cx="3621684" cy="3254942"/>
            <wp:effectExtent l="0" t="0" r="0" b="3175"/>
            <wp:docPr id="692489595" name="Picture 1" descr="A graph of 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2489595" name="Picture 1" descr="A graph of a graph of a graph&#10;&#10;Description automatically generated with medium confidence"/>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35639" cy="3267484"/>
                    </a:xfrm>
                    <a:prstGeom prst="rect">
                      <a:avLst/>
                    </a:prstGeom>
                    <a:noFill/>
                    <a:ln>
                      <a:noFill/>
                    </a:ln>
                  </pic:spPr>
                </pic:pic>
              </a:graphicData>
            </a:graphic>
          </wp:inline>
        </w:drawing>
      </w:r>
    </w:p>
    <w:p w14:paraId="79AEE7EA" w14:textId="1C64BB6E" w:rsidR="00396DFC" w:rsidRDefault="004B7A42" w:rsidP="0047292E">
      <w:pPr>
        <w:spacing w:line="360" w:lineRule="auto"/>
        <w:jc w:val="both"/>
        <w:rPr>
          <w:rFonts w:ascii="Segoe UI" w:eastAsia="Times New Roman" w:hAnsi="Segoe UI" w:cs="Segoe UI"/>
          <w:color w:val="333333"/>
          <w:sz w:val="18"/>
          <w:szCs w:val="18"/>
          <w:lang w:eastAsia="en-GB"/>
        </w:rPr>
      </w:pPr>
      <w:r w:rsidRPr="004B7A42">
        <w:rPr>
          <w:rFonts w:ascii="Arial" w:hAnsi="Arial" w:cs="Arial"/>
          <w:sz w:val="20"/>
          <w:szCs w:val="20"/>
        </w:rPr>
        <w:t xml:space="preserve">Fig s1. </w:t>
      </w:r>
      <w:r w:rsidRPr="00A90FDA">
        <w:rPr>
          <w:rFonts w:ascii="Arial" w:hAnsi="Arial" w:cs="Arial"/>
          <w:sz w:val="18"/>
          <w:szCs w:val="18"/>
        </w:rPr>
        <w:t xml:space="preserve">Visualization of the Bayesian Pearson’s Coefficient between ΔPAF and pre-PAF during eyes-open and recorded in the PO ROI. The confidence band around the linear regression line represents the standard error. The side boxplots indicate the distribution </w:t>
      </w:r>
      <w:r w:rsidR="004A0138" w:rsidRPr="00A90FDA">
        <w:rPr>
          <w:rFonts w:ascii="Arial" w:hAnsi="Arial" w:cs="Arial"/>
          <w:sz w:val="18"/>
          <w:szCs w:val="18"/>
        </w:rPr>
        <w:t xml:space="preserve">for both variables. Note how </w:t>
      </w:r>
      <w:r w:rsidRPr="00A90FDA">
        <w:rPr>
          <w:rFonts w:ascii="Arial" w:hAnsi="Arial" w:cs="Arial"/>
          <w:sz w:val="18"/>
          <w:szCs w:val="18"/>
        </w:rPr>
        <w:t xml:space="preserve">the higher the </w:t>
      </w:r>
      <w:r w:rsidR="004A0138" w:rsidRPr="00A90FDA">
        <w:rPr>
          <w:rFonts w:ascii="Arial" w:hAnsi="Arial" w:cs="Arial"/>
          <w:sz w:val="18"/>
          <w:szCs w:val="18"/>
        </w:rPr>
        <w:t xml:space="preserve">baseline eyes-open PAF the greater the change in PAF from this baseline to the </w:t>
      </w:r>
      <w:r w:rsidR="00396DFC" w:rsidRPr="00A90FDA">
        <w:rPr>
          <w:rFonts w:ascii="Arial" w:hAnsi="Arial" w:cs="Arial"/>
          <w:sz w:val="18"/>
          <w:szCs w:val="18"/>
        </w:rPr>
        <w:t>hot pain condition when these are measured at the level of the parieto-occipital clusters.</w:t>
      </w:r>
      <w:r w:rsidRPr="00A90FDA">
        <w:rPr>
          <w:rFonts w:ascii="Arial" w:hAnsi="Arial" w:cs="Arial"/>
          <w:sz w:val="18"/>
          <w:szCs w:val="18"/>
        </w:rPr>
        <w:t xml:space="preserve"> </w:t>
      </w:r>
    </w:p>
    <w:p w14:paraId="1724A6B6" w14:textId="77777777" w:rsidR="0047292E" w:rsidRDefault="0047292E" w:rsidP="0047292E">
      <w:pPr>
        <w:spacing w:line="240" w:lineRule="auto"/>
        <w:rPr>
          <w:rFonts w:ascii="Segoe UI" w:eastAsia="Times New Roman" w:hAnsi="Segoe UI" w:cs="Segoe UI"/>
          <w:color w:val="333333"/>
          <w:sz w:val="18"/>
          <w:szCs w:val="18"/>
          <w:lang w:eastAsia="en-GB"/>
        </w:rPr>
      </w:pPr>
    </w:p>
    <w:p w14:paraId="11518E76" w14:textId="77777777" w:rsidR="0047292E" w:rsidRDefault="0047292E" w:rsidP="0047292E">
      <w:pPr>
        <w:spacing w:line="240" w:lineRule="auto"/>
        <w:rPr>
          <w:rFonts w:ascii="Segoe UI" w:eastAsia="Times New Roman" w:hAnsi="Segoe UI" w:cs="Segoe UI"/>
          <w:color w:val="333333"/>
          <w:sz w:val="18"/>
          <w:szCs w:val="18"/>
          <w:lang w:eastAsia="en-GB"/>
        </w:rPr>
      </w:pPr>
    </w:p>
    <w:p w14:paraId="1C3BFB20" w14:textId="776DA4BA" w:rsidR="0047292E" w:rsidRPr="00396DFC" w:rsidRDefault="0047292E" w:rsidP="0047292E">
      <w:pPr>
        <w:spacing w:line="240" w:lineRule="auto"/>
        <w:rPr>
          <w:rFonts w:ascii="Segoe UI" w:eastAsia="Times New Roman" w:hAnsi="Segoe UI" w:cs="Segoe UI"/>
          <w:color w:val="333333"/>
          <w:sz w:val="18"/>
          <w:szCs w:val="18"/>
          <w:lang w:eastAsia="en-GB"/>
        </w:rPr>
      </w:pPr>
      <w:r>
        <w:rPr>
          <w:rFonts w:ascii="Segoe UI" w:eastAsia="Times New Roman" w:hAnsi="Segoe UI" w:cs="Segoe UI"/>
          <w:noProof/>
          <w:color w:val="333333"/>
          <w:sz w:val="18"/>
          <w:szCs w:val="18"/>
          <w:lang w:eastAsia="en-GB"/>
          <w14:ligatures w14:val="standardContextual"/>
        </w:rPr>
        <w:drawing>
          <wp:inline distT="0" distB="0" distL="0" distR="0" wp14:anchorId="4455684F" wp14:editId="5312CBCD">
            <wp:extent cx="5731510" cy="1640840"/>
            <wp:effectExtent l="0" t="0" r="2540" b="0"/>
            <wp:docPr id="1190244088" name="Picture 1" descr="A graph with a red d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244088" name="Picture 1" descr="A graph with a red dot&#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5731510" cy="1640840"/>
                    </a:xfrm>
                    <a:prstGeom prst="rect">
                      <a:avLst/>
                    </a:prstGeom>
                  </pic:spPr>
                </pic:pic>
              </a:graphicData>
            </a:graphic>
          </wp:inline>
        </w:drawing>
      </w:r>
    </w:p>
    <w:p w14:paraId="38E83814" w14:textId="6B95AFEA" w:rsidR="00F47A3E" w:rsidRPr="004B7A42" w:rsidRDefault="00F47A3E" w:rsidP="005456ED">
      <w:pPr>
        <w:spacing w:line="360" w:lineRule="auto"/>
        <w:jc w:val="both"/>
        <w:rPr>
          <w:rFonts w:ascii="Arial" w:hAnsi="Arial" w:cs="Arial"/>
          <w:sz w:val="20"/>
          <w:szCs w:val="20"/>
        </w:rPr>
      </w:pPr>
      <w:r w:rsidRPr="004B7A42">
        <w:rPr>
          <w:rFonts w:ascii="Arial" w:hAnsi="Arial" w:cs="Arial"/>
          <w:sz w:val="20"/>
          <w:szCs w:val="20"/>
        </w:rPr>
        <w:lastRenderedPageBreak/>
        <w:t>Fig s</w:t>
      </w:r>
      <w:r w:rsidR="009A37F7">
        <w:rPr>
          <w:rFonts w:ascii="Arial" w:hAnsi="Arial" w:cs="Arial"/>
          <w:sz w:val="20"/>
          <w:szCs w:val="20"/>
        </w:rPr>
        <w:t>2</w:t>
      </w:r>
      <w:r w:rsidRPr="004B7A42">
        <w:rPr>
          <w:rFonts w:ascii="Arial" w:hAnsi="Arial" w:cs="Arial"/>
          <w:sz w:val="20"/>
          <w:szCs w:val="20"/>
        </w:rPr>
        <w:t>.</w:t>
      </w:r>
      <w:r>
        <w:rPr>
          <w:rFonts w:ascii="Arial" w:hAnsi="Arial" w:cs="Arial"/>
          <w:sz w:val="20"/>
          <w:szCs w:val="20"/>
        </w:rPr>
        <w:t xml:space="preserve"> </w:t>
      </w:r>
      <w:r w:rsidRPr="00A90FDA">
        <w:rPr>
          <w:rFonts w:ascii="Arial" w:hAnsi="Arial" w:cs="Arial"/>
          <w:sz w:val="18"/>
          <w:szCs w:val="18"/>
        </w:rPr>
        <w:t>Visualization of the detailed Bayesian results for the relationship between ΔPAF and pre-PAF during eyes-open and recorded in the PO ROI. Note the large BF10 supporting the alternative hypothesis (left). This finding was further corroborated but the BF robustness check (centre) and the sequential analysis (right)</w:t>
      </w:r>
      <w:r w:rsidR="009A37F7" w:rsidRPr="00A90FDA">
        <w:rPr>
          <w:rFonts w:ascii="Arial" w:hAnsi="Arial" w:cs="Arial"/>
          <w:sz w:val="18"/>
          <w:szCs w:val="18"/>
        </w:rPr>
        <w:t>, showing how the correlation manifested strongly in the majority of the sample</w:t>
      </w:r>
      <w:r w:rsidRPr="00A90FDA">
        <w:rPr>
          <w:rFonts w:ascii="Arial" w:hAnsi="Arial" w:cs="Arial"/>
          <w:sz w:val="18"/>
          <w:szCs w:val="18"/>
        </w:rPr>
        <w:t xml:space="preserve">. </w:t>
      </w:r>
    </w:p>
    <w:p w14:paraId="5B3A2720" w14:textId="3FBC274A" w:rsidR="00CF08F1" w:rsidRDefault="00CF08F1">
      <w:pPr>
        <w:rPr>
          <w:rFonts w:ascii="Arial" w:hAnsi="Arial" w:cs="Arial"/>
          <w:sz w:val="20"/>
          <w:szCs w:val="20"/>
        </w:rPr>
      </w:pPr>
    </w:p>
    <w:p w14:paraId="1843B31E" w14:textId="77777777" w:rsidR="00403368" w:rsidRPr="00905472" w:rsidRDefault="00403368" w:rsidP="00403368">
      <w:pPr>
        <w:spacing w:line="480" w:lineRule="auto"/>
        <w:jc w:val="both"/>
        <w:rPr>
          <w:rFonts w:ascii="Arial" w:hAnsi="Arial" w:cs="Arial"/>
          <w:b/>
          <w:bCs/>
        </w:rPr>
      </w:pPr>
      <w:r w:rsidRPr="00905472">
        <w:rPr>
          <w:rFonts w:ascii="Arial" w:hAnsi="Arial" w:cs="Arial"/>
          <w:b/>
          <w:bCs/>
        </w:rPr>
        <w:t>On the predictivity of slow alpha brain oscillations in the generation of pain</w:t>
      </w:r>
    </w:p>
    <w:p w14:paraId="6A214550" w14:textId="5547BF80" w:rsidR="00B77FBA" w:rsidRPr="00B77FBA" w:rsidRDefault="00B77FBA" w:rsidP="00B77FBA">
      <w:pPr>
        <w:spacing w:line="480" w:lineRule="auto"/>
        <w:jc w:val="both"/>
        <w:rPr>
          <w:rFonts w:ascii="Arial" w:hAnsi="Arial" w:cs="Arial"/>
        </w:rPr>
      </w:pPr>
      <w:r w:rsidRPr="00B77FBA">
        <w:rPr>
          <w:rFonts w:ascii="Arial" w:hAnsi="Arial" w:cs="Arial"/>
        </w:rPr>
        <w:t>Because different number of ICs and participants contributed to different clusters</w:t>
      </w:r>
      <w:r w:rsidR="00AF4F21">
        <w:rPr>
          <w:rFonts w:ascii="Arial" w:hAnsi="Arial" w:cs="Arial"/>
        </w:rPr>
        <w:t>,</w:t>
      </w:r>
      <w:r w:rsidRPr="00B77FBA">
        <w:rPr>
          <w:rFonts w:ascii="Arial" w:hAnsi="Arial" w:cs="Arial"/>
        </w:rPr>
        <w:t xml:space="preserve"> we analysed each cluster separately. For each cluster we computed a Bayesian correlation between the eyes-closed pre-PAF and unpleasantness ratings during the hot pain condition (in keeping with our Colleagues’ approach, and to reduce the </w:t>
      </w:r>
      <w:r w:rsidR="00AF4F21" w:rsidRPr="00B77FBA">
        <w:rPr>
          <w:rFonts w:ascii="Arial" w:hAnsi="Arial" w:cs="Arial"/>
        </w:rPr>
        <w:t>number</w:t>
      </w:r>
      <w:r w:rsidRPr="00B77FBA">
        <w:rPr>
          <w:rFonts w:ascii="Arial" w:hAnsi="Arial" w:cs="Arial"/>
        </w:rPr>
        <w:t xml:space="preserve"> of tests, we excluded the eyes-open pre-PAF). We will here provide the graphs showing the Bayesian analyses (Figs. s</w:t>
      </w:r>
      <w:r>
        <w:rPr>
          <w:rFonts w:ascii="Arial" w:hAnsi="Arial" w:cs="Arial"/>
        </w:rPr>
        <w:t>3</w:t>
      </w:r>
      <w:r w:rsidRPr="00B77FBA">
        <w:rPr>
          <w:rFonts w:ascii="Arial" w:hAnsi="Arial" w:cs="Arial"/>
        </w:rPr>
        <w:t xml:space="preserve">). </w:t>
      </w:r>
    </w:p>
    <w:p w14:paraId="4D83D05E" w14:textId="77777777" w:rsidR="00F47A3E" w:rsidRDefault="00F47A3E">
      <w:pPr>
        <w:rPr>
          <w:rFonts w:ascii="Arial" w:hAnsi="Arial" w:cs="Arial"/>
          <w:sz w:val="20"/>
          <w:szCs w:val="20"/>
        </w:rPr>
      </w:pPr>
    </w:p>
    <w:p w14:paraId="342ABF54" w14:textId="6E3B6069" w:rsidR="00095193" w:rsidRDefault="002F6486">
      <w:pPr>
        <w:rPr>
          <w:rFonts w:ascii="Arial" w:hAnsi="Arial" w:cs="Arial"/>
          <w:sz w:val="20"/>
          <w:szCs w:val="20"/>
        </w:rPr>
      </w:pPr>
      <w:r>
        <w:rPr>
          <w:rFonts w:ascii="Arial" w:hAnsi="Arial" w:cs="Arial"/>
          <w:noProof/>
          <w:sz w:val="20"/>
          <w:szCs w:val="20"/>
          <w14:ligatures w14:val="standardContextual"/>
        </w:rPr>
        <w:drawing>
          <wp:inline distT="0" distB="0" distL="0" distR="0" wp14:anchorId="76EE7F46" wp14:editId="572C7A17">
            <wp:extent cx="5731510" cy="4091940"/>
            <wp:effectExtent l="0" t="0" r="2540" b="3810"/>
            <wp:docPr id="1572266086" name="Picture 2" descr="A collage of graphs and diagr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2266086" name="Picture 2" descr="A collage of graphs and diagrams&#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5731510" cy="4091940"/>
                    </a:xfrm>
                    <a:prstGeom prst="rect">
                      <a:avLst/>
                    </a:prstGeom>
                  </pic:spPr>
                </pic:pic>
              </a:graphicData>
            </a:graphic>
          </wp:inline>
        </w:drawing>
      </w:r>
    </w:p>
    <w:p w14:paraId="5210B74E" w14:textId="794B85C7" w:rsidR="00F47A3E" w:rsidRDefault="00E07FD6" w:rsidP="002F6486">
      <w:pPr>
        <w:spacing w:line="360" w:lineRule="auto"/>
        <w:jc w:val="both"/>
        <w:rPr>
          <w:rFonts w:ascii="Arial" w:hAnsi="Arial" w:cs="Arial"/>
          <w:sz w:val="20"/>
          <w:szCs w:val="20"/>
        </w:rPr>
      </w:pPr>
      <w:r w:rsidRPr="004B7A42">
        <w:rPr>
          <w:rFonts w:ascii="Arial" w:hAnsi="Arial" w:cs="Arial"/>
          <w:sz w:val="20"/>
          <w:szCs w:val="20"/>
        </w:rPr>
        <w:t>Fig s</w:t>
      </w:r>
      <w:r>
        <w:rPr>
          <w:rFonts w:ascii="Arial" w:hAnsi="Arial" w:cs="Arial"/>
          <w:sz w:val="20"/>
          <w:szCs w:val="20"/>
        </w:rPr>
        <w:t>3</w:t>
      </w:r>
      <w:r w:rsidRPr="004B7A42">
        <w:rPr>
          <w:rFonts w:ascii="Arial" w:hAnsi="Arial" w:cs="Arial"/>
          <w:sz w:val="20"/>
          <w:szCs w:val="20"/>
        </w:rPr>
        <w:t>.</w:t>
      </w:r>
      <w:r>
        <w:rPr>
          <w:rFonts w:ascii="Arial" w:hAnsi="Arial" w:cs="Arial"/>
          <w:sz w:val="20"/>
          <w:szCs w:val="20"/>
        </w:rPr>
        <w:t xml:space="preserve"> </w:t>
      </w:r>
      <w:r w:rsidRPr="00A90FDA">
        <w:rPr>
          <w:rFonts w:ascii="Arial" w:hAnsi="Arial" w:cs="Arial"/>
          <w:sz w:val="18"/>
          <w:szCs w:val="18"/>
        </w:rPr>
        <w:t xml:space="preserve">Visualization of the detailed Bayesian correlation between unpleasantness ratings and ΔPAF recorded during the hot painful condition in the only three significant clusters. Note </w:t>
      </w:r>
      <w:r w:rsidR="00654AAA" w:rsidRPr="00A90FDA">
        <w:rPr>
          <w:rFonts w:ascii="Arial" w:hAnsi="Arial" w:cs="Arial"/>
          <w:sz w:val="18"/>
          <w:szCs w:val="18"/>
        </w:rPr>
        <w:t xml:space="preserve">the </w:t>
      </w:r>
      <w:proofErr w:type="spellStart"/>
      <w:r w:rsidR="00654AAA" w:rsidRPr="00A90FDA">
        <w:rPr>
          <w:rFonts w:ascii="Arial" w:hAnsi="Arial" w:cs="Arial"/>
          <w:sz w:val="18"/>
          <w:szCs w:val="18"/>
        </w:rPr>
        <w:t>fronto</w:t>
      </w:r>
      <w:proofErr w:type="spellEnd"/>
      <w:r w:rsidR="00654AAA" w:rsidRPr="00A90FDA">
        <w:rPr>
          <w:rFonts w:ascii="Arial" w:hAnsi="Arial" w:cs="Arial"/>
          <w:sz w:val="18"/>
          <w:szCs w:val="18"/>
        </w:rPr>
        <w:t>-central</w:t>
      </w:r>
      <w:r w:rsidRPr="00A90FDA">
        <w:rPr>
          <w:rFonts w:ascii="Arial" w:hAnsi="Arial" w:cs="Arial"/>
          <w:sz w:val="18"/>
          <w:szCs w:val="18"/>
        </w:rPr>
        <w:t xml:space="preserve"> and </w:t>
      </w:r>
      <w:r w:rsidR="00654AAA" w:rsidRPr="00A90FDA">
        <w:rPr>
          <w:rFonts w:ascii="Arial" w:hAnsi="Arial" w:cs="Arial"/>
          <w:sz w:val="18"/>
          <w:szCs w:val="18"/>
        </w:rPr>
        <w:t xml:space="preserve">right </w:t>
      </w:r>
      <w:proofErr w:type="spellStart"/>
      <w:r w:rsidR="00654AAA" w:rsidRPr="00A90FDA">
        <w:rPr>
          <w:rFonts w:ascii="Arial" w:hAnsi="Arial" w:cs="Arial"/>
          <w:sz w:val="18"/>
          <w:szCs w:val="18"/>
        </w:rPr>
        <w:t>centro</w:t>
      </w:r>
      <w:proofErr w:type="spellEnd"/>
      <w:r w:rsidR="00654AAA" w:rsidRPr="00A90FDA">
        <w:rPr>
          <w:rFonts w:ascii="Arial" w:hAnsi="Arial" w:cs="Arial"/>
          <w:sz w:val="18"/>
          <w:szCs w:val="18"/>
        </w:rPr>
        <w:t>-parietal clusters associated</w:t>
      </w:r>
      <w:r w:rsidRPr="00A90FDA">
        <w:rPr>
          <w:rFonts w:ascii="Arial" w:hAnsi="Arial" w:cs="Arial"/>
          <w:sz w:val="18"/>
          <w:szCs w:val="18"/>
        </w:rPr>
        <w:t xml:space="preserve"> </w:t>
      </w:r>
      <w:r w:rsidR="00654AAA" w:rsidRPr="00A90FDA">
        <w:rPr>
          <w:rFonts w:ascii="Arial" w:hAnsi="Arial" w:cs="Arial"/>
          <w:sz w:val="18"/>
          <w:szCs w:val="18"/>
        </w:rPr>
        <w:t xml:space="preserve">with </w:t>
      </w:r>
      <w:r w:rsidRPr="00A90FDA">
        <w:rPr>
          <w:rFonts w:ascii="Arial" w:hAnsi="Arial" w:cs="Arial"/>
          <w:sz w:val="18"/>
          <w:szCs w:val="18"/>
        </w:rPr>
        <w:t>moderate BF10 supporting the alternative hypothesis (</w:t>
      </w:r>
      <w:r w:rsidR="00095193" w:rsidRPr="00A90FDA">
        <w:rPr>
          <w:rFonts w:ascii="Arial" w:hAnsi="Arial" w:cs="Arial"/>
          <w:sz w:val="18"/>
          <w:szCs w:val="18"/>
        </w:rPr>
        <w:t>top and middle</w:t>
      </w:r>
      <w:r w:rsidRPr="00A90FDA">
        <w:rPr>
          <w:rFonts w:ascii="Arial" w:hAnsi="Arial" w:cs="Arial"/>
          <w:sz w:val="18"/>
          <w:szCs w:val="18"/>
        </w:rPr>
        <w:t>)</w:t>
      </w:r>
      <w:r w:rsidR="00095193" w:rsidRPr="00A90FDA">
        <w:rPr>
          <w:rFonts w:ascii="Arial" w:hAnsi="Arial" w:cs="Arial"/>
          <w:sz w:val="18"/>
          <w:szCs w:val="18"/>
        </w:rPr>
        <w:t xml:space="preserve">, whereas </w:t>
      </w:r>
      <w:r w:rsidR="00654AAA" w:rsidRPr="00A90FDA">
        <w:rPr>
          <w:rFonts w:ascii="Arial" w:hAnsi="Arial" w:cs="Arial"/>
          <w:sz w:val="18"/>
          <w:szCs w:val="18"/>
        </w:rPr>
        <w:t>the posterior</w:t>
      </w:r>
      <w:r w:rsidR="00095193" w:rsidRPr="00A90FDA">
        <w:rPr>
          <w:rFonts w:ascii="Arial" w:hAnsi="Arial" w:cs="Arial"/>
          <w:sz w:val="18"/>
          <w:szCs w:val="18"/>
        </w:rPr>
        <w:t xml:space="preserve"> </w:t>
      </w:r>
      <w:r w:rsidR="00654AAA" w:rsidRPr="00A90FDA">
        <w:rPr>
          <w:rFonts w:ascii="Arial" w:hAnsi="Arial" w:cs="Arial"/>
          <w:sz w:val="18"/>
          <w:szCs w:val="18"/>
        </w:rPr>
        <w:t>parietal associated</w:t>
      </w:r>
      <w:r w:rsidR="00095193" w:rsidRPr="00A90FDA">
        <w:rPr>
          <w:rFonts w:ascii="Arial" w:hAnsi="Arial" w:cs="Arial"/>
          <w:sz w:val="18"/>
          <w:szCs w:val="18"/>
        </w:rPr>
        <w:t xml:space="preserve"> only </w:t>
      </w:r>
      <w:r w:rsidR="00654AAA" w:rsidRPr="00A90FDA">
        <w:rPr>
          <w:rFonts w:ascii="Arial" w:hAnsi="Arial" w:cs="Arial"/>
          <w:sz w:val="18"/>
          <w:szCs w:val="18"/>
        </w:rPr>
        <w:t xml:space="preserve">with </w:t>
      </w:r>
      <w:r w:rsidR="00095193" w:rsidRPr="00A90FDA">
        <w:rPr>
          <w:rFonts w:ascii="Arial" w:hAnsi="Arial" w:cs="Arial"/>
          <w:sz w:val="18"/>
          <w:szCs w:val="18"/>
        </w:rPr>
        <w:t>anecdotal evidence</w:t>
      </w:r>
      <w:r w:rsidRPr="00A90FDA">
        <w:rPr>
          <w:rFonts w:ascii="Arial" w:hAnsi="Arial" w:cs="Arial"/>
          <w:sz w:val="18"/>
          <w:szCs w:val="18"/>
        </w:rPr>
        <w:t xml:space="preserve">. </w:t>
      </w:r>
      <w:r w:rsidR="00F47A3E">
        <w:rPr>
          <w:rFonts w:ascii="Arial" w:hAnsi="Arial" w:cs="Arial"/>
          <w:sz w:val="20"/>
          <w:szCs w:val="20"/>
        </w:rPr>
        <w:br w:type="page"/>
      </w:r>
    </w:p>
    <w:p w14:paraId="6868F122" w14:textId="77777777" w:rsidR="00F47A3E" w:rsidRDefault="00F47A3E"/>
    <w:p w14:paraId="4B6FCB6E" w14:textId="6EC848E9" w:rsidR="00CF08F1" w:rsidRPr="00CF08F1" w:rsidRDefault="00CF08F1" w:rsidP="00654AAA">
      <w:pPr>
        <w:spacing w:line="480" w:lineRule="auto"/>
        <w:rPr>
          <w:rFonts w:ascii="Arial" w:hAnsi="Arial" w:cs="Arial"/>
          <w:b/>
          <w:bCs/>
        </w:rPr>
      </w:pPr>
      <w:r w:rsidRPr="00CF08F1">
        <w:rPr>
          <w:rFonts w:ascii="Arial" w:hAnsi="Arial" w:cs="Arial"/>
          <w:b/>
          <w:bCs/>
        </w:rPr>
        <w:t>References</w:t>
      </w:r>
    </w:p>
    <w:p w14:paraId="3D625791" w14:textId="77777777" w:rsidR="00CF08F1" w:rsidRPr="00654AAA" w:rsidRDefault="00CF08F1" w:rsidP="00654AAA">
      <w:pPr>
        <w:pStyle w:val="Bibliography"/>
        <w:spacing w:line="480" w:lineRule="auto"/>
        <w:rPr>
          <w:rFonts w:ascii="Arial" w:hAnsi="Arial" w:cs="Arial"/>
        </w:rPr>
      </w:pPr>
      <w:r w:rsidRPr="00654AAA">
        <w:rPr>
          <w:rFonts w:ascii="Arial" w:hAnsi="Arial" w:cs="Arial"/>
        </w:rPr>
        <w:fldChar w:fldCharType="begin"/>
      </w:r>
      <w:r w:rsidRPr="00654AAA">
        <w:rPr>
          <w:rFonts w:ascii="Arial" w:hAnsi="Arial" w:cs="Arial"/>
        </w:rPr>
        <w:instrText xml:space="preserve"> ADDIN ZOTERO_BIBL {"uncited":[],"omitted":[],"custom":[]} CSL_BIBLIOGRAPHY </w:instrText>
      </w:r>
      <w:r w:rsidRPr="00654AAA">
        <w:rPr>
          <w:rFonts w:ascii="Arial" w:hAnsi="Arial" w:cs="Arial"/>
        </w:rPr>
        <w:fldChar w:fldCharType="separate"/>
      </w:r>
      <w:r w:rsidRPr="00654AAA">
        <w:rPr>
          <w:rFonts w:ascii="Arial" w:hAnsi="Arial" w:cs="Arial"/>
        </w:rPr>
        <w:t>Bell, A.J., Sejnowski, T.J., 1995. An information-maximization approach to blind separation and blind deconvolution. Neural Comput 7, 1129–1159.</w:t>
      </w:r>
    </w:p>
    <w:p w14:paraId="00C631D7" w14:textId="77777777" w:rsidR="00CF08F1" w:rsidRPr="00654AAA" w:rsidRDefault="00CF08F1" w:rsidP="00654AAA">
      <w:pPr>
        <w:pStyle w:val="Bibliography"/>
        <w:spacing w:line="480" w:lineRule="auto"/>
        <w:rPr>
          <w:rFonts w:ascii="Arial" w:hAnsi="Arial" w:cs="Arial"/>
        </w:rPr>
      </w:pPr>
      <w:r w:rsidRPr="00654AAA">
        <w:rPr>
          <w:rFonts w:ascii="Arial" w:hAnsi="Arial" w:cs="Arial"/>
        </w:rPr>
        <w:t>Hyvärinen, A., 2011. Testing the ICA mixing matrix based on inter-subject or inter-session consistency. Neuroimage 58, 122–136. https://doi.org/10.1016/j.neuroimage.2011.05.086</w:t>
      </w:r>
    </w:p>
    <w:p w14:paraId="4E72C89E" w14:textId="77777777" w:rsidR="00CF08F1" w:rsidRPr="00654AAA" w:rsidRDefault="00CF08F1" w:rsidP="00654AAA">
      <w:pPr>
        <w:pStyle w:val="Bibliography"/>
        <w:spacing w:line="480" w:lineRule="auto"/>
        <w:rPr>
          <w:rFonts w:ascii="Arial" w:hAnsi="Arial" w:cs="Arial"/>
        </w:rPr>
      </w:pPr>
      <w:r w:rsidRPr="00654AAA">
        <w:rPr>
          <w:rFonts w:ascii="Arial" w:hAnsi="Arial" w:cs="Arial"/>
        </w:rPr>
        <w:t>Hyvärinen, A., Ramkumar, P., 2013. Testing independent component patterns by inter-subject or inter-session consistency. Front Hum Neurosci 7, 94. https://doi.org/10.3389/fnhum.2013.00094</w:t>
      </w:r>
    </w:p>
    <w:p w14:paraId="24872221" w14:textId="77777777" w:rsidR="00CF08F1" w:rsidRPr="00654AAA" w:rsidRDefault="00CF08F1" w:rsidP="00654AAA">
      <w:pPr>
        <w:pStyle w:val="Bibliography"/>
        <w:spacing w:line="480" w:lineRule="auto"/>
        <w:rPr>
          <w:rFonts w:ascii="Arial" w:hAnsi="Arial" w:cs="Arial"/>
        </w:rPr>
      </w:pPr>
      <w:r w:rsidRPr="00654AAA">
        <w:rPr>
          <w:rFonts w:ascii="Arial" w:hAnsi="Arial" w:cs="Arial"/>
        </w:rPr>
        <w:t>Valentini, E., Halder, S., McInnerney, D., Cooke, J., Gyimes, I.L., Romei, V., 2022. Assessing the specificity of the relationship between brain alpha oscillations and tonic pain. NeuroImage 255, 119143. https://doi.org/10.1016/j.neuroimage.2022.119143</w:t>
      </w:r>
    </w:p>
    <w:p w14:paraId="1EEF8ACC" w14:textId="1BEA45A8" w:rsidR="00CF08F1" w:rsidRDefault="00CF08F1" w:rsidP="00654AAA">
      <w:pPr>
        <w:spacing w:line="480" w:lineRule="auto"/>
      </w:pPr>
      <w:r w:rsidRPr="00654AAA">
        <w:rPr>
          <w:rFonts w:ascii="Arial" w:hAnsi="Arial" w:cs="Arial"/>
        </w:rPr>
        <w:fldChar w:fldCharType="end"/>
      </w:r>
    </w:p>
    <w:sectPr w:rsidR="00CF08F1" w:rsidSect="00AC0C3E">
      <w:headerReference w:type="default" r:id="rId9"/>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D319712" w14:textId="77777777" w:rsidR="00E5036C" w:rsidRDefault="00E5036C" w:rsidP="00A90FDA">
      <w:pPr>
        <w:spacing w:after="0" w:line="240" w:lineRule="auto"/>
      </w:pPr>
      <w:r>
        <w:separator/>
      </w:r>
    </w:p>
  </w:endnote>
  <w:endnote w:type="continuationSeparator" w:id="0">
    <w:p w14:paraId="0E6437E4" w14:textId="77777777" w:rsidR="00E5036C" w:rsidRDefault="00E5036C" w:rsidP="00A90F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21290B1" w14:textId="77777777" w:rsidR="00E5036C" w:rsidRDefault="00E5036C" w:rsidP="00A90FDA">
      <w:pPr>
        <w:spacing w:after="0" w:line="240" w:lineRule="auto"/>
      </w:pPr>
      <w:r>
        <w:separator/>
      </w:r>
    </w:p>
  </w:footnote>
  <w:footnote w:type="continuationSeparator" w:id="0">
    <w:p w14:paraId="0DACC106" w14:textId="77777777" w:rsidR="00E5036C" w:rsidRDefault="00E5036C" w:rsidP="00A90F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65452369"/>
      <w:docPartObj>
        <w:docPartGallery w:val="Page Numbers (Top of Page)"/>
        <w:docPartUnique/>
      </w:docPartObj>
    </w:sdtPr>
    <w:sdtEndPr>
      <w:rPr>
        <w:noProof/>
      </w:rPr>
    </w:sdtEndPr>
    <w:sdtContent>
      <w:p w14:paraId="4D37B8E1" w14:textId="6F05F1A0" w:rsidR="00A90FDA" w:rsidRDefault="00A90FDA">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004675EC" w14:textId="77777777" w:rsidR="00A90FDA" w:rsidRDefault="00A90FD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1689"/>
    <w:rsid w:val="00095193"/>
    <w:rsid w:val="00100E32"/>
    <w:rsid w:val="00137A56"/>
    <w:rsid w:val="00161C71"/>
    <w:rsid w:val="00170A2F"/>
    <w:rsid w:val="001826A8"/>
    <w:rsid w:val="00274918"/>
    <w:rsid w:val="002F6486"/>
    <w:rsid w:val="00310E1F"/>
    <w:rsid w:val="00396DFC"/>
    <w:rsid w:val="00403368"/>
    <w:rsid w:val="00423733"/>
    <w:rsid w:val="00460953"/>
    <w:rsid w:val="0047292E"/>
    <w:rsid w:val="004A0138"/>
    <w:rsid w:val="004B7A42"/>
    <w:rsid w:val="005456ED"/>
    <w:rsid w:val="00567D82"/>
    <w:rsid w:val="005F79E9"/>
    <w:rsid w:val="00654AAA"/>
    <w:rsid w:val="00672D1F"/>
    <w:rsid w:val="006B6D86"/>
    <w:rsid w:val="006E0CEF"/>
    <w:rsid w:val="00701689"/>
    <w:rsid w:val="00773CCE"/>
    <w:rsid w:val="00777488"/>
    <w:rsid w:val="007B1239"/>
    <w:rsid w:val="00851626"/>
    <w:rsid w:val="009A37F7"/>
    <w:rsid w:val="009A53D8"/>
    <w:rsid w:val="00A23472"/>
    <w:rsid w:val="00A43EFF"/>
    <w:rsid w:val="00A6764D"/>
    <w:rsid w:val="00A90FDA"/>
    <w:rsid w:val="00AC0C3E"/>
    <w:rsid w:val="00AF4F21"/>
    <w:rsid w:val="00B77FBA"/>
    <w:rsid w:val="00C35A6D"/>
    <w:rsid w:val="00CB2F54"/>
    <w:rsid w:val="00CF08F1"/>
    <w:rsid w:val="00DE6EB7"/>
    <w:rsid w:val="00E07FD6"/>
    <w:rsid w:val="00E5036C"/>
    <w:rsid w:val="00E5163B"/>
    <w:rsid w:val="00EA115B"/>
    <w:rsid w:val="00F02128"/>
    <w:rsid w:val="00F02A9B"/>
    <w:rsid w:val="00F47A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03FD7D"/>
  <w15:chartTrackingRefBased/>
  <w15:docId w15:val="{D7176A81-E3E9-4C99-9991-D7BA1C6175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1689"/>
    <w:rPr>
      <w:kern w:val="0"/>
      <w14:ligatures w14:val="none"/>
    </w:rPr>
  </w:style>
  <w:style w:type="paragraph" w:styleId="Heading4">
    <w:name w:val="heading 4"/>
    <w:basedOn w:val="Normal"/>
    <w:link w:val="Heading4Char"/>
    <w:uiPriority w:val="9"/>
    <w:qFormat/>
    <w:rsid w:val="00396DFC"/>
    <w:pPr>
      <w:spacing w:before="100" w:beforeAutospacing="1" w:after="180" w:line="240" w:lineRule="auto"/>
      <w:outlineLvl w:val="3"/>
    </w:pPr>
    <w:rPr>
      <w:rFonts w:ascii="Times New Roman" w:eastAsia="Times New Roman" w:hAnsi="Times New Roman" w:cs="Times New Roman"/>
      <w:b/>
      <w:bCs/>
      <w:sz w:val="26"/>
      <w:szCs w:val="2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701689"/>
    <w:pPr>
      <w:spacing w:line="240" w:lineRule="auto"/>
    </w:pPr>
    <w:rPr>
      <w:sz w:val="20"/>
      <w:szCs w:val="20"/>
    </w:rPr>
  </w:style>
  <w:style w:type="character" w:customStyle="1" w:styleId="CommentTextChar">
    <w:name w:val="Comment Text Char"/>
    <w:basedOn w:val="DefaultParagraphFont"/>
    <w:link w:val="CommentText"/>
    <w:uiPriority w:val="99"/>
    <w:rsid w:val="00701689"/>
    <w:rPr>
      <w:kern w:val="0"/>
      <w:sz w:val="20"/>
      <w:szCs w:val="20"/>
      <w14:ligatures w14:val="none"/>
    </w:rPr>
  </w:style>
  <w:style w:type="character" w:styleId="CommentReference">
    <w:name w:val="annotation reference"/>
    <w:basedOn w:val="DefaultParagraphFont"/>
    <w:uiPriority w:val="99"/>
    <w:semiHidden/>
    <w:unhideWhenUsed/>
    <w:rsid w:val="00701689"/>
    <w:rPr>
      <w:sz w:val="16"/>
      <w:szCs w:val="16"/>
    </w:rPr>
  </w:style>
  <w:style w:type="character" w:styleId="LineNumber">
    <w:name w:val="line number"/>
    <w:basedOn w:val="DefaultParagraphFont"/>
    <w:uiPriority w:val="99"/>
    <w:semiHidden/>
    <w:unhideWhenUsed/>
    <w:rsid w:val="00701689"/>
  </w:style>
  <w:style w:type="paragraph" w:styleId="Bibliography">
    <w:name w:val="Bibliography"/>
    <w:basedOn w:val="Normal"/>
    <w:next w:val="Normal"/>
    <w:uiPriority w:val="37"/>
    <w:unhideWhenUsed/>
    <w:rsid w:val="00CF08F1"/>
    <w:pPr>
      <w:spacing w:after="0" w:line="240" w:lineRule="auto"/>
      <w:ind w:left="720" w:hanging="720"/>
    </w:pPr>
  </w:style>
  <w:style w:type="character" w:customStyle="1" w:styleId="Heading4Char">
    <w:name w:val="Heading 4 Char"/>
    <w:basedOn w:val="DefaultParagraphFont"/>
    <w:link w:val="Heading4"/>
    <w:uiPriority w:val="9"/>
    <w:rsid w:val="00396DFC"/>
    <w:rPr>
      <w:rFonts w:ascii="Times New Roman" w:eastAsia="Times New Roman" w:hAnsi="Times New Roman" w:cs="Times New Roman"/>
      <w:b/>
      <w:bCs/>
      <w:kern w:val="0"/>
      <w:sz w:val="26"/>
      <w:szCs w:val="26"/>
      <w:lang w:eastAsia="en-GB"/>
      <w14:ligatures w14:val="none"/>
    </w:rPr>
  </w:style>
  <w:style w:type="paragraph" w:styleId="CommentSubject">
    <w:name w:val="annotation subject"/>
    <w:basedOn w:val="CommentText"/>
    <w:next w:val="CommentText"/>
    <w:link w:val="CommentSubjectChar"/>
    <w:uiPriority w:val="99"/>
    <w:semiHidden/>
    <w:unhideWhenUsed/>
    <w:rsid w:val="00137A56"/>
    <w:rPr>
      <w:b/>
      <w:bCs/>
    </w:rPr>
  </w:style>
  <w:style w:type="character" w:customStyle="1" w:styleId="CommentSubjectChar">
    <w:name w:val="Comment Subject Char"/>
    <w:basedOn w:val="CommentTextChar"/>
    <w:link w:val="CommentSubject"/>
    <w:uiPriority w:val="99"/>
    <w:semiHidden/>
    <w:rsid w:val="00137A56"/>
    <w:rPr>
      <w:b/>
      <w:bCs/>
      <w:kern w:val="0"/>
      <w:sz w:val="20"/>
      <w:szCs w:val="20"/>
      <w14:ligatures w14:val="none"/>
    </w:rPr>
  </w:style>
  <w:style w:type="paragraph" w:styleId="Revision">
    <w:name w:val="Revision"/>
    <w:hidden/>
    <w:uiPriority w:val="99"/>
    <w:semiHidden/>
    <w:rsid w:val="00AF4F21"/>
    <w:pPr>
      <w:spacing w:after="0" w:line="240" w:lineRule="auto"/>
    </w:pPr>
    <w:rPr>
      <w:kern w:val="0"/>
      <w14:ligatures w14:val="none"/>
    </w:rPr>
  </w:style>
  <w:style w:type="paragraph" w:styleId="Header">
    <w:name w:val="header"/>
    <w:basedOn w:val="Normal"/>
    <w:link w:val="HeaderChar"/>
    <w:uiPriority w:val="99"/>
    <w:unhideWhenUsed/>
    <w:rsid w:val="00A90FDA"/>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0FDA"/>
    <w:rPr>
      <w:kern w:val="0"/>
      <w14:ligatures w14:val="none"/>
    </w:rPr>
  </w:style>
  <w:style w:type="paragraph" w:styleId="Footer">
    <w:name w:val="footer"/>
    <w:basedOn w:val="Normal"/>
    <w:link w:val="FooterChar"/>
    <w:uiPriority w:val="99"/>
    <w:unhideWhenUsed/>
    <w:rsid w:val="00A90FDA"/>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0FDA"/>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85224331">
      <w:bodyDiv w:val="1"/>
      <w:marLeft w:val="360"/>
      <w:marRight w:val="360"/>
      <w:marTop w:val="360"/>
      <w:marBottom w:val="36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tiff"/><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2036</Words>
  <Characters>11611</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Valentini, Elia</dc:creator>
  <cp:keywords/>
  <dc:description/>
  <cp:lastModifiedBy>Valentini, Elia</cp:lastModifiedBy>
  <cp:revision>5</cp:revision>
  <dcterms:created xsi:type="dcterms:W3CDTF">2024-04-27T08:53:00Z</dcterms:created>
  <dcterms:modified xsi:type="dcterms:W3CDTF">2024-05-17T10:15:00Z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zotero-version="6.0.23"&gt;&lt;session id="xP3HCSsr"/&gt;&lt;style id="http://www.zotero.org/styles/elsevier-harvard" hasBibliography="1" bibliographyStyleHasBeenSet="1"/&gt;&lt;prefs&gt;&lt;pref name="fieldType" value="Field"/&gt;&lt;/prefs&gt;&lt;/data&gt;</vt:lpwstr>
  </property>
</Properties>
</file>