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0C2033" w14:textId="77777777" w:rsidR="00FA0A2F" w:rsidRPr="00FA0A2F" w:rsidRDefault="00FA0A2F" w:rsidP="00FA0A2F">
      <w:pPr>
        <w:spacing w:after="0"/>
        <w:jc w:val="both"/>
        <w:rPr>
          <w:rFonts w:ascii="Arial" w:hAnsi="Arial" w:cs="Arial"/>
          <w:b/>
          <w:bCs/>
          <w:iCs/>
          <w:sz w:val="28"/>
          <w:szCs w:val="28"/>
        </w:rPr>
      </w:pPr>
      <w:r w:rsidRPr="00FA0A2F">
        <w:rPr>
          <w:rFonts w:ascii="Arial" w:hAnsi="Arial" w:cs="Arial"/>
          <w:b/>
          <w:bCs/>
          <w:iCs/>
          <w:sz w:val="28"/>
          <w:szCs w:val="28"/>
        </w:rPr>
        <w:t>Oral Magnesium reduces levels of pathogenic autoantibodies and skin disease in murine lupus.</w:t>
      </w:r>
    </w:p>
    <w:p w14:paraId="4DAFA346" w14:textId="77777777" w:rsidR="004A3C7D" w:rsidRPr="00FA0A2F" w:rsidRDefault="004A3C7D">
      <w:pPr>
        <w:rPr>
          <w:rFonts w:ascii="Arial" w:hAnsi="Arial" w:cs="Arial"/>
        </w:rPr>
      </w:pPr>
    </w:p>
    <w:p w14:paraId="0567BB74" w14:textId="77777777" w:rsidR="00FA0A2F" w:rsidRPr="00FA0A2F" w:rsidRDefault="00FA0A2F">
      <w:pPr>
        <w:rPr>
          <w:rFonts w:ascii="Arial" w:hAnsi="Arial" w:cs="Arial"/>
        </w:rPr>
      </w:pPr>
    </w:p>
    <w:p w14:paraId="046B75F6" w14:textId="77777777" w:rsidR="00FA0A2F" w:rsidRDefault="00FA0A2F" w:rsidP="00FA0A2F">
      <w:pPr>
        <w:rPr>
          <w:rFonts w:ascii="Arial" w:hAnsi="Arial" w:cs="Arial"/>
          <w:b/>
          <w:bCs/>
          <w:sz w:val="24"/>
        </w:rPr>
      </w:pPr>
      <w:r w:rsidRPr="00FA0A2F">
        <w:rPr>
          <w:rFonts w:ascii="Arial" w:hAnsi="Arial" w:cs="Arial"/>
          <w:b/>
          <w:bCs/>
          <w:sz w:val="24"/>
        </w:rPr>
        <w:t>Supplementary Material</w:t>
      </w:r>
    </w:p>
    <w:p w14:paraId="3B1C9EA9" w14:textId="77777777" w:rsidR="00984F9E" w:rsidRPr="00FA0A2F" w:rsidRDefault="00984F9E" w:rsidP="00FA0A2F">
      <w:pPr>
        <w:rPr>
          <w:rFonts w:ascii="Arial" w:hAnsi="Arial" w:cs="Arial"/>
          <w:b/>
          <w:bCs/>
          <w:sz w:val="24"/>
        </w:rPr>
      </w:pPr>
    </w:p>
    <w:p w14:paraId="29991AC3" w14:textId="77777777" w:rsidR="00FA0A2F" w:rsidRPr="00984F9E" w:rsidRDefault="00FA0A2F" w:rsidP="00FA0A2F">
      <w:pPr>
        <w:rPr>
          <w:rFonts w:ascii="Arial" w:hAnsi="Arial" w:cs="Arial"/>
          <w:sz w:val="24"/>
          <w:szCs w:val="24"/>
        </w:rPr>
      </w:pPr>
      <w:r w:rsidRPr="00984F9E">
        <w:rPr>
          <w:rFonts w:ascii="Arial" w:hAnsi="Arial" w:cs="Arial"/>
          <w:sz w:val="24"/>
          <w:szCs w:val="24"/>
        </w:rPr>
        <w:t>Contents:</w:t>
      </w:r>
    </w:p>
    <w:p w14:paraId="4609E38D" w14:textId="67492EFA" w:rsidR="00FA0A2F" w:rsidRPr="00984F9E" w:rsidRDefault="00FA0A2F" w:rsidP="00FA0A2F">
      <w:pPr>
        <w:pStyle w:val="ListParagraph"/>
        <w:numPr>
          <w:ilvl w:val="0"/>
          <w:numId w:val="1"/>
        </w:numPr>
        <w:rPr>
          <w:sz w:val="24"/>
        </w:rPr>
      </w:pPr>
      <w:r w:rsidRPr="00984F9E">
        <w:rPr>
          <w:sz w:val="24"/>
        </w:rPr>
        <w:t xml:space="preserve">Figure S1. </w:t>
      </w:r>
      <w:r w:rsidRPr="00984F9E">
        <w:rPr>
          <w:sz w:val="24"/>
          <w14:ligatures w14:val="standardContextual"/>
        </w:rPr>
        <w:t>Weight at serial time points after normal (Mg500) or high (Mg2800) diet initiation.</w:t>
      </w:r>
    </w:p>
    <w:p w14:paraId="39FC5B2E" w14:textId="3BFAEBB0" w:rsidR="00984F9E" w:rsidRPr="00984F9E" w:rsidRDefault="00984F9E" w:rsidP="00984F9E">
      <w:pPr>
        <w:pStyle w:val="ListParagraph"/>
        <w:numPr>
          <w:ilvl w:val="0"/>
          <w:numId w:val="1"/>
        </w:numPr>
        <w:rPr>
          <w:sz w:val="24"/>
          <w14:ligatures w14:val="standardContextual"/>
        </w:rPr>
      </w:pPr>
      <w:r w:rsidRPr="00984F9E">
        <w:rPr>
          <w:sz w:val="24"/>
          <w14:ligatures w14:val="standardContextual"/>
        </w:rPr>
        <w:t xml:space="preserve">Figure S2. Percentages of </w:t>
      </w:r>
      <w:r>
        <w:rPr>
          <w:sz w:val="24"/>
          <w14:ligatures w14:val="standardContextual"/>
        </w:rPr>
        <w:t xml:space="preserve">Tr1, T follicular, and B cells </w:t>
      </w:r>
      <w:r w:rsidRPr="00984F9E">
        <w:rPr>
          <w:sz w:val="24"/>
          <w14:ligatures w14:val="standardContextual"/>
        </w:rPr>
        <w:t>at the end of the dietary treatment in the Mg500 and Mg2800 groups</w:t>
      </w:r>
      <w:r>
        <w:rPr>
          <w:sz w:val="24"/>
          <w14:ligatures w14:val="standardContextual"/>
        </w:rPr>
        <w:t xml:space="preserve">. </w:t>
      </w:r>
    </w:p>
    <w:p w14:paraId="6F53BC21" w14:textId="2430A43E" w:rsidR="00984F9E" w:rsidRPr="00984F9E" w:rsidRDefault="00984F9E" w:rsidP="00984F9E">
      <w:pPr>
        <w:pStyle w:val="ListParagraph"/>
        <w:numPr>
          <w:ilvl w:val="0"/>
          <w:numId w:val="1"/>
        </w:numPr>
        <w:rPr>
          <w:sz w:val="24"/>
        </w:rPr>
      </w:pPr>
      <w:r w:rsidRPr="00984F9E">
        <w:rPr>
          <w:sz w:val="24"/>
          <w14:ligatures w14:val="standardContextual"/>
        </w:rPr>
        <w:t xml:space="preserve">Figure S3. Percentages of </w:t>
      </w:r>
      <w:r>
        <w:rPr>
          <w:sz w:val="24"/>
          <w14:ligatures w14:val="standardContextual"/>
        </w:rPr>
        <w:t xml:space="preserve">CD4 and CD8 intracellular cytokines. </w:t>
      </w:r>
    </w:p>
    <w:p w14:paraId="7A370C89" w14:textId="7919A82D" w:rsidR="00984F9E" w:rsidRPr="00984F9E" w:rsidRDefault="00984F9E" w:rsidP="00FA0A2F">
      <w:pPr>
        <w:pStyle w:val="ListParagraph"/>
        <w:numPr>
          <w:ilvl w:val="0"/>
          <w:numId w:val="1"/>
        </w:numPr>
        <w:rPr>
          <w:sz w:val="24"/>
          <w14:ligatures w14:val="standardContextual"/>
        </w:rPr>
      </w:pPr>
      <w:r w:rsidRPr="00984F9E">
        <w:rPr>
          <w:sz w:val="24"/>
          <w14:ligatures w14:val="standardContextual"/>
        </w:rPr>
        <w:t>Figure S4. Serum levels of cytokines at the end of the dietary treatment in the Mg500 and Mg2800 groups</w:t>
      </w:r>
      <w:r>
        <w:rPr>
          <w:sz w:val="24"/>
          <w14:ligatures w14:val="standardContextual"/>
        </w:rPr>
        <w:t xml:space="preserve">. </w:t>
      </w:r>
    </w:p>
    <w:p w14:paraId="7DA9B756" w14:textId="77777777" w:rsidR="00984F9E" w:rsidRPr="00984F9E" w:rsidRDefault="00984F9E" w:rsidP="00FA0A2F">
      <w:pPr>
        <w:rPr>
          <w:rFonts w:ascii="Arial" w:hAnsi="Arial" w:cs="Arial"/>
          <w:sz w:val="24"/>
          <w:szCs w:val="24"/>
          <w14:ligatures w14:val="standardContextual"/>
        </w:rPr>
      </w:pPr>
    </w:p>
    <w:p w14:paraId="4914BE70" w14:textId="77777777" w:rsidR="00984F9E" w:rsidRDefault="00984F9E" w:rsidP="00FA0A2F">
      <w:pPr>
        <w:rPr>
          <w:rFonts w:ascii="Arial" w:hAnsi="Arial" w:cs="Arial"/>
          <w:sz w:val="24"/>
          <w:szCs w:val="24"/>
          <w14:ligatures w14:val="standardContextual"/>
        </w:rPr>
      </w:pPr>
    </w:p>
    <w:p w14:paraId="4C6F2C83" w14:textId="77777777" w:rsidR="00984F9E" w:rsidRDefault="00984F9E" w:rsidP="00FA0A2F">
      <w:pPr>
        <w:rPr>
          <w:rFonts w:ascii="Arial" w:hAnsi="Arial" w:cs="Arial"/>
          <w:sz w:val="24"/>
          <w:szCs w:val="24"/>
          <w14:ligatures w14:val="standardContextual"/>
        </w:rPr>
      </w:pPr>
    </w:p>
    <w:p w14:paraId="318758EE" w14:textId="77777777" w:rsidR="00984F9E" w:rsidRDefault="00984F9E" w:rsidP="00FA0A2F">
      <w:pPr>
        <w:rPr>
          <w:rFonts w:ascii="Arial" w:hAnsi="Arial" w:cs="Arial"/>
          <w:sz w:val="24"/>
          <w:szCs w:val="24"/>
          <w14:ligatures w14:val="standardContextual"/>
        </w:rPr>
      </w:pPr>
    </w:p>
    <w:p w14:paraId="23CF0734" w14:textId="77777777" w:rsidR="00984F9E" w:rsidRDefault="00984F9E" w:rsidP="00FA0A2F">
      <w:pPr>
        <w:rPr>
          <w:rFonts w:ascii="Arial" w:hAnsi="Arial" w:cs="Arial"/>
          <w:sz w:val="24"/>
          <w:szCs w:val="24"/>
          <w14:ligatures w14:val="standardContextual"/>
        </w:rPr>
      </w:pPr>
    </w:p>
    <w:p w14:paraId="2C1D5FA1" w14:textId="77777777" w:rsidR="00984F9E" w:rsidRDefault="00984F9E" w:rsidP="00FA0A2F">
      <w:pPr>
        <w:rPr>
          <w:rFonts w:ascii="Arial" w:hAnsi="Arial" w:cs="Arial"/>
          <w:sz w:val="24"/>
          <w:szCs w:val="24"/>
          <w14:ligatures w14:val="standardContextual"/>
        </w:rPr>
      </w:pPr>
    </w:p>
    <w:p w14:paraId="2804CF1F" w14:textId="77777777" w:rsidR="00984F9E" w:rsidRDefault="00984F9E" w:rsidP="00FA0A2F">
      <w:pPr>
        <w:rPr>
          <w:rFonts w:ascii="Arial" w:hAnsi="Arial" w:cs="Arial"/>
          <w:sz w:val="24"/>
          <w:szCs w:val="24"/>
          <w14:ligatures w14:val="standardContextual"/>
        </w:rPr>
      </w:pPr>
    </w:p>
    <w:p w14:paraId="56693DF5" w14:textId="77777777" w:rsidR="00984F9E" w:rsidRDefault="00984F9E" w:rsidP="00FA0A2F">
      <w:pPr>
        <w:rPr>
          <w:rFonts w:ascii="Arial" w:hAnsi="Arial" w:cs="Arial"/>
          <w:sz w:val="24"/>
          <w:szCs w:val="24"/>
          <w14:ligatures w14:val="standardContextual"/>
        </w:rPr>
      </w:pPr>
    </w:p>
    <w:p w14:paraId="65AB5FF7" w14:textId="2E3F163C" w:rsidR="00984F9E" w:rsidRDefault="00984F9E" w:rsidP="00FA0A2F">
      <w:pPr>
        <w:rPr>
          <w:rFonts w:ascii="Arial" w:hAnsi="Arial" w:cs="Arial"/>
        </w:rPr>
      </w:pPr>
      <w:r>
        <w:rPr>
          <w:rFonts w:ascii="Arial" w:hAnsi="Arial" w:cs="Arial"/>
          <w:noProof/>
          <w14:ligatures w14:val="standardContextual"/>
        </w:rPr>
        <w:lastRenderedPageBreak/>
        <w:drawing>
          <wp:inline distT="0" distB="0" distL="0" distR="0" wp14:anchorId="4544B485" wp14:editId="107A564E">
            <wp:extent cx="5815330" cy="2690037"/>
            <wp:effectExtent l="0" t="0" r="0" b="0"/>
            <wp:docPr id="60826860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268603" name="Picture 608268603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7313"/>
                    <a:stretch/>
                  </pic:blipFill>
                  <pic:spPr bwMode="auto">
                    <a:xfrm>
                      <a:off x="0" y="0"/>
                      <a:ext cx="5815330" cy="26900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E3138E" w14:textId="3B2406BA" w:rsidR="00984F9E" w:rsidRPr="00984F9E" w:rsidRDefault="00984F9E" w:rsidP="00984F9E">
      <w:pPr>
        <w:jc w:val="both"/>
        <w:rPr>
          <w:rFonts w:ascii="Arial" w:hAnsi="Arial" w:cs="Arial"/>
          <w:sz w:val="24"/>
          <w:szCs w:val="24"/>
        </w:rPr>
      </w:pPr>
      <w:r w:rsidRPr="00984F9E">
        <w:rPr>
          <w:rFonts w:ascii="Arial" w:hAnsi="Arial" w:cs="Arial"/>
          <w:sz w:val="24"/>
          <w:szCs w:val="24"/>
        </w:rPr>
        <w:t xml:space="preserve">Figure S1. </w:t>
      </w:r>
      <w:r w:rsidRPr="00984F9E">
        <w:rPr>
          <w:rFonts w:ascii="Arial" w:hAnsi="Arial" w:cs="Arial"/>
          <w:sz w:val="24"/>
          <w:szCs w:val="24"/>
          <w14:ligatures w14:val="standardContextual"/>
        </w:rPr>
        <w:t xml:space="preserve">Weight at serial time points after normal (Mg500) or high (Mg2800) diet initiation. </w:t>
      </w:r>
      <w:r w:rsidRPr="00984F9E">
        <w:rPr>
          <w:rFonts w:ascii="Arial" w:hAnsi="Arial" w:cs="Arial"/>
          <w:bCs/>
          <w:sz w:val="24"/>
          <w:szCs w:val="24"/>
        </w:rPr>
        <w:t xml:space="preserve">Each dot represents a separate mouse. Data in bar graphs represent mean </w:t>
      </w:r>
      <w:r w:rsidRPr="00984F9E">
        <w:rPr>
          <w:rFonts w:ascii="Arial" w:hAnsi="Arial" w:cs="Arial"/>
          <w:bCs/>
          <w:sz w:val="24"/>
          <w:szCs w:val="24"/>
        </w:rPr>
        <w:sym w:font="Symbol" w:char="F0B1"/>
      </w:r>
      <w:r w:rsidRPr="00984F9E">
        <w:rPr>
          <w:rFonts w:ascii="Arial" w:hAnsi="Arial" w:cs="Arial"/>
          <w:bCs/>
          <w:sz w:val="24"/>
          <w:szCs w:val="24"/>
        </w:rPr>
        <w:t xml:space="preserve"> S.</w:t>
      </w:r>
      <w:r w:rsidR="00086909">
        <w:rPr>
          <w:rFonts w:ascii="Arial" w:hAnsi="Arial" w:cs="Arial"/>
          <w:bCs/>
          <w:sz w:val="24"/>
          <w:szCs w:val="24"/>
        </w:rPr>
        <w:t>E</w:t>
      </w:r>
      <w:r w:rsidRPr="00984F9E">
        <w:rPr>
          <w:rFonts w:ascii="Arial" w:hAnsi="Arial" w:cs="Arial"/>
          <w:bCs/>
          <w:sz w:val="24"/>
          <w:szCs w:val="24"/>
        </w:rPr>
        <w:t>.</w:t>
      </w:r>
      <w:r w:rsidR="00086909">
        <w:rPr>
          <w:rFonts w:ascii="Arial" w:hAnsi="Arial" w:cs="Arial"/>
          <w:bCs/>
          <w:sz w:val="24"/>
          <w:szCs w:val="24"/>
        </w:rPr>
        <w:t>M.</w:t>
      </w:r>
    </w:p>
    <w:p w14:paraId="063E1CCA" w14:textId="77777777" w:rsidR="00984F9E" w:rsidRDefault="00984F9E" w:rsidP="00FA0A2F">
      <w:pPr>
        <w:rPr>
          <w:rFonts w:ascii="Arial" w:hAnsi="Arial" w:cs="Arial"/>
        </w:rPr>
      </w:pPr>
    </w:p>
    <w:p w14:paraId="5D75172E" w14:textId="77777777" w:rsidR="00984F9E" w:rsidRDefault="00984F9E" w:rsidP="00FA0A2F">
      <w:pPr>
        <w:rPr>
          <w:rFonts w:ascii="Arial" w:hAnsi="Arial" w:cs="Arial"/>
        </w:rPr>
      </w:pPr>
    </w:p>
    <w:p w14:paraId="5AC82F44" w14:textId="77777777" w:rsidR="00984F9E" w:rsidRDefault="00984F9E" w:rsidP="00FA0A2F">
      <w:pPr>
        <w:rPr>
          <w:rFonts w:ascii="Arial" w:hAnsi="Arial" w:cs="Arial"/>
        </w:rPr>
      </w:pPr>
    </w:p>
    <w:p w14:paraId="0182E7AC" w14:textId="77777777" w:rsidR="00984F9E" w:rsidRDefault="00984F9E" w:rsidP="00FA0A2F">
      <w:pPr>
        <w:rPr>
          <w:rFonts w:ascii="Arial" w:hAnsi="Arial" w:cs="Arial"/>
        </w:rPr>
      </w:pPr>
    </w:p>
    <w:p w14:paraId="5A0F9313" w14:textId="77777777" w:rsidR="00984F9E" w:rsidRDefault="00984F9E" w:rsidP="00FA0A2F">
      <w:pPr>
        <w:rPr>
          <w:rFonts w:ascii="Arial" w:hAnsi="Arial" w:cs="Arial"/>
        </w:rPr>
      </w:pPr>
    </w:p>
    <w:p w14:paraId="2A89C773" w14:textId="77777777" w:rsidR="00984F9E" w:rsidRDefault="00984F9E" w:rsidP="00FA0A2F">
      <w:pPr>
        <w:rPr>
          <w:rFonts w:ascii="Arial" w:hAnsi="Arial" w:cs="Arial"/>
        </w:rPr>
      </w:pPr>
    </w:p>
    <w:p w14:paraId="0114F86C" w14:textId="77777777" w:rsidR="00984F9E" w:rsidRDefault="00984F9E" w:rsidP="00FA0A2F">
      <w:pPr>
        <w:rPr>
          <w:rFonts w:ascii="Arial" w:hAnsi="Arial" w:cs="Arial"/>
        </w:rPr>
      </w:pPr>
    </w:p>
    <w:p w14:paraId="1B003DF2" w14:textId="77777777" w:rsidR="00984F9E" w:rsidRDefault="00984F9E" w:rsidP="00FA0A2F">
      <w:pPr>
        <w:rPr>
          <w:rFonts w:ascii="Arial" w:hAnsi="Arial" w:cs="Arial"/>
        </w:rPr>
      </w:pPr>
    </w:p>
    <w:p w14:paraId="2326054F" w14:textId="77777777" w:rsidR="00984F9E" w:rsidRDefault="00984F9E" w:rsidP="00FA0A2F">
      <w:pPr>
        <w:rPr>
          <w:rFonts w:ascii="Arial" w:hAnsi="Arial" w:cs="Arial"/>
        </w:rPr>
      </w:pPr>
    </w:p>
    <w:p w14:paraId="003ABA09" w14:textId="77777777" w:rsidR="00984F9E" w:rsidRDefault="00984F9E" w:rsidP="00FA0A2F">
      <w:pPr>
        <w:rPr>
          <w:rFonts w:ascii="Arial" w:hAnsi="Arial" w:cs="Arial"/>
        </w:rPr>
      </w:pPr>
    </w:p>
    <w:p w14:paraId="5600C578" w14:textId="77777777" w:rsidR="00984F9E" w:rsidRDefault="00984F9E" w:rsidP="00FA0A2F">
      <w:pPr>
        <w:rPr>
          <w:rFonts w:ascii="Arial" w:hAnsi="Arial" w:cs="Arial"/>
        </w:rPr>
      </w:pPr>
    </w:p>
    <w:p w14:paraId="20501014" w14:textId="77777777" w:rsidR="00984F9E" w:rsidRDefault="00984F9E" w:rsidP="00FA0A2F">
      <w:pPr>
        <w:rPr>
          <w:rFonts w:ascii="Arial" w:hAnsi="Arial" w:cs="Arial"/>
        </w:rPr>
      </w:pPr>
    </w:p>
    <w:p w14:paraId="31F7E20A" w14:textId="77777777" w:rsidR="00984F9E" w:rsidRDefault="00984F9E" w:rsidP="00FA0A2F">
      <w:pPr>
        <w:rPr>
          <w:rFonts w:ascii="Arial" w:hAnsi="Arial" w:cs="Arial"/>
        </w:rPr>
      </w:pPr>
    </w:p>
    <w:p w14:paraId="676B2FA7" w14:textId="77777777" w:rsidR="00984F9E" w:rsidRDefault="00984F9E" w:rsidP="00FA0A2F">
      <w:pPr>
        <w:rPr>
          <w:rFonts w:ascii="Arial" w:hAnsi="Arial" w:cs="Arial"/>
        </w:rPr>
      </w:pPr>
    </w:p>
    <w:p w14:paraId="79FA74BF" w14:textId="77777777" w:rsidR="00984F9E" w:rsidRDefault="00984F9E" w:rsidP="00FA0A2F">
      <w:pPr>
        <w:rPr>
          <w:rFonts w:ascii="Arial" w:hAnsi="Arial" w:cs="Arial"/>
        </w:rPr>
      </w:pPr>
    </w:p>
    <w:p w14:paraId="6F82149F" w14:textId="33BDE09A" w:rsidR="00984F9E" w:rsidRDefault="00984F9E" w:rsidP="00FA0A2F">
      <w:pPr>
        <w:rPr>
          <w:rFonts w:ascii="Arial" w:hAnsi="Arial" w:cs="Arial"/>
        </w:rPr>
      </w:pPr>
    </w:p>
    <w:p w14:paraId="0A1B470E" w14:textId="1F681928" w:rsidR="002C5E1F" w:rsidRDefault="002C5E1F" w:rsidP="00FA0A2F">
      <w:pPr>
        <w:rPr>
          <w:rFonts w:ascii="Arial" w:hAnsi="Arial" w:cs="Arial"/>
        </w:rPr>
      </w:pPr>
    </w:p>
    <w:p w14:paraId="05E9EAFC" w14:textId="32F00AFE" w:rsidR="002C5E1F" w:rsidRDefault="00CA63C6" w:rsidP="00FA0A2F">
      <w:pPr>
        <w:rPr>
          <w:rFonts w:ascii="Arial" w:hAnsi="Arial" w:cs="Arial"/>
        </w:rPr>
      </w:pPr>
      <w:r>
        <w:rPr>
          <w:rFonts w:ascii="Arial" w:hAnsi="Arial" w:cs="Arial"/>
          <w:noProof/>
          <w14:ligatures w14:val="standardContextual"/>
        </w:rPr>
        <w:drawing>
          <wp:inline distT="0" distB="0" distL="0" distR="0" wp14:anchorId="3DE270B0" wp14:editId="1D7F5019">
            <wp:extent cx="5815330" cy="5903495"/>
            <wp:effectExtent l="0" t="0" r="0" b="0"/>
            <wp:docPr id="8957977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5797719" name="Picture 895797719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8265"/>
                    <a:stretch/>
                  </pic:blipFill>
                  <pic:spPr bwMode="auto">
                    <a:xfrm>
                      <a:off x="0" y="0"/>
                      <a:ext cx="5815330" cy="59034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82747D" w14:textId="5C792EA0" w:rsidR="00984F9E" w:rsidRPr="00984F9E" w:rsidRDefault="00984F9E" w:rsidP="00984F9E">
      <w:pPr>
        <w:jc w:val="both"/>
        <w:rPr>
          <w:rFonts w:ascii="Arial" w:hAnsi="Arial" w:cs="Arial"/>
          <w:sz w:val="24"/>
          <w:szCs w:val="24"/>
          <w14:ligatures w14:val="standardContextual"/>
        </w:rPr>
      </w:pPr>
      <w:r w:rsidRPr="00984F9E">
        <w:rPr>
          <w:rFonts w:ascii="Arial" w:hAnsi="Arial" w:cs="Arial"/>
          <w:sz w:val="24"/>
          <w:szCs w:val="24"/>
          <w14:ligatures w14:val="standardContextual"/>
        </w:rPr>
        <w:t xml:space="preserve">Figure S2. Percentages of Tr1, T follicular, and B cells at the end of the dietary treatment in the Mg500 and Mg2800 groups. A) T regulatory 1 </w:t>
      </w:r>
      <w:proofErr w:type="gramStart"/>
      <w:r w:rsidRPr="00984F9E">
        <w:rPr>
          <w:rFonts w:ascii="Arial" w:hAnsi="Arial" w:cs="Arial"/>
          <w:sz w:val="24"/>
          <w:szCs w:val="24"/>
          <w14:ligatures w14:val="standardContextual"/>
        </w:rPr>
        <w:t>cells</w:t>
      </w:r>
      <w:proofErr w:type="gramEnd"/>
      <w:r w:rsidRPr="00984F9E">
        <w:rPr>
          <w:rFonts w:ascii="Arial" w:hAnsi="Arial" w:cs="Arial"/>
          <w:sz w:val="24"/>
          <w:szCs w:val="24"/>
          <w14:ligatures w14:val="standardContextual"/>
        </w:rPr>
        <w:t xml:space="preserve"> (Tr1), B) T follicular helper cells (</w:t>
      </w:r>
      <w:proofErr w:type="spellStart"/>
      <w:r w:rsidRPr="00984F9E">
        <w:rPr>
          <w:rFonts w:ascii="Arial" w:hAnsi="Arial" w:cs="Arial"/>
          <w:sz w:val="24"/>
          <w:szCs w:val="24"/>
          <w14:ligatures w14:val="standardContextual"/>
        </w:rPr>
        <w:t>Tfh</w:t>
      </w:r>
      <w:proofErr w:type="spellEnd"/>
      <w:r w:rsidRPr="00984F9E">
        <w:rPr>
          <w:rFonts w:ascii="Arial" w:hAnsi="Arial" w:cs="Arial"/>
          <w:sz w:val="24"/>
          <w:szCs w:val="24"/>
          <w14:ligatures w14:val="standardContextual"/>
        </w:rPr>
        <w:t>) and C) T follicular regulatory cells (</w:t>
      </w:r>
      <w:proofErr w:type="spellStart"/>
      <w:r w:rsidRPr="00984F9E">
        <w:rPr>
          <w:rFonts w:ascii="Arial" w:hAnsi="Arial" w:cs="Arial"/>
          <w:sz w:val="24"/>
          <w:szCs w:val="24"/>
          <w14:ligatures w14:val="standardContextual"/>
        </w:rPr>
        <w:t>Tfr</w:t>
      </w:r>
      <w:proofErr w:type="spellEnd"/>
      <w:r w:rsidRPr="00984F9E">
        <w:rPr>
          <w:rFonts w:ascii="Arial" w:hAnsi="Arial" w:cs="Arial"/>
          <w:sz w:val="24"/>
          <w:szCs w:val="24"/>
          <w14:ligatures w14:val="standardContextual"/>
        </w:rPr>
        <w:t xml:space="preserve">). Panels D and E show percentages of germinal center </w:t>
      </w:r>
      <w:r w:rsidR="002C5E1F">
        <w:rPr>
          <w:rFonts w:ascii="Arial" w:hAnsi="Arial" w:cs="Arial"/>
          <w:sz w:val="24"/>
          <w:szCs w:val="24"/>
          <w14:ligatures w14:val="standardContextual"/>
        </w:rPr>
        <w:t xml:space="preserve">(GC) </w:t>
      </w:r>
      <w:r w:rsidRPr="00984F9E">
        <w:rPr>
          <w:rFonts w:ascii="Arial" w:hAnsi="Arial" w:cs="Arial"/>
          <w:sz w:val="24"/>
          <w:szCs w:val="24"/>
          <w14:ligatures w14:val="standardContextual"/>
        </w:rPr>
        <w:t xml:space="preserve">and memory </w:t>
      </w:r>
      <w:r w:rsidR="002C5E1F">
        <w:rPr>
          <w:rFonts w:ascii="Arial" w:hAnsi="Arial" w:cs="Arial"/>
          <w:sz w:val="24"/>
          <w:szCs w:val="24"/>
          <w14:ligatures w14:val="standardContextual"/>
        </w:rPr>
        <w:t xml:space="preserve">(Mem) </w:t>
      </w:r>
      <w:r w:rsidRPr="00984F9E">
        <w:rPr>
          <w:rFonts w:ascii="Arial" w:hAnsi="Arial" w:cs="Arial"/>
          <w:sz w:val="24"/>
          <w:szCs w:val="24"/>
          <w14:ligatures w14:val="standardContextual"/>
        </w:rPr>
        <w:t xml:space="preserve">B cells. </w:t>
      </w:r>
      <w:r w:rsidRPr="00984F9E">
        <w:rPr>
          <w:rFonts w:ascii="Arial" w:hAnsi="Arial" w:cs="Arial"/>
          <w:bCs/>
          <w:sz w:val="24"/>
          <w:szCs w:val="24"/>
        </w:rPr>
        <w:t xml:space="preserve">Each dot represents a separate mouse. Data in bar graphs represent mean </w:t>
      </w:r>
      <w:r w:rsidRPr="00984F9E">
        <w:rPr>
          <w:rFonts w:ascii="Arial" w:hAnsi="Arial" w:cs="Arial"/>
          <w:bCs/>
          <w:sz w:val="24"/>
          <w:szCs w:val="24"/>
        </w:rPr>
        <w:sym w:font="Symbol" w:char="F0B1"/>
      </w:r>
      <w:r w:rsidRPr="00984F9E">
        <w:rPr>
          <w:rFonts w:ascii="Arial" w:hAnsi="Arial" w:cs="Arial"/>
          <w:bCs/>
          <w:sz w:val="24"/>
          <w:szCs w:val="24"/>
        </w:rPr>
        <w:t xml:space="preserve"> </w:t>
      </w:r>
      <w:r w:rsidR="00086909" w:rsidRPr="00984F9E">
        <w:rPr>
          <w:rFonts w:ascii="Arial" w:hAnsi="Arial" w:cs="Arial"/>
          <w:bCs/>
          <w:sz w:val="24"/>
          <w:szCs w:val="24"/>
        </w:rPr>
        <w:t>S.</w:t>
      </w:r>
      <w:r w:rsidR="00086909">
        <w:rPr>
          <w:rFonts w:ascii="Arial" w:hAnsi="Arial" w:cs="Arial"/>
          <w:bCs/>
          <w:sz w:val="24"/>
          <w:szCs w:val="24"/>
        </w:rPr>
        <w:t>E</w:t>
      </w:r>
      <w:r w:rsidR="00086909" w:rsidRPr="00984F9E">
        <w:rPr>
          <w:rFonts w:ascii="Arial" w:hAnsi="Arial" w:cs="Arial"/>
          <w:bCs/>
          <w:sz w:val="24"/>
          <w:szCs w:val="24"/>
        </w:rPr>
        <w:t>.</w:t>
      </w:r>
      <w:r w:rsidR="00086909">
        <w:rPr>
          <w:rFonts w:ascii="Arial" w:hAnsi="Arial" w:cs="Arial"/>
          <w:bCs/>
          <w:sz w:val="24"/>
          <w:szCs w:val="24"/>
        </w:rPr>
        <w:t>M.</w:t>
      </w:r>
    </w:p>
    <w:p w14:paraId="1D1E3FCE" w14:textId="77777777" w:rsidR="00984F9E" w:rsidRDefault="00984F9E" w:rsidP="00FA0A2F">
      <w:pPr>
        <w:rPr>
          <w:rFonts w:ascii="Arial" w:hAnsi="Arial" w:cs="Arial"/>
        </w:rPr>
      </w:pPr>
    </w:p>
    <w:p w14:paraId="3BBB10F1" w14:textId="3B502842" w:rsidR="00984F9E" w:rsidRDefault="00984F9E" w:rsidP="00FA0A2F">
      <w:pPr>
        <w:rPr>
          <w:rFonts w:ascii="Arial" w:hAnsi="Arial" w:cs="Arial"/>
        </w:rPr>
      </w:pPr>
      <w:r>
        <w:rPr>
          <w:rFonts w:ascii="Arial" w:hAnsi="Arial" w:cs="Arial"/>
          <w:noProof/>
          <w14:ligatures w14:val="standardContextual"/>
        </w:rPr>
        <w:lastRenderedPageBreak/>
        <w:drawing>
          <wp:inline distT="0" distB="0" distL="0" distR="0" wp14:anchorId="0D254B5D" wp14:editId="31DE2EC0">
            <wp:extent cx="5926667" cy="3288936"/>
            <wp:effectExtent l="0" t="0" r="0" b="0"/>
            <wp:docPr id="96749185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7491859" name="Picture 967491859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40" t="2058" r="5073" b="62145"/>
                    <a:stretch/>
                  </pic:blipFill>
                  <pic:spPr bwMode="auto">
                    <a:xfrm>
                      <a:off x="0" y="0"/>
                      <a:ext cx="5951560" cy="3302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271847" w14:textId="64503B6C" w:rsidR="00984F9E" w:rsidRDefault="00984F9E" w:rsidP="00984F9E">
      <w:pPr>
        <w:jc w:val="both"/>
        <w:rPr>
          <w:rFonts w:ascii="Arial" w:hAnsi="Arial" w:cs="Arial"/>
          <w:bCs/>
          <w:sz w:val="24"/>
          <w:szCs w:val="24"/>
        </w:rPr>
      </w:pPr>
      <w:r w:rsidRPr="00984F9E">
        <w:rPr>
          <w:rFonts w:ascii="Arial" w:hAnsi="Arial" w:cs="Arial"/>
          <w:sz w:val="24"/>
          <w:szCs w:val="24"/>
          <w14:ligatures w14:val="standardContextual"/>
        </w:rPr>
        <w:t xml:space="preserve">Figure S3. Percentages of CD4 and CD8 intracellular cytokines. intracellular IL1β+, </w:t>
      </w:r>
      <w:proofErr w:type="spellStart"/>
      <w:r w:rsidRPr="00984F9E">
        <w:rPr>
          <w:rFonts w:ascii="Arial" w:hAnsi="Arial" w:cs="Arial"/>
          <w:sz w:val="24"/>
          <w:szCs w:val="24"/>
          <w14:ligatures w14:val="standardContextual"/>
        </w:rPr>
        <w:t>IFNγ</w:t>
      </w:r>
      <w:proofErr w:type="spellEnd"/>
      <w:r w:rsidRPr="00984F9E">
        <w:rPr>
          <w:rFonts w:ascii="Arial" w:hAnsi="Arial" w:cs="Arial"/>
          <w:sz w:val="24"/>
          <w:szCs w:val="24"/>
          <w14:ligatures w14:val="standardContextual"/>
        </w:rPr>
        <w:t xml:space="preserve">+, and TNFα+ A) CD4+ and B) CD8+ T cells in the Mg500 and Mg2800 groups. </w:t>
      </w:r>
      <w:r w:rsidRPr="00984F9E">
        <w:rPr>
          <w:rFonts w:ascii="Arial" w:hAnsi="Arial" w:cs="Arial"/>
          <w:bCs/>
          <w:sz w:val="24"/>
          <w:szCs w:val="24"/>
        </w:rPr>
        <w:t xml:space="preserve">Each dot represents a separate mouse. Data in bar graphs represent mean </w:t>
      </w:r>
      <w:r w:rsidRPr="00984F9E">
        <w:rPr>
          <w:rFonts w:ascii="Arial" w:hAnsi="Arial" w:cs="Arial"/>
          <w:bCs/>
          <w:sz w:val="24"/>
          <w:szCs w:val="24"/>
        </w:rPr>
        <w:sym w:font="Symbol" w:char="F0B1"/>
      </w:r>
      <w:r w:rsidRPr="00984F9E">
        <w:rPr>
          <w:rFonts w:ascii="Arial" w:hAnsi="Arial" w:cs="Arial"/>
          <w:bCs/>
          <w:sz w:val="24"/>
          <w:szCs w:val="24"/>
        </w:rPr>
        <w:t xml:space="preserve"> </w:t>
      </w:r>
      <w:r w:rsidR="00086909" w:rsidRPr="00984F9E">
        <w:rPr>
          <w:rFonts w:ascii="Arial" w:hAnsi="Arial" w:cs="Arial"/>
          <w:bCs/>
          <w:sz w:val="24"/>
          <w:szCs w:val="24"/>
        </w:rPr>
        <w:t>S.</w:t>
      </w:r>
      <w:r w:rsidR="00086909">
        <w:rPr>
          <w:rFonts w:ascii="Arial" w:hAnsi="Arial" w:cs="Arial"/>
          <w:bCs/>
          <w:sz w:val="24"/>
          <w:szCs w:val="24"/>
        </w:rPr>
        <w:t>E</w:t>
      </w:r>
      <w:r w:rsidR="00086909" w:rsidRPr="00984F9E">
        <w:rPr>
          <w:rFonts w:ascii="Arial" w:hAnsi="Arial" w:cs="Arial"/>
          <w:bCs/>
          <w:sz w:val="24"/>
          <w:szCs w:val="24"/>
        </w:rPr>
        <w:t>.</w:t>
      </w:r>
      <w:r w:rsidR="00086909">
        <w:rPr>
          <w:rFonts w:ascii="Arial" w:hAnsi="Arial" w:cs="Arial"/>
          <w:bCs/>
          <w:sz w:val="24"/>
          <w:szCs w:val="24"/>
        </w:rPr>
        <w:t>M.</w:t>
      </w:r>
    </w:p>
    <w:p w14:paraId="1D975230" w14:textId="77777777" w:rsidR="00984F9E" w:rsidRDefault="00984F9E" w:rsidP="00984F9E">
      <w:pPr>
        <w:jc w:val="both"/>
        <w:rPr>
          <w:rFonts w:ascii="Arial" w:hAnsi="Arial" w:cs="Arial"/>
          <w:bCs/>
          <w:sz w:val="24"/>
          <w:szCs w:val="24"/>
        </w:rPr>
      </w:pPr>
    </w:p>
    <w:p w14:paraId="0B74E0D0" w14:textId="77777777" w:rsidR="00984F9E" w:rsidRDefault="00984F9E" w:rsidP="00984F9E">
      <w:pPr>
        <w:jc w:val="both"/>
        <w:rPr>
          <w:rFonts w:ascii="Arial" w:hAnsi="Arial" w:cs="Arial"/>
          <w:bCs/>
          <w:sz w:val="24"/>
          <w:szCs w:val="24"/>
        </w:rPr>
      </w:pPr>
    </w:p>
    <w:p w14:paraId="6894CDC3" w14:textId="77777777" w:rsidR="00984F9E" w:rsidRDefault="00984F9E" w:rsidP="00984F9E">
      <w:pPr>
        <w:jc w:val="both"/>
        <w:rPr>
          <w:rFonts w:ascii="Arial" w:hAnsi="Arial" w:cs="Arial"/>
          <w:bCs/>
          <w:sz w:val="24"/>
          <w:szCs w:val="24"/>
        </w:rPr>
      </w:pPr>
    </w:p>
    <w:p w14:paraId="28E6A339" w14:textId="77777777" w:rsidR="00984F9E" w:rsidRDefault="00984F9E" w:rsidP="00984F9E">
      <w:pPr>
        <w:jc w:val="both"/>
        <w:rPr>
          <w:rFonts w:ascii="Arial" w:hAnsi="Arial" w:cs="Arial"/>
          <w:bCs/>
          <w:sz w:val="24"/>
          <w:szCs w:val="24"/>
        </w:rPr>
      </w:pPr>
    </w:p>
    <w:p w14:paraId="1B048B62" w14:textId="77777777" w:rsidR="00984F9E" w:rsidRPr="00984F9E" w:rsidRDefault="00984F9E" w:rsidP="00984F9E">
      <w:pPr>
        <w:jc w:val="both"/>
        <w:rPr>
          <w:rFonts w:ascii="Arial" w:hAnsi="Arial" w:cs="Arial"/>
          <w:sz w:val="24"/>
          <w:szCs w:val="24"/>
        </w:rPr>
      </w:pPr>
    </w:p>
    <w:p w14:paraId="1A60E053" w14:textId="77777777" w:rsidR="00984F9E" w:rsidRDefault="00984F9E" w:rsidP="00FA0A2F">
      <w:pPr>
        <w:rPr>
          <w:rFonts w:ascii="Arial" w:hAnsi="Arial" w:cs="Arial"/>
        </w:rPr>
      </w:pPr>
    </w:p>
    <w:p w14:paraId="4906D476" w14:textId="6DA28D4F" w:rsidR="00984F9E" w:rsidRDefault="00984F9E" w:rsidP="00FA0A2F">
      <w:pPr>
        <w:rPr>
          <w:rFonts w:ascii="Arial" w:hAnsi="Arial" w:cs="Arial"/>
        </w:rPr>
      </w:pPr>
      <w:r>
        <w:rPr>
          <w:rFonts w:ascii="Arial" w:hAnsi="Arial" w:cs="Arial"/>
          <w:noProof/>
          <w14:ligatures w14:val="standardContextual"/>
        </w:rPr>
        <w:lastRenderedPageBreak/>
        <w:drawing>
          <wp:inline distT="0" distB="0" distL="0" distR="0" wp14:anchorId="1013FE39" wp14:editId="583F7473">
            <wp:extent cx="5815218" cy="2796363"/>
            <wp:effectExtent l="0" t="0" r="0" b="0"/>
            <wp:docPr id="177200673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2006736" name="Picture 1772006736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762" b="50258"/>
                    <a:stretch/>
                  </pic:blipFill>
                  <pic:spPr bwMode="auto">
                    <a:xfrm>
                      <a:off x="0" y="0"/>
                      <a:ext cx="5815330" cy="27964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815977" w14:textId="496DAC54" w:rsidR="00984F9E" w:rsidRPr="00984F9E" w:rsidRDefault="00984F9E" w:rsidP="00984F9E">
      <w:pPr>
        <w:jc w:val="both"/>
        <w:rPr>
          <w:rFonts w:ascii="Arial" w:hAnsi="Arial" w:cs="Arial"/>
          <w:sz w:val="24"/>
          <w:szCs w:val="24"/>
          <w14:ligatures w14:val="standardContextual"/>
        </w:rPr>
      </w:pPr>
      <w:r w:rsidRPr="00984F9E">
        <w:rPr>
          <w:rFonts w:ascii="Arial" w:hAnsi="Arial" w:cs="Arial"/>
          <w:sz w:val="24"/>
          <w:szCs w:val="24"/>
          <w14:ligatures w14:val="standardContextual"/>
        </w:rPr>
        <w:t xml:space="preserve">Figure S4. Serum levels of cytokines at the end of the dietary treatment in the Mg500 and Mg2800 groups. </w:t>
      </w:r>
      <w:r w:rsidRPr="00984F9E">
        <w:rPr>
          <w:rFonts w:ascii="Arial" w:hAnsi="Arial" w:cs="Arial"/>
          <w:bCs/>
          <w:sz w:val="24"/>
          <w:szCs w:val="24"/>
        </w:rPr>
        <w:t xml:space="preserve">Each dot represents a separate mouse. Data in bar graphs represent mean </w:t>
      </w:r>
      <w:r w:rsidRPr="00984F9E">
        <w:rPr>
          <w:rFonts w:ascii="Arial" w:hAnsi="Arial" w:cs="Arial"/>
          <w:bCs/>
          <w:sz w:val="24"/>
          <w:szCs w:val="24"/>
        </w:rPr>
        <w:sym w:font="Symbol" w:char="F0B1"/>
      </w:r>
      <w:r w:rsidRPr="00984F9E">
        <w:rPr>
          <w:rFonts w:ascii="Arial" w:hAnsi="Arial" w:cs="Arial"/>
          <w:bCs/>
          <w:sz w:val="24"/>
          <w:szCs w:val="24"/>
        </w:rPr>
        <w:t xml:space="preserve"> </w:t>
      </w:r>
      <w:r w:rsidR="00086909" w:rsidRPr="00984F9E">
        <w:rPr>
          <w:rFonts w:ascii="Arial" w:hAnsi="Arial" w:cs="Arial"/>
          <w:bCs/>
          <w:sz w:val="24"/>
          <w:szCs w:val="24"/>
        </w:rPr>
        <w:t>S.</w:t>
      </w:r>
      <w:r w:rsidR="00086909">
        <w:rPr>
          <w:rFonts w:ascii="Arial" w:hAnsi="Arial" w:cs="Arial"/>
          <w:bCs/>
          <w:sz w:val="24"/>
          <w:szCs w:val="24"/>
        </w:rPr>
        <w:t>E</w:t>
      </w:r>
      <w:r w:rsidR="00086909" w:rsidRPr="00984F9E">
        <w:rPr>
          <w:rFonts w:ascii="Arial" w:hAnsi="Arial" w:cs="Arial"/>
          <w:bCs/>
          <w:sz w:val="24"/>
          <w:szCs w:val="24"/>
        </w:rPr>
        <w:t>.</w:t>
      </w:r>
      <w:r w:rsidR="00086909">
        <w:rPr>
          <w:rFonts w:ascii="Arial" w:hAnsi="Arial" w:cs="Arial"/>
          <w:bCs/>
          <w:sz w:val="24"/>
          <w:szCs w:val="24"/>
        </w:rPr>
        <w:t>M.</w:t>
      </w:r>
    </w:p>
    <w:p w14:paraId="4F1DBA4F" w14:textId="77777777" w:rsidR="00984F9E" w:rsidRPr="00FA0A2F" w:rsidRDefault="00984F9E" w:rsidP="00FA0A2F">
      <w:pPr>
        <w:rPr>
          <w:rFonts w:ascii="Arial" w:hAnsi="Arial" w:cs="Arial"/>
        </w:rPr>
      </w:pPr>
    </w:p>
    <w:sectPr w:rsidR="00984F9E" w:rsidRPr="00FA0A2F" w:rsidSect="009077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0C1476"/>
    <w:multiLevelType w:val="hybridMultilevel"/>
    <w:tmpl w:val="071C17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30654"/>
    <w:multiLevelType w:val="hybridMultilevel"/>
    <w:tmpl w:val="071C17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44766"/>
    <w:multiLevelType w:val="hybridMultilevel"/>
    <w:tmpl w:val="071C17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A10F17"/>
    <w:multiLevelType w:val="hybridMultilevel"/>
    <w:tmpl w:val="071C17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A360F7"/>
    <w:multiLevelType w:val="hybridMultilevel"/>
    <w:tmpl w:val="071C17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F256E5"/>
    <w:multiLevelType w:val="hybridMultilevel"/>
    <w:tmpl w:val="071C17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9417831">
    <w:abstractNumId w:val="5"/>
  </w:num>
  <w:num w:numId="2" w16cid:durableId="558253046">
    <w:abstractNumId w:val="0"/>
  </w:num>
  <w:num w:numId="3" w16cid:durableId="2094929287">
    <w:abstractNumId w:val="1"/>
  </w:num>
  <w:num w:numId="4" w16cid:durableId="695472034">
    <w:abstractNumId w:val="3"/>
  </w:num>
  <w:num w:numId="5" w16cid:durableId="1201436311">
    <w:abstractNumId w:val="2"/>
  </w:num>
  <w:num w:numId="6" w16cid:durableId="5003927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A2F"/>
    <w:rsid w:val="000068A6"/>
    <w:rsid w:val="00056363"/>
    <w:rsid w:val="00067C36"/>
    <w:rsid w:val="00086909"/>
    <w:rsid w:val="0010349E"/>
    <w:rsid w:val="00272554"/>
    <w:rsid w:val="00296CC7"/>
    <w:rsid w:val="002A6CF4"/>
    <w:rsid w:val="002C5E1F"/>
    <w:rsid w:val="00303FA7"/>
    <w:rsid w:val="004234DF"/>
    <w:rsid w:val="00432FFB"/>
    <w:rsid w:val="004742D1"/>
    <w:rsid w:val="00481402"/>
    <w:rsid w:val="004910D0"/>
    <w:rsid w:val="004A3C7D"/>
    <w:rsid w:val="004C65FA"/>
    <w:rsid w:val="00572463"/>
    <w:rsid w:val="00592648"/>
    <w:rsid w:val="00595232"/>
    <w:rsid w:val="005B3012"/>
    <w:rsid w:val="006746E1"/>
    <w:rsid w:val="00696BF8"/>
    <w:rsid w:val="007469B3"/>
    <w:rsid w:val="007B35DC"/>
    <w:rsid w:val="008169DA"/>
    <w:rsid w:val="00821072"/>
    <w:rsid w:val="00830DE7"/>
    <w:rsid w:val="00845970"/>
    <w:rsid w:val="008B0405"/>
    <w:rsid w:val="009077D4"/>
    <w:rsid w:val="009372A2"/>
    <w:rsid w:val="009821BC"/>
    <w:rsid w:val="00982485"/>
    <w:rsid w:val="00984F9E"/>
    <w:rsid w:val="00A54030"/>
    <w:rsid w:val="00A557C6"/>
    <w:rsid w:val="00A867B6"/>
    <w:rsid w:val="00AD2565"/>
    <w:rsid w:val="00AF37A1"/>
    <w:rsid w:val="00AF659A"/>
    <w:rsid w:val="00B774C2"/>
    <w:rsid w:val="00B77B92"/>
    <w:rsid w:val="00B846A8"/>
    <w:rsid w:val="00BB1486"/>
    <w:rsid w:val="00C0068F"/>
    <w:rsid w:val="00C76284"/>
    <w:rsid w:val="00CA63C6"/>
    <w:rsid w:val="00CB12B7"/>
    <w:rsid w:val="00CB3177"/>
    <w:rsid w:val="00CB32DB"/>
    <w:rsid w:val="00CC52C4"/>
    <w:rsid w:val="00CF0D5D"/>
    <w:rsid w:val="00CF1AA0"/>
    <w:rsid w:val="00D511AB"/>
    <w:rsid w:val="00D85798"/>
    <w:rsid w:val="00EB1514"/>
    <w:rsid w:val="00EC23D4"/>
    <w:rsid w:val="00F61FFD"/>
    <w:rsid w:val="00FA0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492141"/>
  <w15:chartTrackingRefBased/>
  <w15:docId w15:val="{8A4B1B0E-4213-044B-8A3F-20F926860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4F9E"/>
    <w:pPr>
      <w:spacing w:after="200" w:line="276" w:lineRule="auto"/>
    </w:pPr>
    <w:rPr>
      <w:kern w:val="0"/>
      <w:sz w:val="22"/>
      <w:szCs w:val="22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0A2F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spacing w:after="240" w:line="360" w:lineRule="auto"/>
      <w:ind w:left="720"/>
      <w:contextualSpacing/>
      <w:jc w:val="both"/>
    </w:pPr>
    <w:rPr>
      <w:rFonts w:ascii="Arial" w:eastAsiaTheme="minorEastAsia" w:hAnsi="Arial" w:cs="Arial"/>
      <w:sz w:val="20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Cravedi, Paolo</dc:creator>
  <cp:keywords/>
  <dc:description/>
  <cp:lastModifiedBy>Cravedi, Paolo</cp:lastModifiedBy>
  <cp:revision>7</cp:revision>
  <dcterms:created xsi:type="dcterms:W3CDTF">2023-05-04T07:44:00Z</dcterms:created>
  <dcterms:modified xsi:type="dcterms:W3CDTF">2023-05-04T21:06:00Z</dcterms:modified>
</cp:coreProperties>
</file>