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0B6C" w:rsidRDefault="00D80B6C" w:rsidP="00D80B6C">
      <w:pPr>
        <w:rPr>
          <w:b/>
          <w:bCs/>
          <w:lang w:val="en-GB"/>
        </w:rPr>
      </w:pPr>
      <w:r w:rsidRPr="00606B58">
        <w:rPr>
          <w:b/>
          <w:bCs/>
          <w:lang w:val="en-GB"/>
        </w:rPr>
        <w:t>SUPPLEMENTARY MATERIAL</w:t>
      </w:r>
    </w:p>
    <w:p w:rsidR="00D80B6C" w:rsidRPr="00FE4A22" w:rsidRDefault="00D80B6C" w:rsidP="00D80B6C">
      <w:pPr>
        <w:rPr>
          <w:b/>
          <w:bCs/>
          <w:lang w:val="en-GB"/>
        </w:rPr>
      </w:pPr>
      <w:r w:rsidRPr="00FE4A22">
        <w:rPr>
          <w:b/>
          <w:bCs/>
          <w:lang w:val="en-GB"/>
        </w:rPr>
        <w:t>Supplementary material A:  keyword from database search</w:t>
      </w:r>
    </w:p>
    <w:p w:rsidR="00D80B6C" w:rsidRPr="00253E74" w:rsidRDefault="00D80B6C" w:rsidP="00D80B6C">
      <w:pPr>
        <w:jc w:val="both"/>
        <w:rPr>
          <w:bCs/>
          <w:u w:val="single"/>
          <w:lang w:val="en-GB"/>
        </w:rPr>
      </w:pPr>
      <w:r w:rsidRPr="00253E74">
        <w:rPr>
          <w:bCs/>
          <w:u w:val="single"/>
          <w:lang w:val="en-GB"/>
        </w:rPr>
        <w:t>Pubmed Search</w:t>
      </w:r>
    </w:p>
    <w:p w:rsidR="00D80B6C" w:rsidRDefault="00D80B6C" w:rsidP="00D80B6C">
      <w:pPr>
        <w:jc w:val="both"/>
        <w:rPr>
          <w:lang w:val="en-GB"/>
        </w:rPr>
      </w:pPr>
      <w:r w:rsidRPr="00877597">
        <w:rPr>
          <w:lang w:val="en-GB"/>
        </w:rPr>
        <w:t>"biliary tract neoplasms"[MeSH Terms] OR "biliary tract neoplasms" OR "biliary cancer"[All Fields] OR "cholangiocarcinoma"[All Fields]) AND ("chemoradiotherapy"[MeSH Terms] OR "chemoradiation"[All Fields] OR "chemoradiotherapy"[All Fields])</w:t>
      </w:r>
    </w:p>
    <w:p w:rsidR="00D80B6C" w:rsidRPr="00253E74" w:rsidRDefault="00D80B6C" w:rsidP="00D80B6C">
      <w:pPr>
        <w:jc w:val="both"/>
        <w:rPr>
          <w:u w:val="single"/>
          <w:lang w:val="en-GB"/>
        </w:rPr>
      </w:pPr>
      <w:r w:rsidRPr="00253E74">
        <w:rPr>
          <w:bCs/>
          <w:u w:val="single"/>
          <w:lang w:val="en-GB"/>
        </w:rPr>
        <w:t>Scopus Search</w:t>
      </w:r>
    </w:p>
    <w:p w:rsidR="00D80B6C" w:rsidRDefault="00D80B6C" w:rsidP="00D80B6C">
      <w:pPr>
        <w:jc w:val="both"/>
        <w:rPr>
          <w:lang w:val="en-GB"/>
        </w:rPr>
      </w:pPr>
      <w:r w:rsidRPr="0028637C">
        <w:rPr>
          <w:lang w:val="en-GB"/>
        </w:rPr>
        <w:t>( TITLE-ABS-KEY ( "biliary tract neoplasms"  OR  "biliary tract neoplasms"  OR  "biliary cancer"  OR  "cholangiocarcinoma" )  AND  TITLE-ABS-KEY ( "chemoradiotherapy"  OR  "chemoradiation" ) )</w:t>
      </w:r>
    </w:p>
    <w:p w:rsidR="00D80B6C" w:rsidRPr="00253E74" w:rsidRDefault="00D80B6C" w:rsidP="00D80B6C">
      <w:pPr>
        <w:jc w:val="both"/>
        <w:rPr>
          <w:u w:val="single"/>
          <w:lang w:val="en-GB"/>
        </w:rPr>
      </w:pPr>
      <w:r w:rsidRPr="00253E74">
        <w:rPr>
          <w:bCs/>
          <w:u w:val="single"/>
          <w:lang w:val="en-GB"/>
        </w:rPr>
        <w:t>Cochrane Library Search</w:t>
      </w:r>
    </w:p>
    <w:p w:rsidR="00D80B6C" w:rsidRDefault="00D80B6C" w:rsidP="00D80B6C">
      <w:pPr>
        <w:jc w:val="both"/>
        <w:rPr>
          <w:lang w:val="en-GB"/>
        </w:rPr>
      </w:pPr>
      <w:r w:rsidRPr="0028637C">
        <w:rPr>
          <w:lang w:val="en-GB"/>
        </w:rPr>
        <w:t xml:space="preserve">( TITLE-ABS-KEY ( "biliary </w:t>
      </w:r>
      <w:r>
        <w:rPr>
          <w:lang w:val="en-GB"/>
        </w:rPr>
        <w:t>cancer</w:t>
      </w:r>
      <w:r w:rsidRPr="0028637C">
        <w:rPr>
          <w:lang w:val="en-GB"/>
        </w:rPr>
        <w:t>"</w:t>
      </w:r>
      <w:r>
        <w:rPr>
          <w:lang w:val="en-GB"/>
        </w:rPr>
        <w:t>) AND</w:t>
      </w:r>
      <w:r w:rsidRPr="00CF448D">
        <w:rPr>
          <w:lang w:val="en-GB"/>
        </w:rPr>
        <w:t xml:space="preserve"> </w:t>
      </w:r>
      <w:r w:rsidRPr="0028637C">
        <w:rPr>
          <w:lang w:val="en-GB"/>
        </w:rPr>
        <w:t>TITLE-ABS-KEY ( "chemoradiation" ) )</w:t>
      </w:r>
    </w:p>
    <w:p w:rsidR="00D80B6C" w:rsidRDefault="00D80B6C" w:rsidP="00D80B6C">
      <w:pPr>
        <w:rPr>
          <w:b/>
          <w:bCs/>
          <w:lang w:val="en-GB"/>
        </w:rPr>
      </w:pPr>
      <w:r w:rsidRPr="00FE4A22">
        <w:rPr>
          <w:b/>
          <w:bCs/>
          <w:lang w:val="en-GB"/>
        </w:rPr>
        <w:t>Supplementary material B: papers excluded from full-text evaluation and reasons</w:t>
      </w:r>
    </w:p>
    <w:p w:rsidR="00D80B6C" w:rsidRPr="00F7660A" w:rsidRDefault="00D80B6C" w:rsidP="00D80B6C">
      <w:pPr>
        <w:pStyle w:val="ListParagraph"/>
        <w:numPr>
          <w:ilvl w:val="0"/>
          <w:numId w:val="1"/>
        </w:numPr>
        <w:spacing w:after="160" w:line="259" w:lineRule="auto"/>
        <w:jc w:val="both"/>
        <w:rPr>
          <w:lang w:val="en-GB"/>
        </w:rPr>
      </w:pPr>
      <w:r w:rsidRPr="00F7660A">
        <w:rPr>
          <w:lang w:val="en-GB"/>
        </w:rPr>
        <w:t>H.N. Yankey, K. Ruth, J.E. Meyer. Survival and Toxicity in Patients With Unresectable/Inoperable Biliary Cancers Treated with SBRT vs. Conventionally Fractionated Chemoradiation. International Journal of Radiation Oncology Biology Physics, 2021.  10.1016/j.ijrobp.2021.07.456</w:t>
      </w:r>
      <w:r>
        <w:rPr>
          <w:lang w:val="en-GB"/>
        </w:rPr>
        <w:t>.</w:t>
      </w:r>
      <w:r w:rsidRPr="00F7660A">
        <w:rPr>
          <w:lang w:val="en-GB"/>
        </w:rPr>
        <w:t xml:space="preserve"> </w:t>
      </w:r>
      <w:r>
        <w:rPr>
          <w:lang w:val="en-GB"/>
        </w:rPr>
        <w:t>(</w:t>
      </w:r>
      <w:r w:rsidRPr="00F7660A">
        <w:rPr>
          <w:lang w:val="en-GB"/>
        </w:rPr>
        <w:t>abstract</w:t>
      </w:r>
      <w:r>
        <w:rPr>
          <w:lang w:val="en-GB"/>
        </w:rPr>
        <w:t>)</w:t>
      </w:r>
    </w:p>
    <w:p w:rsidR="00D80B6C" w:rsidRDefault="00D80B6C" w:rsidP="00D80B6C">
      <w:pPr>
        <w:pStyle w:val="ListParagraph"/>
        <w:numPr>
          <w:ilvl w:val="0"/>
          <w:numId w:val="1"/>
        </w:numPr>
        <w:spacing w:after="160" w:line="259" w:lineRule="auto"/>
        <w:jc w:val="both"/>
        <w:rPr>
          <w:lang w:val="en-GB"/>
        </w:rPr>
      </w:pPr>
      <w:r w:rsidRPr="003E5E71">
        <w:rPr>
          <w:lang w:val="en-GB"/>
        </w:rPr>
        <w:t>J. Yue, R. Feng</w:t>
      </w:r>
      <w:r>
        <w:rPr>
          <w:lang w:val="en-GB"/>
        </w:rPr>
        <w:t xml:space="preserve">. </w:t>
      </w:r>
      <w:r w:rsidRPr="003E5E71">
        <w:rPr>
          <w:lang w:val="en-GB"/>
        </w:rPr>
        <w:t>Efficacy and Safety of PD-1 Inhibitor SHR-1210 With Chemoradiotherapy in Locally Advanced Cholangiocarcinoma. International Journal of Radiation Oncology</w:t>
      </w:r>
      <w:r>
        <w:rPr>
          <w:lang w:val="en-GB"/>
        </w:rPr>
        <w:t xml:space="preserve"> </w:t>
      </w:r>
      <w:r w:rsidRPr="003E5E71">
        <w:rPr>
          <w:lang w:val="en-GB"/>
        </w:rPr>
        <w:t>Biology</w:t>
      </w:r>
      <w:r>
        <w:rPr>
          <w:lang w:val="en-GB"/>
        </w:rPr>
        <w:t xml:space="preserve"> </w:t>
      </w:r>
      <w:r w:rsidRPr="003E5E71">
        <w:rPr>
          <w:lang w:val="en-GB"/>
        </w:rPr>
        <w:t>Physics</w:t>
      </w:r>
      <w:r>
        <w:rPr>
          <w:lang w:val="en-GB"/>
        </w:rPr>
        <w:t xml:space="preserve">, </w:t>
      </w:r>
      <w:r w:rsidRPr="003E5E71">
        <w:rPr>
          <w:lang w:val="en-GB"/>
        </w:rPr>
        <w:t>2021</w:t>
      </w:r>
      <w:r>
        <w:rPr>
          <w:lang w:val="en-GB"/>
        </w:rPr>
        <w:t xml:space="preserve">. </w:t>
      </w:r>
      <w:r w:rsidRPr="003E5E71">
        <w:rPr>
          <w:lang w:val="en-GB"/>
        </w:rPr>
        <w:t>10.1016/j.ijrobp.2021.07.458</w:t>
      </w:r>
      <w:r>
        <w:rPr>
          <w:lang w:val="en-GB"/>
        </w:rPr>
        <w:t>. (abstract)</w:t>
      </w:r>
    </w:p>
    <w:p w:rsidR="00D80B6C" w:rsidRDefault="00D80B6C" w:rsidP="00D80B6C">
      <w:pPr>
        <w:pStyle w:val="ListParagraph"/>
        <w:numPr>
          <w:ilvl w:val="0"/>
          <w:numId w:val="1"/>
        </w:numPr>
        <w:spacing w:after="160" w:line="259" w:lineRule="auto"/>
        <w:jc w:val="both"/>
        <w:rPr>
          <w:lang w:val="en-GB"/>
        </w:rPr>
      </w:pPr>
      <w:r w:rsidRPr="00867557">
        <w:rPr>
          <w:lang w:val="de-DE"/>
        </w:rPr>
        <w:t xml:space="preserve">M. Oertel, F. Gattermann, H. Schmidt, HT Eich. </w:t>
      </w:r>
      <w:r w:rsidRPr="003E5E71">
        <w:rPr>
          <w:lang w:val="en-GB"/>
        </w:rPr>
        <w:t>Examining the Use of Radiation Therapy for Cholangiocarcinoma: Benefits through Modern Techniques</w:t>
      </w:r>
      <w:r>
        <w:rPr>
          <w:lang w:val="en-GB"/>
        </w:rPr>
        <w:t>.</w:t>
      </w:r>
      <w:r w:rsidRPr="003E5E71">
        <w:rPr>
          <w:lang w:val="en-GB"/>
        </w:rPr>
        <w:t xml:space="preserve"> Oncology Research and Treatment</w:t>
      </w:r>
      <w:r>
        <w:rPr>
          <w:lang w:val="en-GB"/>
        </w:rPr>
        <w:t xml:space="preserve">, </w:t>
      </w:r>
      <w:r w:rsidRPr="003E5E71">
        <w:rPr>
          <w:lang w:val="en-GB"/>
        </w:rPr>
        <w:t>2021</w:t>
      </w:r>
      <w:r>
        <w:rPr>
          <w:lang w:val="en-GB"/>
        </w:rPr>
        <w:t xml:space="preserve">: </w:t>
      </w:r>
      <w:r w:rsidRPr="00F7660A">
        <w:rPr>
          <w:lang w:val="en-GB"/>
        </w:rPr>
        <w:t>44(7-8):408-413</w:t>
      </w:r>
      <w:r>
        <w:rPr>
          <w:lang w:val="en-GB"/>
        </w:rPr>
        <w:t xml:space="preserve">. </w:t>
      </w:r>
      <w:r w:rsidRPr="003E5E71">
        <w:rPr>
          <w:lang w:val="en-GB"/>
        </w:rPr>
        <w:t>10.1159/000517533</w:t>
      </w:r>
      <w:r>
        <w:rPr>
          <w:lang w:val="en-GB"/>
        </w:rPr>
        <w:t xml:space="preserve"> (Less than 10 patients treated with concurrent CRT)</w:t>
      </w:r>
    </w:p>
    <w:p w:rsidR="00D80B6C" w:rsidRDefault="00D80B6C" w:rsidP="00D80B6C">
      <w:pPr>
        <w:pStyle w:val="ListParagraph"/>
        <w:numPr>
          <w:ilvl w:val="0"/>
          <w:numId w:val="1"/>
        </w:numPr>
        <w:spacing w:after="160" w:line="259" w:lineRule="auto"/>
        <w:jc w:val="both"/>
        <w:rPr>
          <w:lang w:val="en-GB"/>
        </w:rPr>
      </w:pPr>
      <w:r w:rsidRPr="00F7660A">
        <w:t xml:space="preserve">K. Morino, S. Seo, T. Yoh, K. Fukumitsu, T. Ishii, K. Taura, S. Morita, T. Kaido, S. Uemoto. </w:t>
      </w:r>
      <w:r w:rsidRPr="00313738">
        <w:rPr>
          <w:lang w:val="en-GB"/>
        </w:rPr>
        <w:t>Proposed Definition for Oligometastatic Recurrence in Biliary Tract Cancer Based on Results of Locoregional Treatment: A Propensity-Score-Stratified Analysis. Annals of Surgical Oncology</w:t>
      </w:r>
      <w:r>
        <w:rPr>
          <w:lang w:val="en-GB"/>
        </w:rPr>
        <w:t xml:space="preserve">, </w:t>
      </w:r>
      <w:r w:rsidRPr="00313738">
        <w:rPr>
          <w:lang w:val="en-GB"/>
        </w:rPr>
        <w:t>2020</w:t>
      </w:r>
      <w:r>
        <w:rPr>
          <w:lang w:val="en-GB"/>
        </w:rPr>
        <w:t xml:space="preserve">: </w:t>
      </w:r>
      <w:r w:rsidRPr="009C1E2D">
        <w:rPr>
          <w:lang w:val="en-GB"/>
        </w:rPr>
        <w:t>27(6):1908-1917.</w:t>
      </w:r>
      <w:r>
        <w:rPr>
          <w:lang w:val="en-GB"/>
        </w:rPr>
        <w:t xml:space="preserve"> </w:t>
      </w:r>
      <w:r w:rsidRPr="00313738">
        <w:rPr>
          <w:lang w:val="en-GB"/>
        </w:rPr>
        <w:t>10.1245/s10434-020-08207-0</w:t>
      </w:r>
      <w:r>
        <w:rPr>
          <w:lang w:val="en-GB"/>
        </w:rPr>
        <w:t>.  (Results non differentiated between groups)</w:t>
      </w:r>
    </w:p>
    <w:p w:rsidR="00D80B6C" w:rsidRDefault="00D80B6C" w:rsidP="00D80B6C">
      <w:pPr>
        <w:pStyle w:val="ListParagraph"/>
        <w:numPr>
          <w:ilvl w:val="0"/>
          <w:numId w:val="1"/>
        </w:numPr>
        <w:spacing w:after="160" w:line="259" w:lineRule="auto"/>
        <w:jc w:val="both"/>
        <w:rPr>
          <w:lang w:val="en-GB"/>
        </w:rPr>
      </w:pPr>
      <w:r>
        <w:rPr>
          <w:lang w:val="en-GB"/>
        </w:rPr>
        <w:t xml:space="preserve">A. </w:t>
      </w:r>
      <w:r w:rsidRPr="00B82DF7">
        <w:rPr>
          <w:lang w:val="en-GB"/>
        </w:rPr>
        <w:t xml:space="preserve">Torgeson , </w:t>
      </w:r>
      <w:r>
        <w:rPr>
          <w:lang w:val="en-GB"/>
        </w:rPr>
        <w:t xml:space="preserve">S. </w:t>
      </w:r>
      <w:r w:rsidRPr="00B82DF7">
        <w:rPr>
          <w:lang w:val="en-GB"/>
        </w:rPr>
        <w:t>Lloyd,</w:t>
      </w:r>
      <w:r>
        <w:rPr>
          <w:lang w:val="en-GB"/>
        </w:rPr>
        <w:t xml:space="preserve"> D.</w:t>
      </w:r>
      <w:r w:rsidRPr="00B82DF7">
        <w:rPr>
          <w:lang w:val="en-GB"/>
        </w:rPr>
        <w:t xml:space="preserve"> Boothe, </w:t>
      </w:r>
      <w:r>
        <w:rPr>
          <w:lang w:val="en-GB"/>
        </w:rPr>
        <w:t xml:space="preserve">G. </w:t>
      </w:r>
      <w:r w:rsidRPr="00B82DF7">
        <w:rPr>
          <w:lang w:val="en-GB"/>
        </w:rPr>
        <w:t xml:space="preserve">Cannon, </w:t>
      </w:r>
      <w:r>
        <w:rPr>
          <w:lang w:val="en-GB"/>
        </w:rPr>
        <w:t xml:space="preserve">I. </w:t>
      </w:r>
      <w:r w:rsidRPr="00B82DF7">
        <w:rPr>
          <w:lang w:val="en-GB"/>
        </w:rPr>
        <w:t xml:space="preserve">Garrido-Laguna, </w:t>
      </w:r>
      <w:r>
        <w:rPr>
          <w:lang w:val="en-GB"/>
        </w:rPr>
        <w:t xml:space="preserve">J. </w:t>
      </w:r>
      <w:r w:rsidRPr="00B82DF7">
        <w:rPr>
          <w:lang w:val="en-GB"/>
        </w:rPr>
        <w:t xml:space="preserve">Whisenant, </w:t>
      </w:r>
      <w:r>
        <w:rPr>
          <w:lang w:val="en-GB"/>
        </w:rPr>
        <w:t xml:space="preserve">M. </w:t>
      </w:r>
      <w:r w:rsidRPr="00B82DF7">
        <w:rPr>
          <w:lang w:val="en-GB"/>
        </w:rPr>
        <w:t xml:space="preserve">Lewis, </w:t>
      </w:r>
      <w:r>
        <w:rPr>
          <w:lang w:val="en-GB"/>
        </w:rPr>
        <w:t xml:space="preserve">R. </w:t>
      </w:r>
      <w:r w:rsidRPr="00B82DF7">
        <w:rPr>
          <w:lang w:val="en-GB"/>
        </w:rPr>
        <w:t xml:space="preserve">Kim, </w:t>
      </w:r>
      <w:r>
        <w:rPr>
          <w:lang w:val="en-GB"/>
        </w:rPr>
        <w:t xml:space="preserve">C. </w:t>
      </w:r>
      <w:r w:rsidRPr="00B82DF7">
        <w:rPr>
          <w:lang w:val="en-GB"/>
        </w:rPr>
        <w:t xml:space="preserve">Scaife, </w:t>
      </w:r>
      <w:r>
        <w:rPr>
          <w:lang w:val="en-GB"/>
        </w:rPr>
        <w:t xml:space="preserve">R. </w:t>
      </w:r>
      <w:r w:rsidRPr="00B82DF7">
        <w:rPr>
          <w:lang w:val="en-GB"/>
        </w:rPr>
        <w:t>Tao</w:t>
      </w:r>
      <w:r>
        <w:rPr>
          <w:lang w:val="en-GB"/>
        </w:rPr>
        <w:t xml:space="preserve">. </w:t>
      </w:r>
      <w:r w:rsidRPr="001A0009">
        <w:rPr>
          <w:lang w:val="en-GB"/>
        </w:rPr>
        <w:t>Chemoradiation Therapy for Unresected Extrahepatic Cholangiocarcinoma: A Propensity Score-Matched Analysis. Annals of Surgical Oncology</w:t>
      </w:r>
      <w:r>
        <w:rPr>
          <w:lang w:val="en-GB"/>
        </w:rPr>
        <w:t xml:space="preserve">, </w:t>
      </w:r>
      <w:r w:rsidRPr="001A0009">
        <w:rPr>
          <w:lang w:val="en-GB"/>
        </w:rPr>
        <w:t>2017</w:t>
      </w:r>
      <w:r>
        <w:rPr>
          <w:lang w:val="en-GB"/>
        </w:rPr>
        <w:t xml:space="preserve">: </w:t>
      </w:r>
      <w:r w:rsidRPr="00B82DF7">
        <w:rPr>
          <w:lang w:val="en-GB"/>
        </w:rPr>
        <w:t>24(13):4001-4008</w:t>
      </w:r>
      <w:r>
        <w:rPr>
          <w:lang w:val="en-GB"/>
        </w:rPr>
        <w:t xml:space="preserve">. </w:t>
      </w:r>
      <w:r w:rsidRPr="001A0009">
        <w:rPr>
          <w:lang w:val="en-GB"/>
        </w:rPr>
        <w:t>10.1245/s10434-017-6131-9</w:t>
      </w:r>
      <w:r>
        <w:rPr>
          <w:lang w:val="en-GB"/>
        </w:rPr>
        <w:t>. (Results non differentiated between groups; included ampullary cancers).</w:t>
      </w:r>
    </w:p>
    <w:p w:rsidR="00D80B6C" w:rsidRDefault="00D80B6C" w:rsidP="00D80B6C">
      <w:pPr>
        <w:pStyle w:val="ListParagraph"/>
        <w:numPr>
          <w:ilvl w:val="0"/>
          <w:numId w:val="1"/>
        </w:numPr>
        <w:spacing w:after="160" w:line="259" w:lineRule="auto"/>
        <w:jc w:val="both"/>
        <w:rPr>
          <w:lang w:val="en-GB"/>
        </w:rPr>
      </w:pPr>
      <w:r>
        <w:rPr>
          <w:lang w:val="en-GB"/>
        </w:rPr>
        <w:t xml:space="preserve">J. </w:t>
      </w:r>
      <w:r w:rsidRPr="00EC629A">
        <w:rPr>
          <w:lang w:val="en-GB"/>
        </w:rPr>
        <w:t xml:space="preserve">Il Yu, </w:t>
      </w:r>
      <w:r>
        <w:rPr>
          <w:lang w:val="en-GB"/>
        </w:rPr>
        <w:t xml:space="preserve">H. </w:t>
      </w:r>
      <w:r w:rsidRPr="00EC629A">
        <w:rPr>
          <w:lang w:val="en-GB"/>
        </w:rPr>
        <w:t xml:space="preserve">Chul Park, </w:t>
      </w:r>
      <w:r>
        <w:rPr>
          <w:lang w:val="en-GB"/>
        </w:rPr>
        <w:t xml:space="preserve">D. </w:t>
      </w:r>
      <w:r w:rsidRPr="00EC629A">
        <w:rPr>
          <w:lang w:val="en-GB"/>
        </w:rPr>
        <w:t xml:space="preserve">Hoon Lim, </w:t>
      </w:r>
      <w:r>
        <w:rPr>
          <w:lang w:val="en-GB"/>
        </w:rPr>
        <w:t xml:space="preserve">J. </w:t>
      </w:r>
      <w:r w:rsidRPr="00EC629A">
        <w:rPr>
          <w:lang w:val="en-GB"/>
        </w:rPr>
        <w:t xml:space="preserve">Oh Park, </w:t>
      </w:r>
      <w:r>
        <w:rPr>
          <w:lang w:val="en-GB"/>
        </w:rPr>
        <w:t xml:space="preserve">Y. </w:t>
      </w:r>
      <w:r w:rsidRPr="00EC629A">
        <w:rPr>
          <w:lang w:val="en-GB"/>
        </w:rPr>
        <w:t xml:space="preserve">Suk Park, </w:t>
      </w:r>
      <w:r>
        <w:rPr>
          <w:lang w:val="en-GB"/>
        </w:rPr>
        <w:t xml:space="preserve">S. </w:t>
      </w:r>
      <w:r w:rsidRPr="00EC629A">
        <w:rPr>
          <w:lang w:val="en-GB"/>
        </w:rPr>
        <w:t xml:space="preserve">Tae Kim, </w:t>
      </w:r>
      <w:r>
        <w:rPr>
          <w:lang w:val="en-GB"/>
        </w:rPr>
        <w:t xml:space="preserve">S. </w:t>
      </w:r>
      <w:r w:rsidRPr="00EC629A">
        <w:rPr>
          <w:lang w:val="en-GB"/>
        </w:rPr>
        <w:t xml:space="preserve">Ho Choi, </w:t>
      </w:r>
      <w:r>
        <w:rPr>
          <w:lang w:val="en-GB"/>
        </w:rPr>
        <w:t xml:space="preserve">D </w:t>
      </w:r>
      <w:r w:rsidRPr="00EC629A">
        <w:rPr>
          <w:lang w:val="en-GB"/>
        </w:rPr>
        <w:t xml:space="preserve">Wook Choi, </w:t>
      </w:r>
      <w:r>
        <w:rPr>
          <w:lang w:val="en-GB"/>
        </w:rPr>
        <w:t xml:space="preserve">I. </w:t>
      </w:r>
      <w:r w:rsidRPr="00EC629A">
        <w:rPr>
          <w:lang w:val="en-GB"/>
        </w:rPr>
        <w:t xml:space="preserve">Woong Han, </w:t>
      </w:r>
      <w:r>
        <w:rPr>
          <w:lang w:val="en-GB"/>
        </w:rPr>
        <w:t xml:space="preserve">J. </w:t>
      </w:r>
      <w:r w:rsidRPr="00EC629A">
        <w:rPr>
          <w:lang w:val="en-GB"/>
        </w:rPr>
        <w:t xml:space="preserve">Seok Heo. </w:t>
      </w:r>
      <w:r w:rsidRPr="008A3D47">
        <w:rPr>
          <w:lang w:val="en-GB"/>
        </w:rPr>
        <w:t>Clinical outcomes of salvage chemoradiotherapy for locally recurrent biliary tract cancer. Tumori</w:t>
      </w:r>
      <w:r>
        <w:rPr>
          <w:lang w:val="en-GB"/>
        </w:rPr>
        <w:t xml:space="preserve">, </w:t>
      </w:r>
      <w:r w:rsidRPr="008A3D47">
        <w:rPr>
          <w:lang w:val="en-GB"/>
        </w:rPr>
        <w:t>2017</w:t>
      </w:r>
      <w:r>
        <w:rPr>
          <w:lang w:val="en-GB"/>
        </w:rPr>
        <w:t xml:space="preserve">: </w:t>
      </w:r>
      <w:r w:rsidRPr="00EC629A">
        <w:rPr>
          <w:lang w:val="en-GB"/>
        </w:rPr>
        <w:t>103(4):345-352</w:t>
      </w:r>
      <w:r>
        <w:rPr>
          <w:lang w:val="en-GB"/>
        </w:rPr>
        <w:t xml:space="preserve">. </w:t>
      </w:r>
      <w:r w:rsidRPr="008A3D47">
        <w:rPr>
          <w:lang w:val="en-GB"/>
        </w:rPr>
        <w:t>10.5301/tj.5000666</w:t>
      </w:r>
      <w:r>
        <w:rPr>
          <w:lang w:val="en-GB"/>
        </w:rPr>
        <w:t>. (Ampullary cancers included and results not differentiated between groups)</w:t>
      </w:r>
    </w:p>
    <w:p w:rsidR="00D80B6C" w:rsidRDefault="00D80B6C" w:rsidP="00D80B6C">
      <w:pPr>
        <w:pStyle w:val="ListParagraph"/>
        <w:numPr>
          <w:ilvl w:val="0"/>
          <w:numId w:val="1"/>
        </w:numPr>
        <w:spacing w:after="160" w:line="259" w:lineRule="auto"/>
        <w:jc w:val="both"/>
        <w:rPr>
          <w:lang w:val="en-GB"/>
        </w:rPr>
      </w:pPr>
      <w:r>
        <w:rPr>
          <w:lang w:val="en-GB"/>
        </w:rPr>
        <w:t xml:space="preserve">EL. </w:t>
      </w:r>
      <w:r w:rsidRPr="00FA29CA">
        <w:rPr>
          <w:lang w:val="en-GB"/>
        </w:rPr>
        <w:t xml:space="preserve">Pollom, </w:t>
      </w:r>
      <w:r>
        <w:rPr>
          <w:lang w:val="en-GB"/>
        </w:rPr>
        <w:t xml:space="preserve">M. </w:t>
      </w:r>
      <w:r w:rsidRPr="00FA29CA">
        <w:rPr>
          <w:lang w:val="en-GB"/>
        </w:rPr>
        <w:t xml:space="preserve">Alagappan, </w:t>
      </w:r>
      <w:r>
        <w:rPr>
          <w:lang w:val="en-GB"/>
        </w:rPr>
        <w:t xml:space="preserve">LS </w:t>
      </w:r>
      <w:r w:rsidRPr="00FA29CA">
        <w:rPr>
          <w:lang w:val="en-GB"/>
        </w:rPr>
        <w:t xml:space="preserve">Park, </w:t>
      </w:r>
      <w:r>
        <w:rPr>
          <w:lang w:val="en-GB"/>
        </w:rPr>
        <w:t xml:space="preserve">AS </w:t>
      </w:r>
      <w:r w:rsidRPr="00FA29CA">
        <w:rPr>
          <w:lang w:val="en-GB"/>
        </w:rPr>
        <w:t xml:space="preserve">Whittemore, </w:t>
      </w:r>
      <w:r>
        <w:rPr>
          <w:lang w:val="en-GB"/>
        </w:rPr>
        <w:t xml:space="preserve">AC </w:t>
      </w:r>
      <w:r w:rsidRPr="00FA29CA">
        <w:rPr>
          <w:lang w:val="en-GB"/>
        </w:rPr>
        <w:t xml:space="preserve">Koong, </w:t>
      </w:r>
      <w:r>
        <w:rPr>
          <w:lang w:val="en-GB"/>
        </w:rPr>
        <w:t xml:space="preserve">DT </w:t>
      </w:r>
      <w:r w:rsidRPr="00FA29CA">
        <w:rPr>
          <w:lang w:val="en-GB"/>
        </w:rPr>
        <w:t xml:space="preserve">Chang. </w:t>
      </w:r>
      <w:r w:rsidRPr="008A3D47">
        <w:rPr>
          <w:lang w:val="en-GB"/>
        </w:rPr>
        <w:t>Does radiotherapy still have a role in unresected biliary tract cancer? Cancer Medicine</w:t>
      </w:r>
      <w:r>
        <w:rPr>
          <w:lang w:val="en-GB"/>
        </w:rPr>
        <w:t xml:space="preserve">, </w:t>
      </w:r>
      <w:r w:rsidRPr="008A3D47">
        <w:rPr>
          <w:lang w:val="en-GB"/>
        </w:rPr>
        <w:t>2017</w:t>
      </w:r>
      <w:r>
        <w:rPr>
          <w:lang w:val="en-GB"/>
        </w:rPr>
        <w:t xml:space="preserve">: </w:t>
      </w:r>
      <w:r w:rsidRPr="00FA29CA">
        <w:rPr>
          <w:lang w:val="en-GB"/>
        </w:rPr>
        <w:t>6(1):129-141</w:t>
      </w:r>
      <w:r>
        <w:rPr>
          <w:lang w:val="en-GB"/>
        </w:rPr>
        <w:t xml:space="preserve">. </w:t>
      </w:r>
      <w:r w:rsidRPr="008A3D47">
        <w:rPr>
          <w:lang w:val="en-GB"/>
        </w:rPr>
        <w:t>10.1002/cam4.975</w:t>
      </w:r>
      <w:r>
        <w:rPr>
          <w:lang w:val="en-GB"/>
        </w:rPr>
        <w:t>. (Included metastatic patients and results not divided between groups)</w:t>
      </w:r>
    </w:p>
    <w:p w:rsidR="00D80B6C" w:rsidRPr="00F04757" w:rsidRDefault="00D80B6C" w:rsidP="00D80B6C">
      <w:pPr>
        <w:pStyle w:val="ListParagraph"/>
        <w:numPr>
          <w:ilvl w:val="0"/>
          <w:numId w:val="1"/>
        </w:numPr>
        <w:spacing w:after="160" w:line="259" w:lineRule="auto"/>
        <w:jc w:val="both"/>
        <w:rPr>
          <w:lang w:val="en-US"/>
        </w:rPr>
      </w:pPr>
      <w:r w:rsidRPr="00645631">
        <w:t>R</w:t>
      </w:r>
      <w:r>
        <w:t xml:space="preserve">. </w:t>
      </w:r>
      <w:r w:rsidRPr="00645631">
        <w:t>Autorino, G</w:t>
      </w:r>
      <w:r>
        <w:t xml:space="preserve">C. </w:t>
      </w:r>
      <w:r w:rsidRPr="00645631">
        <w:t>Mattiucci, F</w:t>
      </w:r>
      <w:r>
        <w:t>.</w:t>
      </w:r>
      <w:r w:rsidRPr="00645631">
        <w:t xml:space="preserve"> Ardito, M</w:t>
      </w:r>
      <w:r>
        <w:t>.</w:t>
      </w:r>
      <w:r w:rsidRPr="00645631">
        <w:t xml:space="preserve"> Balducci, F</w:t>
      </w:r>
      <w:r>
        <w:t>.</w:t>
      </w:r>
      <w:r w:rsidRPr="00645631">
        <w:t xml:space="preserve"> Deodato, G</w:t>
      </w:r>
      <w:r>
        <w:t>.</w:t>
      </w:r>
      <w:r w:rsidRPr="00645631">
        <w:t xml:space="preserve"> Macchia, G</w:t>
      </w:r>
      <w:r>
        <w:t>.</w:t>
      </w:r>
      <w:r w:rsidRPr="00645631">
        <w:t xml:space="preserve"> Mantini, V</w:t>
      </w:r>
      <w:r>
        <w:t xml:space="preserve">. </w:t>
      </w:r>
      <w:r w:rsidRPr="00645631">
        <w:t>Perri, A</w:t>
      </w:r>
      <w:r>
        <w:t xml:space="preserve">. </w:t>
      </w:r>
      <w:r w:rsidRPr="00645631">
        <w:t>Tringali, MA</w:t>
      </w:r>
      <w:r>
        <w:t xml:space="preserve">. </w:t>
      </w:r>
      <w:r w:rsidRPr="00645631">
        <w:t>Gambacorta, L</w:t>
      </w:r>
      <w:r>
        <w:t>.</w:t>
      </w:r>
      <w:r w:rsidRPr="00645631">
        <w:t xml:space="preserve"> Tagliaferri, F</w:t>
      </w:r>
      <w:r>
        <w:t>.</w:t>
      </w:r>
      <w:r w:rsidRPr="00645631">
        <w:t xml:space="preserve"> Giuliante, A</w:t>
      </w:r>
      <w:r>
        <w:t xml:space="preserve">G. </w:t>
      </w:r>
      <w:r w:rsidRPr="00645631">
        <w:t>Morganti, V</w:t>
      </w:r>
      <w:r>
        <w:t>.</w:t>
      </w:r>
      <w:r w:rsidRPr="00645631">
        <w:t xml:space="preserve"> Valentini</w:t>
      </w:r>
      <w:r>
        <w:t xml:space="preserve">. </w:t>
      </w:r>
      <w:r w:rsidRPr="003D5848">
        <w:t xml:space="preserve">Radiochemotherapy with Gemcitabine in Unresectable Extrahepatic Cholangiocarcinoma: Long-term Results of a Phase II Study. </w:t>
      </w:r>
      <w:r w:rsidRPr="00F04757">
        <w:rPr>
          <w:lang w:val="en-US"/>
        </w:rPr>
        <w:t>Anticancer research, 2016: 36(2):737-40. (data reported also in a su</w:t>
      </w:r>
      <w:r>
        <w:rPr>
          <w:lang w:val="en-US"/>
        </w:rPr>
        <w:t>b</w:t>
      </w:r>
      <w:r w:rsidRPr="00F04757">
        <w:rPr>
          <w:lang w:val="en-US"/>
        </w:rPr>
        <w:t>s</w:t>
      </w:r>
      <w:r>
        <w:rPr>
          <w:lang w:val="en-US"/>
        </w:rPr>
        <w:t>equent paper)</w:t>
      </w:r>
    </w:p>
    <w:p w:rsidR="00D80B6C" w:rsidRDefault="00D80B6C" w:rsidP="00D80B6C">
      <w:pPr>
        <w:pStyle w:val="ListParagraph"/>
        <w:numPr>
          <w:ilvl w:val="0"/>
          <w:numId w:val="1"/>
        </w:numPr>
        <w:spacing w:after="160" w:line="259" w:lineRule="auto"/>
        <w:jc w:val="both"/>
        <w:rPr>
          <w:lang w:val="en-GB"/>
        </w:rPr>
      </w:pPr>
      <w:r w:rsidRPr="00655900">
        <w:rPr>
          <w:lang w:val="en-US"/>
        </w:rPr>
        <w:t xml:space="preserve">HM. Kim, KJ. Lee, J. Cha, MJ Chung, S. Bang, J. Seong, SY. </w:t>
      </w:r>
      <w:r w:rsidRPr="007B2D0C">
        <w:rPr>
          <w:lang w:val="en-GB"/>
        </w:rPr>
        <w:t>Song,</w:t>
      </w:r>
      <w:r w:rsidRPr="00451305">
        <w:rPr>
          <w:lang w:val="en-GB"/>
        </w:rPr>
        <w:t xml:space="preserve"> S</w:t>
      </w:r>
      <w:r>
        <w:rPr>
          <w:lang w:val="en-GB"/>
        </w:rPr>
        <w:t xml:space="preserve">W. </w:t>
      </w:r>
      <w:r w:rsidRPr="00451305">
        <w:rPr>
          <w:lang w:val="en-GB"/>
        </w:rPr>
        <w:t xml:space="preserve">Park. A pilot study of S-1-based concurrent chemoradiotherapy in patients with biliary tract cancer. </w:t>
      </w:r>
      <w:r>
        <w:rPr>
          <w:lang w:val="en-GB"/>
        </w:rPr>
        <w:t xml:space="preserve">Cancer </w:t>
      </w:r>
      <w:r w:rsidRPr="00451305">
        <w:rPr>
          <w:lang w:val="en-GB"/>
        </w:rPr>
        <w:t xml:space="preserve">Chemotherapy and </w:t>
      </w:r>
      <w:r w:rsidRPr="00451305">
        <w:rPr>
          <w:lang w:val="en-GB"/>
        </w:rPr>
        <w:lastRenderedPageBreak/>
        <w:t>Pharmacology</w:t>
      </w:r>
      <w:r>
        <w:rPr>
          <w:lang w:val="en-GB"/>
        </w:rPr>
        <w:t xml:space="preserve">, </w:t>
      </w:r>
      <w:r w:rsidRPr="00451305">
        <w:rPr>
          <w:lang w:val="en-GB"/>
        </w:rPr>
        <w:t>2014</w:t>
      </w:r>
      <w:r>
        <w:rPr>
          <w:lang w:val="en-GB"/>
        </w:rPr>
        <w:t xml:space="preserve">: </w:t>
      </w:r>
      <w:r w:rsidRPr="007B2D0C">
        <w:rPr>
          <w:lang w:val="en-GB"/>
        </w:rPr>
        <w:t>74(4):861-5.</w:t>
      </w:r>
      <w:r>
        <w:rPr>
          <w:lang w:val="en-GB"/>
        </w:rPr>
        <w:t xml:space="preserve"> </w:t>
      </w:r>
      <w:r w:rsidRPr="00451305">
        <w:rPr>
          <w:lang w:val="en-GB"/>
        </w:rPr>
        <w:t>10.1007/s00280-014-2565-y</w:t>
      </w:r>
      <w:r>
        <w:rPr>
          <w:lang w:val="en-GB"/>
        </w:rPr>
        <w:t>. (Included patients treated with radical surgery and results not divided between groups)</w:t>
      </w:r>
    </w:p>
    <w:p w:rsidR="00D80B6C" w:rsidRDefault="00D80B6C" w:rsidP="00D80B6C">
      <w:pPr>
        <w:pStyle w:val="ListParagraph"/>
        <w:numPr>
          <w:ilvl w:val="0"/>
          <w:numId w:val="1"/>
        </w:numPr>
        <w:spacing w:after="160" w:line="259" w:lineRule="auto"/>
        <w:jc w:val="both"/>
        <w:rPr>
          <w:lang w:val="en-GB"/>
        </w:rPr>
      </w:pPr>
      <w:r w:rsidRPr="003F6D8C">
        <w:rPr>
          <w:lang w:val="en-GB"/>
        </w:rPr>
        <w:t>C</w:t>
      </w:r>
      <w:r>
        <w:rPr>
          <w:lang w:val="en-GB"/>
        </w:rPr>
        <w:t>.</w:t>
      </w:r>
      <w:r w:rsidRPr="003F6D8C">
        <w:rPr>
          <w:lang w:val="en-GB"/>
        </w:rPr>
        <w:t xml:space="preserve"> Makita, T</w:t>
      </w:r>
      <w:r>
        <w:rPr>
          <w:lang w:val="en-GB"/>
        </w:rPr>
        <w:t>.</w:t>
      </w:r>
      <w:r w:rsidRPr="003F6D8C">
        <w:rPr>
          <w:lang w:val="en-GB"/>
        </w:rPr>
        <w:t xml:space="preserve"> Nakamura, A</w:t>
      </w:r>
      <w:r>
        <w:rPr>
          <w:lang w:val="en-GB"/>
        </w:rPr>
        <w:t xml:space="preserve">. </w:t>
      </w:r>
      <w:r w:rsidRPr="003F6D8C">
        <w:rPr>
          <w:lang w:val="en-GB"/>
        </w:rPr>
        <w:t>Takada, K</w:t>
      </w:r>
      <w:r>
        <w:rPr>
          <w:lang w:val="en-GB"/>
        </w:rPr>
        <w:t xml:space="preserve">. </w:t>
      </w:r>
      <w:r w:rsidRPr="003F6D8C">
        <w:rPr>
          <w:lang w:val="en-GB"/>
        </w:rPr>
        <w:t>Takayama, M</w:t>
      </w:r>
      <w:r>
        <w:rPr>
          <w:lang w:val="en-GB"/>
        </w:rPr>
        <w:t>.</w:t>
      </w:r>
      <w:r w:rsidRPr="003F6D8C">
        <w:rPr>
          <w:lang w:val="en-GB"/>
        </w:rPr>
        <w:t xml:space="preserve"> Suzuki, Y</w:t>
      </w:r>
      <w:r>
        <w:rPr>
          <w:lang w:val="en-GB"/>
        </w:rPr>
        <w:t>.</w:t>
      </w:r>
      <w:r w:rsidRPr="003F6D8C">
        <w:rPr>
          <w:lang w:val="en-GB"/>
        </w:rPr>
        <w:t xml:space="preserve"> Ishikawa, Y</w:t>
      </w:r>
      <w:r>
        <w:rPr>
          <w:lang w:val="en-GB"/>
        </w:rPr>
        <w:t>.</w:t>
      </w:r>
      <w:r w:rsidRPr="003F6D8C">
        <w:rPr>
          <w:lang w:val="en-GB"/>
        </w:rPr>
        <w:t xml:space="preserve"> Azami, T</w:t>
      </w:r>
      <w:r>
        <w:rPr>
          <w:lang w:val="en-GB"/>
        </w:rPr>
        <w:t>.</w:t>
      </w:r>
      <w:r w:rsidRPr="003F6D8C">
        <w:rPr>
          <w:lang w:val="en-GB"/>
        </w:rPr>
        <w:t xml:space="preserve"> Kato, I</w:t>
      </w:r>
      <w:r>
        <w:rPr>
          <w:lang w:val="en-GB"/>
        </w:rPr>
        <w:t xml:space="preserve">. </w:t>
      </w:r>
      <w:r w:rsidRPr="003F6D8C">
        <w:rPr>
          <w:lang w:val="en-GB"/>
        </w:rPr>
        <w:t>Tsukiyama, Y</w:t>
      </w:r>
      <w:r>
        <w:rPr>
          <w:lang w:val="en-GB"/>
        </w:rPr>
        <w:t>.</w:t>
      </w:r>
      <w:r w:rsidRPr="003F6D8C">
        <w:rPr>
          <w:lang w:val="en-GB"/>
        </w:rPr>
        <w:t xml:space="preserve"> Kikuchi, M</w:t>
      </w:r>
      <w:r>
        <w:rPr>
          <w:lang w:val="en-GB"/>
        </w:rPr>
        <w:t>.</w:t>
      </w:r>
      <w:r w:rsidRPr="003F6D8C">
        <w:rPr>
          <w:lang w:val="en-GB"/>
        </w:rPr>
        <w:t xml:space="preserve"> Hareyama, M</w:t>
      </w:r>
      <w:r>
        <w:rPr>
          <w:lang w:val="en-GB"/>
        </w:rPr>
        <w:t>.</w:t>
      </w:r>
      <w:r w:rsidRPr="003F6D8C">
        <w:rPr>
          <w:lang w:val="en-GB"/>
        </w:rPr>
        <w:t xml:space="preserve"> Murakami, N</w:t>
      </w:r>
      <w:r>
        <w:rPr>
          <w:lang w:val="en-GB"/>
        </w:rPr>
        <w:t xml:space="preserve">. </w:t>
      </w:r>
      <w:r w:rsidRPr="003F6D8C">
        <w:rPr>
          <w:lang w:val="en-GB"/>
        </w:rPr>
        <w:t>Fuwa, M</w:t>
      </w:r>
      <w:r>
        <w:rPr>
          <w:lang w:val="en-GB"/>
        </w:rPr>
        <w:t>.</w:t>
      </w:r>
      <w:r w:rsidRPr="003F6D8C">
        <w:rPr>
          <w:lang w:val="en-GB"/>
        </w:rPr>
        <w:t xml:space="preserve"> Hata, T</w:t>
      </w:r>
      <w:r>
        <w:rPr>
          <w:lang w:val="en-GB"/>
        </w:rPr>
        <w:t>.</w:t>
      </w:r>
      <w:r w:rsidRPr="003F6D8C">
        <w:rPr>
          <w:lang w:val="en-GB"/>
        </w:rPr>
        <w:t xml:space="preserve"> Inoue. </w:t>
      </w:r>
      <w:r w:rsidRPr="00B01813">
        <w:rPr>
          <w:lang w:val="en-GB"/>
        </w:rPr>
        <w:t>Clinical outcomes and toxicity of proton beam therapy for advanced cholangiocarcinoma. Radiation Oncology</w:t>
      </w:r>
      <w:r>
        <w:rPr>
          <w:lang w:val="en-GB"/>
        </w:rPr>
        <w:t xml:space="preserve">, </w:t>
      </w:r>
      <w:r w:rsidRPr="00B01813">
        <w:rPr>
          <w:lang w:val="en-GB"/>
        </w:rPr>
        <w:t>2014</w:t>
      </w:r>
      <w:r>
        <w:rPr>
          <w:lang w:val="en-GB"/>
        </w:rPr>
        <w:t xml:space="preserve">: </w:t>
      </w:r>
      <w:r w:rsidRPr="003F6D8C">
        <w:rPr>
          <w:lang w:val="en-GB"/>
        </w:rPr>
        <w:t>14;9:26</w:t>
      </w:r>
      <w:r>
        <w:rPr>
          <w:lang w:val="en-GB"/>
        </w:rPr>
        <w:t xml:space="preserve">. </w:t>
      </w:r>
      <w:r w:rsidRPr="00B01813">
        <w:rPr>
          <w:lang w:val="en-GB"/>
        </w:rPr>
        <w:t>10.1186/1748-717X-9-26</w:t>
      </w:r>
      <w:r>
        <w:rPr>
          <w:lang w:val="en-GB"/>
        </w:rPr>
        <w:t>. (Less than 10 patients underwent concurrent chemoradiation)</w:t>
      </w:r>
    </w:p>
    <w:p w:rsidR="00D80B6C" w:rsidRDefault="00D80B6C" w:rsidP="00D80B6C">
      <w:pPr>
        <w:pStyle w:val="ListParagraph"/>
        <w:numPr>
          <w:ilvl w:val="0"/>
          <w:numId w:val="1"/>
        </w:numPr>
        <w:spacing w:after="160" w:line="259" w:lineRule="auto"/>
        <w:jc w:val="both"/>
        <w:rPr>
          <w:lang w:val="en-GB"/>
        </w:rPr>
      </w:pPr>
      <w:r w:rsidRPr="00867557">
        <w:rPr>
          <w:lang w:val="de-DE"/>
        </w:rPr>
        <w:t xml:space="preserve">YI. Kim, JW. Park, BH. </w:t>
      </w:r>
      <w:r w:rsidRPr="003F6D8C">
        <w:rPr>
          <w:lang w:val="en-GB"/>
        </w:rPr>
        <w:t xml:space="preserve">Kim, </w:t>
      </w:r>
      <w:r>
        <w:rPr>
          <w:lang w:val="en-GB"/>
        </w:rPr>
        <w:t xml:space="preserve">SM. </w:t>
      </w:r>
      <w:r w:rsidRPr="003F6D8C">
        <w:rPr>
          <w:lang w:val="en-GB"/>
        </w:rPr>
        <w:t xml:space="preserve">Woo, </w:t>
      </w:r>
      <w:r>
        <w:rPr>
          <w:lang w:val="en-GB"/>
        </w:rPr>
        <w:t xml:space="preserve">TH. </w:t>
      </w:r>
      <w:r w:rsidRPr="003F6D8C">
        <w:rPr>
          <w:lang w:val="en-GB"/>
        </w:rPr>
        <w:t xml:space="preserve">Kim, </w:t>
      </w:r>
      <w:r>
        <w:rPr>
          <w:lang w:val="en-GB"/>
        </w:rPr>
        <w:t xml:space="preserve">YH. </w:t>
      </w:r>
      <w:r w:rsidRPr="003F6D8C">
        <w:rPr>
          <w:lang w:val="en-GB"/>
        </w:rPr>
        <w:t xml:space="preserve">Koh, </w:t>
      </w:r>
      <w:r>
        <w:rPr>
          <w:lang w:val="en-GB"/>
        </w:rPr>
        <w:t xml:space="preserve">WJ. </w:t>
      </w:r>
      <w:r w:rsidRPr="003F6D8C">
        <w:rPr>
          <w:lang w:val="en-GB"/>
        </w:rPr>
        <w:t xml:space="preserve">Lee, </w:t>
      </w:r>
      <w:r>
        <w:rPr>
          <w:lang w:val="en-GB"/>
        </w:rPr>
        <w:t xml:space="preserve">CM. </w:t>
      </w:r>
      <w:r w:rsidRPr="003F6D8C">
        <w:rPr>
          <w:lang w:val="en-GB"/>
        </w:rPr>
        <w:t>Kim.</w:t>
      </w:r>
      <w:r>
        <w:rPr>
          <w:lang w:val="en-GB"/>
        </w:rPr>
        <w:t xml:space="preserve"> </w:t>
      </w:r>
      <w:r w:rsidRPr="00B01813">
        <w:rPr>
          <w:lang w:val="en-GB"/>
        </w:rPr>
        <w:t>Outcomes of concurrent chemoradiotherapy versus chemotherapy alone for advanced-stage unresectable intrahepatic cholangiocarcinoma. Radiation Oncology</w:t>
      </w:r>
      <w:r>
        <w:rPr>
          <w:lang w:val="en-GB"/>
        </w:rPr>
        <w:t xml:space="preserve">, </w:t>
      </w:r>
      <w:r w:rsidRPr="00B01813">
        <w:rPr>
          <w:lang w:val="en-GB"/>
        </w:rPr>
        <w:t>2013</w:t>
      </w:r>
      <w:r>
        <w:rPr>
          <w:lang w:val="en-GB"/>
        </w:rPr>
        <w:t xml:space="preserve">: </w:t>
      </w:r>
      <w:r w:rsidRPr="00B96219">
        <w:rPr>
          <w:lang w:val="en-GB"/>
        </w:rPr>
        <w:t>21;8:292</w:t>
      </w:r>
      <w:r>
        <w:rPr>
          <w:lang w:val="en-GB"/>
        </w:rPr>
        <w:t xml:space="preserve">.  </w:t>
      </w:r>
      <w:r w:rsidRPr="00B01813">
        <w:rPr>
          <w:lang w:val="en-GB"/>
        </w:rPr>
        <w:t>10.1186/1748-717X-8-292</w:t>
      </w:r>
      <w:r>
        <w:rPr>
          <w:lang w:val="en-GB"/>
        </w:rPr>
        <w:t>. (metastatic patients included and results not differentiated)</w:t>
      </w:r>
    </w:p>
    <w:p w:rsidR="00D80B6C" w:rsidRDefault="00D80B6C" w:rsidP="00D80B6C">
      <w:pPr>
        <w:pStyle w:val="ListParagraph"/>
        <w:numPr>
          <w:ilvl w:val="0"/>
          <w:numId w:val="1"/>
        </w:numPr>
        <w:spacing w:after="160" w:line="259" w:lineRule="auto"/>
        <w:jc w:val="both"/>
        <w:rPr>
          <w:lang w:val="en-GB"/>
        </w:rPr>
      </w:pPr>
      <w:r w:rsidRPr="00710543">
        <w:rPr>
          <w:lang w:val="en-GB"/>
        </w:rPr>
        <w:t>K</w:t>
      </w:r>
      <w:r>
        <w:rPr>
          <w:lang w:val="en-GB"/>
        </w:rPr>
        <w:t>.</w:t>
      </w:r>
      <w:r w:rsidRPr="00710543">
        <w:rPr>
          <w:lang w:val="en-GB"/>
        </w:rPr>
        <w:t xml:space="preserve"> Chaiyasit, V</w:t>
      </w:r>
      <w:r>
        <w:rPr>
          <w:lang w:val="en-GB"/>
        </w:rPr>
        <w:t xml:space="preserve">. </w:t>
      </w:r>
      <w:r w:rsidRPr="00710543">
        <w:rPr>
          <w:lang w:val="en-GB"/>
        </w:rPr>
        <w:t>Wiwanitkit. Unsectable cholangiocarcinoma: Additional therapy to chemoradiotherapy. Indian Journal of Medical and Paediatric Oncology</w:t>
      </w:r>
      <w:r>
        <w:rPr>
          <w:lang w:val="en-GB"/>
        </w:rPr>
        <w:t xml:space="preserve">, </w:t>
      </w:r>
      <w:r w:rsidRPr="00710543">
        <w:rPr>
          <w:lang w:val="en-GB"/>
        </w:rPr>
        <w:t>2013</w:t>
      </w:r>
      <w:r>
        <w:rPr>
          <w:lang w:val="en-GB"/>
        </w:rPr>
        <w:t xml:space="preserve">: </w:t>
      </w:r>
      <w:r w:rsidRPr="00B96219">
        <w:rPr>
          <w:lang w:val="en-GB"/>
        </w:rPr>
        <w:t>34(1):49</w:t>
      </w:r>
      <w:r>
        <w:rPr>
          <w:lang w:val="en-GB"/>
        </w:rPr>
        <w:t xml:space="preserve">. </w:t>
      </w:r>
      <w:r w:rsidRPr="00710543">
        <w:rPr>
          <w:lang w:val="en-GB"/>
        </w:rPr>
        <w:t>10.4103/0971-5851.113435</w:t>
      </w:r>
      <w:r>
        <w:rPr>
          <w:lang w:val="en-GB"/>
        </w:rPr>
        <w:t>. (Letter to editor)</w:t>
      </w:r>
    </w:p>
    <w:p w:rsidR="00D80B6C" w:rsidRDefault="00D80B6C" w:rsidP="00D80B6C">
      <w:pPr>
        <w:pStyle w:val="ListParagraph"/>
        <w:numPr>
          <w:ilvl w:val="0"/>
          <w:numId w:val="1"/>
        </w:numPr>
        <w:spacing w:after="160" w:line="259" w:lineRule="auto"/>
        <w:jc w:val="both"/>
        <w:rPr>
          <w:lang w:val="en-GB"/>
        </w:rPr>
      </w:pPr>
      <w:r w:rsidRPr="00B96219">
        <w:rPr>
          <w:lang w:val="en-GB"/>
        </w:rPr>
        <w:t>E</w:t>
      </w:r>
      <w:r>
        <w:rPr>
          <w:lang w:val="en-GB"/>
        </w:rPr>
        <w:t>.</w:t>
      </w:r>
      <w:r w:rsidRPr="00B96219">
        <w:rPr>
          <w:lang w:val="en-GB"/>
        </w:rPr>
        <w:t xml:space="preserve"> Leong, W</w:t>
      </w:r>
      <w:r>
        <w:rPr>
          <w:lang w:val="en-GB"/>
        </w:rPr>
        <w:t>W.</w:t>
      </w:r>
      <w:r w:rsidRPr="00B96219">
        <w:rPr>
          <w:lang w:val="en-GB"/>
        </w:rPr>
        <w:t xml:space="preserve"> Chen, E</w:t>
      </w:r>
      <w:r>
        <w:rPr>
          <w:lang w:val="en-GB"/>
        </w:rPr>
        <w:t>.</w:t>
      </w:r>
      <w:r w:rsidRPr="00B96219">
        <w:rPr>
          <w:lang w:val="en-GB"/>
        </w:rPr>
        <w:t xml:space="preserve"> Ng, G</w:t>
      </w:r>
      <w:r>
        <w:rPr>
          <w:lang w:val="en-GB"/>
        </w:rPr>
        <w:t>.</w:t>
      </w:r>
      <w:r w:rsidRPr="00B96219">
        <w:rPr>
          <w:lang w:val="en-GB"/>
        </w:rPr>
        <w:t xml:space="preserve"> Van Hazel, A</w:t>
      </w:r>
      <w:r>
        <w:rPr>
          <w:lang w:val="en-GB"/>
        </w:rPr>
        <w:t>.</w:t>
      </w:r>
      <w:r w:rsidRPr="00B96219">
        <w:rPr>
          <w:lang w:val="en-GB"/>
        </w:rPr>
        <w:t xml:space="preserve"> Mitchell, N</w:t>
      </w:r>
      <w:r>
        <w:rPr>
          <w:lang w:val="en-GB"/>
        </w:rPr>
        <w:t>.</w:t>
      </w:r>
      <w:r w:rsidRPr="00B96219">
        <w:rPr>
          <w:lang w:val="en-GB"/>
        </w:rPr>
        <w:t xml:space="preserve"> Spry</w:t>
      </w:r>
      <w:r>
        <w:rPr>
          <w:lang w:val="en-GB"/>
        </w:rPr>
        <w:t xml:space="preserve">. </w:t>
      </w:r>
      <w:r w:rsidRPr="00710543">
        <w:rPr>
          <w:lang w:val="en-GB"/>
        </w:rPr>
        <w:t>Outcomes from combined chemoradiotherapy in unresectable and locally advanced resected cholangiocarcinoma. Journal of Gastrointestinal Cancer</w:t>
      </w:r>
      <w:r>
        <w:rPr>
          <w:lang w:val="en-GB"/>
        </w:rPr>
        <w:t xml:space="preserve">, </w:t>
      </w:r>
      <w:r w:rsidRPr="00710543">
        <w:rPr>
          <w:lang w:val="en-GB"/>
        </w:rPr>
        <w:t>2012</w:t>
      </w:r>
      <w:r>
        <w:rPr>
          <w:lang w:val="en-GB"/>
        </w:rPr>
        <w:t xml:space="preserve">: </w:t>
      </w:r>
      <w:r w:rsidRPr="00B96219">
        <w:rPr>
          <w:lang w:val="en-GB"/>
        </w:rPr>
        <w:t>43(1):50-5.</w:t>
      </w:r>
      <w:r>
        <w:rPr>
          <w:lang w:val="en-GB"/>
        </w:rPr>
        <w:t xml:space="preserve"> </w:t>
      </w:r>
      <w:r w:rsidRPr="00710543">
        <w:rPr>
          <w:lang w:val="en-GB"/>
        </w:rPr>
        <w:t>10.1007/s12029-010-9213-5</w:t>
      </w:r>
      <w:r>
        <w:rPr>
          <w:lang w:val="en-GB"/>
        </w:rPr>
        <w:t>. (Only adjuvant setting  considered)</w:t>
      </w:r>
    </w:p>
    <w:p w:rsidR="00D80B6C" w:rsidRPr="009E71A6" w:rsidRDefault="00D80B6C" w:rsidP="00D80B6C">
      <w:pPr>
        <w:pStyle w:val="ListParagraph"/>
        <w:numPr>
          <w:ilvl w:val="0"/>
          <w:numId w:val="1"/>
        </w:numPr>
        <w:jc w:val="both"/>
        <w:rPr>
          <w:lang w:val="en-GB"/>
        </w:rPr>
      </w:pPr>
      <w:r w:rsidRPr="009E71A6">
        <w:rPr>
          <w:lang w:val="en-GB"/>
        </w:rPr>
        <w:t>AP</w:t>
      </w:r>
      <w:r>
        <w:rPr>
          <w:lang w:val="en-GB"/>
        </w:rPr>
        <w:t xml:space="preserve">. </w:t>
      </w:r>
      <w:r w:rsidRPr="009E71A6">
        <w:rPr>
          <w:lang w:val="en-GB"/>
        </w:rPr>
        <w:t>Ghafoori, JW</w:t>
      </w:r>
      <w:r>
        <w:rPr>
          <w:lang w:val="en-GB"/>
        </w:rPr>
        <w:t>.</w:t>
      </w:r>
      <w:r w:rsidRPr="009E71A6">
        <w:rPr>
          <w:lang w:val="en-GB"/>
        </w:rPr>
        <w:t xml:space="preserve"> Nelson, CG</w:t>
      </w:r>
      <w:r>
        <w:rPr>
          <w:lang w:val="en-GB"/>
        </w:rPr>
        <w:t>.</w:t>
      </w:r>
      <w:r w:rsidRPr="009E71A6">
        <w:rPr>
          <w:lang w:val="en-GB"/>
        </w:rPr>
        <w:t xml:space="preserve"> Willett, J</w:t>
      </w:r>
      <w:r>
        <w:rPr>
          <w:lang w:val="en-GB"/>
        </w:rPr>
        <w:t>.</w:t>
      </w:r>
      <w:r w:rsidRPr="009E71A6">
        <w:rPr>
          <w:lang w:val="en-GB"/>
        </w:rPr>
        <w:t xml:space="preserve"> Chino, DS</w:t>
      </w:r>
      <w:r>
        <w:rPr>
          <w:lang w:val="en-GB"/>
        </w:rPr>
        <w:t>.</w:t>
      </w:r>
      <w:r w:rsidRPr="009E71A6">
        <w:rPr>
          <w:lang w:val="en-GB"/>
        </w:rPr>
        <w:t xml:space="preserve"> Tyler, HI</w:t>
      </w:r>
      <w:r>
        <w:rPr>
          <w:lang w:val="en-GB"/>
        </w:rPr>
        <w:t>.</w:t>
      </w:r>
      <w:r w:rsidRPr="009E71A6">
        <w:rPr>
          <w:lang w:val="en-GB"/>
        </w:rPr>
        <w:t xml:space="preserve"> Hurwitz, HE</w:t>
      </w:r>
      <w:r>
        <w:rPr>
          <w:lang w:val="en-GB"/>
        </w:rPr>
        <w:t>.</w:t>
      </w:r>
      <w:r w:rsidRPr="009E71A6">
        <w:rPr>
          <w:lang w:val="en-GB"/>
        </w:rPr>
        <w:t xml:space="preserve"> Uronis, MA</w:t>
      </w:r>
      <w:r>
        <w:rPr>
          <w:lang w:val="en-GB"/>
        </w:rPr>
        <w:t>.</w:t>
      </w:r>
      <w:r w:rsidRPr="009E71A6">
        <w:rPr>
          <w:lang w:val="en-GB"/>
        </w:rPr>
        <w:t xml:space="preserve"> Morse, RW</w:t>
      </w:r>
      <w:r>
        <w:rPr>
          <w:lang w:val="en-GB"/>
        </w:rPr>
        <w:t>.</w:t>
      </w:r>
      <w:r w:rsidRPr="009E71A6">
        <w:rPr>
          <w:lang w:val="en-GB"/>
        </w:rPr>
        <w:t xml:space="preserve"> Clough, BG</w:t>
      </w:r>
      <w:r>
        <w:rPr>
          <w:lang w:val="en-GB"/>
        </w:rPr>
        <w:t>.</w:t>
      </w:r>
      <w:r w:rsidRPr="009E71A6">
        <w:rPr>
          <w:lang w:val="en-GB"/>
        </w:rPr>
        <w:t xml:space="preserve"> Czito</w:t>
      </w:r>
      <w:r>
        <w:rPr>
          <w:lang w:val="en-GB"/>
        </w:rPr>
        <w:t xml:space="preserve">. </w:t>
      </w:r>
      <w:r w:rsidRPr="009E71A6">
        <w:rPr>
          <w:lang w:val="en-GB"/>
        </w:rPr>
        <w:t>Radiotherapy in the treatment of patients with unresectable extrahepatic cholangiocarcinoma</w:t>
      </w:r>
      <w:r>
        <w:rPr>
          <w:lang w:val="en-GB"/>
        </w:rPr>
        <w:t xml:space="preserve">. </w:t>
      </w:r>
      <w:r w:rsidRPr="009E71A6">
        <w:rPr>
          <w:lang w:val="en-GB"/>
        </w:rPr>
        <w:t>Int J Radiat Oncol Biol Phys</w:t>
      </w:r>
      <w:r>
        <w:rPr>
          <w:lang w:val="en-GB"/>
        </w:rPr>
        <w:t xml:space="preserve"> </w:t>
      </w:r>
      <w:r w:rsidRPr="009E71A6">
        <w:rPr>
          <w:lang w:val="en-GB"/>
        </w:rPr>
        <w:t>2011 Nov 1;81(3):654-9.</w:t>
      </w:r>
      <w:r>
        <w:rPr>
          <w:lang w:val="en-GB"/>
        </w:rPr>
        <w:t xml:space="preserve"> (data on chemoradiation not reported separately)</w:t>
      </w:r>
    </w:p>
    <w:p w:rsidR="00D80B6C" w:rsidRDefault="00D80B6C" w:rsidP="00D80B6C">
      <w:pPr>
        <w:pStyle w:val="ListParagraph"/>
        <w:numPr>
          <w:ilvl w:val="0"/>
          <w:numId w:val="1"/>
        </w:numPr>
        <w:spacing w:after="160" w:line="259" w:lineRule="auto"/>
        <w:jc w:val="both"/>
        <w:rPr>
          <w:lang w:val="en-GB"/>
        </w:rPr>
      </w:pPr>
      <w:r w:rsidRPr="003416A9">
        <w:rPr>
          <w:lang w:val="en-GB"/>
        </w:rPr>
        <w:t>V</w:t>
      </w:r>
      <w:r>
        <w:rPr>
          <w:lang w:val="en-GB"/>
        </w:rPr>
        <w:t xml:space="preserve">. </w:t>
      </w:r>
      <w:r w:rsidRPr="003416A9">
        <w:rPr>
          <w:lang w:val="en-GB"/>
        </w:rPr>
        <w:t>Verma, CH. Crane. Contemporary perspectives on the use of radiation therapy for locally advanced gallbladder cancer. Chinese Clinical Oncology</w:t>
      </w:r>
      <w:r>
        <w:rPr>
          <w:lang w:val="en-GB"/>
        </w:rPr>
        <w:t xml:space="preserve">, </w:t>
      </w:r>
      <w:r w:rsidRPr="003416A9">
        <w:rPr>
          <w:lang w:val="en-GB"/>
        </w:rPr>
        <w:t>2019</w:t>
      </w:r>
      <w:r>
        <w:rPr>
          <w:lang w:val="en-GB"/>
        </w:rPr>
        <w:t xml:space="preserve">: </w:t>
      </w:r>
      <w:r w:rsidRPr="00B96219">
        <w:rPr>
          <w:lang w:val="en-GB"/>
        </w:rPr>
        <w:t>8(4):41</w:t>
      </w:r>
      <w:r>
        <w:rPr>
          <w:lang w:val="en-GB"/>
        </w:rPr>
        <w:t xml:space="preserve">. </w:t>
      </w:r>
      <w:r w:rsidRPr="003416A9">
        <w:rPr>
          <w:lang w:val="en-GB"/>
        </w:rPr>
        <w:t>10.21037/cco.2019.08.12</w:t>
      </w:r>
      <w:r>
        <w:rPr>
          <w:lang w:val="en-GB"/>
        </w:rPr>
        <w:t>. (Review)</w:t>
      </w:r>
    </w:p>
    <w:p w:rsidR="00D80B6C" w:rsidRPr="002A2CE7" w:rsidRDefault="00D80B6C" w:rsidP="00D80B6C">
      <w:pPr>
        <w:pStyle w:val="ListParagraph"/>
        <w:numPr>
          <w:ilvl w:val="0"/>
          <w:numId w:val="1"/>
        </w:numPr>
        <w:spacing w:after="160" w:line="259" w:lineRule="auto"/>
        <w:jc w:val="both"/>
        <w:rPr>
          <w:lang w:val="en-GB"/>
        </w:rPr>
      </w:pPr>
      <w:r w:rsidRPr="009D25BB">
        <w:t xml:space="preserve">T. Sumiyoshi, Y. Shima, T. Okabayashi, Y. Negoro, Y. Shimada, J. Iwata, M. Matsumoto, Y. Hata, Y. Noda, K. Sui, T. Sueda. </w:t>
      </w:r>
      <w:r w:rsidRPr="002A2CE7">
        <w:rPr>
          <w:lang w:val="en-GB"/>
        </w:rPr>
        <w:t xml:space="preserve">Chemoradiotherapy for Initially Unresectable Locally Advanced Cholangiocarcinoma. World J Surg. 2018 Sep;42(9):2910-2918 </w:t>
      </w:r>
      <w:r>
        <w:rPr>
          <w:lang w:val="en-GB"/>
        </w:rPr>
        <w:t xml:space="preserve">(Only neoadjuvant setting considered) </w:t>
      </w:r>
    </w:p>
    <w:p w:rsidR="00D80B6C" w:rsidRPr="0004177D" w:rsidRDefault="00D80B6C" w:rsidP="00D80B6C">
      <w:pPr>
        <w:pStyle w:val="ListParagraph"/>
        <w:numPr>
          <w:ilvl w:val="0"/>
          <w:numId w:val="1"/>
        </w:numPr>
        <w:spacing w:after="160" w:line="259" w:lineRule="auto"/>
        <w:jc w:val="both"/>
        <w:rPr>
          <w:lang w:val="en-GB"/>
        </w:rPr>
      </w:pPr>
      <w:r w:rsidRPr="00867557">
        <w:rPr>
          <w:lang w:val="de-DE"/>
        </w:rPr>
        <w:t xml:space="preserve">BH. Kim, K. Kim, EK. Chie, J. Kwon, JY. Jang, SW. Kim, DY. Oh, YJ. Bang. </w:t>
      </w:r>
      <w:r w:rsidRPr="0004177D">
        <w:rPr>
          <w:lang w:val="en-GB"/>
        </w:rPr>
        <w:t xml:space="preserve">Risk stratification and prognostic nomogram for post-recurrence overall survival in patients with recurrent extrahepatic cholangiocarcinoma. HPB (Oxford). 2017 May;19(5):421-428 </w:t>
      </w:r>
      <w:r>
        <w:rPr>
          <w:lang w:val="en-GB"/>
        </w:rPr>
        <w:t>(R</w:t>
      </w:r>
      <w:r w:rsidRPr="0004177D">
        <w:rPr>
          <w:lang w:val="en-GB"/>
        </w:rPr>
        <w:t>esults not differentiated between groups</w:t>
      </w:r>
      <w:r>
        <w:rPr>
          <w:lang w:val="en-GB"/>
        </w:rPr>
        <w:t>)</w:t>
      </w:r>
    </w:p>
    <w:p w:rsidR="00D80B6C" w:rsidRDefault="00D80B6C" w:rsidP="00D80B6C">
      <w:pPr>
        <w:pStyle w:val="ListParagraph"/>
        <w:numPr>
          <w:ilvl w:val="0"/>
          <w:numId w:val="1"/>
        </w:numPr>
        <w:spacing w:after="160" w:line="259" w:lineRule="auto"/>
        <w:jc w:val="both"/>
        <w:rPr>
          <w:lang w:val="en-GB"/>
        </w:rPr>
      </w:pPr>
      <w:r w:rsidRPr="00867557">
        <w:rPr>
          <w:lang w:val="nl-NL"/>
        </w:rPr>
        <w:t xml:space="preserve">R. Dhanasekaran, AW. Hemming, I. Zendejas, T. George, DR. </w:t>
      </w:r>
      <w:r w:rsidRPr="00CD350F">
        <w:t>Nelson, C</w:t>
      </w:r>
      <w:r>
        <w:t>.</w:t>
      </w:r>
      <w:r w:rsidRPr="00CD350F">
        <w:t xml:space="preserve"> Soldevila-Pico, RJ</w:t>
      </w:r>
      <w:r>
        <w:t>.</w:t>
      </w:r>
      <w:r w:rsidRPr="00CD350F">
        <w:t xml:space="preserve"> </w:t>
      </w:r>
      <w:r w:rsidRPr="003D5848">
        <w:rPr>
          <w:lang w:val="en-GB"/>
        </w:rPr>
        <w:t xml:space="preserve">Firpi, G. Morelli, V. Clark, R. Cabrera. </w:t>
      </w:r>
      <w:r w:rsidRPr="00FE4B7D">
        <w:rPr>
          <w:lang w:val="en-GB"/>
        </w:rPr>
        <w:t>Treatment outcomes and prognostic factors of intrahepatic cholangiocarcinoma. Oncology Reports</w:t>
      </w:r>
      <w:r>
        <w:rPr>
          <w:lang w:val="en-GB"/>
        </w:rPr>
        <w:t xml:space="preserve">, </w:t>
      </w:r>
      <w:r w:rsidRPr="00FE4B7D">
        <w:rPr>
          <w:lang w:val="en-GB"/>
        </w:rPr>
        <w:t>2013</w:t>
      </w:r>
      <w:r>
        <w:rPr>
          <w:lang w:val="en-GB"/>
        </w:rPr>
        <w:t xml:space="preserve">: </w:t>
      </w:r>
      <w:r w:rsidRPr="00CD350F">
        <w:rPr>
          <w:lang w:val="en-GB"/>
        </w:rPr>
        <w:t>29(4):1259-67</w:t>
      </w:r>
      <w:r>
        <w:rPr>
          <w:lang w:val="en-GB"/>
        </w:rPr>
        <w:t xml:space="preserve">. </w:t>
      </w:r>
      <w:r w:rsidRPr="00FE4B7D">
        <w:rPr>
          <w:lang w:val="en-GB"/>
        </w:rPr>
        <w:t>10.3892/or.2013.2290</w:t>
      </w:r>
      <w:r>
        <w:rPr>
          <w:lang w:val="en-GB"/>
        </w:rPr>
        <w:t>. (Only adjuvant and palliative setting considered)</w:t>
      </w:r>
    </w:p>
    <w:p w:rsidR="00D80B6C" w:rsidRDefault="00D80B6C" w:rsidP="00D80B6C">
      <w:pPr>
        <w:pStyle w:val="ListParagraph"/>
        <w:numPr>
          <w:ilvl w:val="0"/>
          <w:numId w:val="1"/>
        </w:numPr>
        <w:spacing w:after="160" w:line="259" w:lineRule="auto"/>
        <w:jc w:val="both"/>
        <w:rPr>
          <w:lang w:val="en-GB"/>
        </w:rPr>
      </w:pPr>
      <w:r w:rsidRPr="00EF5BB1">
        <w:rPr>
          <w:lang w:val="en-GB"/>
        </w:rPr>
        <w:t>S</w:t>
      </w:r>
      <w:r>
        <w:rPr>
          <w:lang w:val="en-GB"/>
        </w:rPr>
        <w:t xml:space="preserve">. </w:t>
      </w:r>
      <w:r w:rsidRPr="00EF5BB1">
        <w:rPr>
          <w:lang w:val="en-GB"/>
        </w:rPr>
        <w:t>Sinha, R</w:t>
      </w:r>
      <w:r>
        <w:rPr>
          <w:lang w:val="en-GB"/>
        </w:rPr>
        <w:t>.</w:t>
      </w:r>
      <w:r w:rsidRPr="00EF5BB1">
        <w:rPr>
          <w:lang w:val="en-GB"/>
        </w:rPr>
        <w:t xml:space="preserve"> Engineer, V</w:t>
      </w:r>
      <w:r>
        <w:rPr>
          <w:lang w:val="en-GB"/>
        </w:rPr>
        <w:t>.</w:t>
      </w:r>
      <w:r w:rsidRPr="00EF5BB1">
        <w:rPr>
          <w:lang w:val="en-GB"/>
        </w:rPr>
        <w:t xml:space="preserve"> Ostwal, A</w:t>
      </w:r>
      <w:r>
        <w:rPr>
          <w:lang w:val="en-GB"/>
        </w:rPr>
        <w:t>.</w:t>
      </w:r>
      <w:r w:rsidRPr="00EF5BB1">
        <w:rPr>
          <w:lang w:val="en-GB"/>
        </w:rPr>
        <w:t xml:space="preserve"> Ramaswamy, S</w:t>
      </w:r>
      <w:r>
        <w:rPr>
          <w:lang w:val="en-GB"/>
        </w:rPr>
        <w:t xml:space="preserve">. </w:t>
      </w:r>
      <w:r w:rsidRPr="00EF5BB1">
        <w:rPr>
          <w:lang w:val="en-GB"/>
        </w:rPr>
        <w:t>Chopra, N</w:t>
      </w:r>
      <w:r>
        <w:rPr>
          <w:lang w:val="en-GB"/>
        </w:rPr>
        <w:t>.</w:t>
      </w:r>
      <w:r w:rsidRPr="00EF5BB1">
        <w:rPr>
          <w:lang w:val="en-GB"/>
        </w:rPr>
        <w:t xml:space="preserve"> Shetty</w:t>
      </w:r>
      <w:r>
        <w:rPr>
          <w:lang w:val="en-GB"/>
        </w:rPr>
        <w:t xml:space="preserve">. </w:t>
      </w:r>
      <w:r w:rsidRPr="00EF5BB1">
        <w:rPr>
          <w:lang w:val="en-GB"/>
        </w:rPr>
        <w:t>Radiotherapy for locally advanced unresectable gallbladder cancer - A way forward: Comparative study of chemotherapy versus chemoradiotherapy. J Cancer Res Ther. Jan-Mar 2022;18(1):147-151.</w:t>
      </w:r>
      <w:r>
        <w:rPr>
          <w:lang w:val="en-GB"/>
        </w:rPr>
        <w:t xml:space="preserve"> (Less than 10 patients treated with CRT)</w:t>
      </w:r>
    </w:p>
    <w:p w:rsidR="00D80B6C" w:rsidRPr="002C5297" w:rsidRDefault="00D80B6C" w:rsidP="00D80B6C">
      <w:pPr>
        <w:pStyle w:val="ListParagraph"/>
        <w:numPr>
          <w:ilvl w:val="0"/>
          <w:numId w:val="1"/>
        </w:numPr>
        <w:spacing w:after="160" w:line="259" w:lineRule="auto"/>
        <w:jc w:val="both"/>
        <w:rPr>
          <w:lang w:val="en-GB"/>
        </w:rPr>
      </w:pPr>
      <w:r w:rsidRPr="00C210EA">
        <w:rPr>
          <w:rFonts w:ascii="Calibri" w:hAnsi="Calibri" w:cs="Calibri"/>
          <w:noProof/>
          <w:szCs w:val="24"/>
          <w:lang w:val="en-GB"/>
        </w:rPr>
        <w:t>Chang WW, Hsiao PK, Qin L, Chang CL, Chow JM, Wu SY. Treatment outcomes for unresectable intrahepatic cholangiocarcinoma: Nationwide, population-based, cohort study based on propensity score matching with the Mahalanobis metric. Radiother Oncol 2018.</w:t>
      </w:r>
      <w:r>
        <w:rPr>
          <w:rFonts w:ascii="Calibri" w:hAnsi="Calibri" w:cs="Calibri"/>
          <w:noProof/>
          <w:szCs w:val="24"/>
          <w:lang w:val="en-GB"/>
        </w:rPr>
        <w:t xml:space="preserve"> (Resultes </w:t>
      </w:r>
      <w:r w:rsidRPr="00044ABA">
        <w:rPr>
          <w:rFonts w:ascii="Calibri" w:hAnsi="Calibri" w:cs="Calibri"/>
          <w:noProof/>
          <w:szCs w:val="24"/>
          <w:lang w:val="en-GB"/>
        </w:rPr>
        <w:t>not explicitly reported</w:t>
      </w:r>
      <w:r>
        <w:rPr>
          <w:rFonts w:ascii="Calibri" w:hAnsi="Calibri" w:cs="Calibri"/>
          <w:noProof/>
          <w:szCs w:val="24"/>
          <w:lang w:val="en-GB"/>
        </w:rPr>
        <w:t>, but only in terms of HR).</w:t>
      </w:r>
    </w:p>
    <w:p w:rsidR="00D80B6C" w:rsidRDefault="00D80B6C" w:rsidP="00D80B6C">
      <w:pPr>
        <w:rPr>
          <w:lang w:val="en-GB"/>
        </w:rPr>
      </w:pPr>
      <w:r>
        <w:rPr>
          <w:lang w:val="en-GB"/>
        </w:rPr>
        <w:br w:type="page"/>
      </w:r>
    </w:p>
    <w:p w:rsidR="00D80B6C" w:rsidRDefault="00D80B6C" w:rsidP="00D80B6C">
      <w:pPr>
        <w:jc w:val="both"/>
        <w:rPr>
          <w:b/>
          <w:bCs/>
          <w:lang w:val="en-GB"/>
        </w:rPr>
        <w:sectPr w:rsidR="00D80B6C" w:rsidSect="00BE36AB">
          <w:pgSz w:w="11906" w:h="16838"/>
          <w:pgMar w:top="1134" w:right="1134" w:bottom="1418" w:left="1134" w:header="709" w:footer="709" w:gutter="0"/>
          <w:cols w:space="708"/>
          <w:docGrid w:linePitch="360"/>
        </w:sectPr>
      </w:pPr>
    </w:p>
    <w:p w:rsidR="00D80B6C" w:rsidRDefault="00D80B6C" w:rsidP="00D80B6C">
      <w:pPr>
        <w:jc w:val="both"/>
        <w:rPr>
          <w:lang w:val="en-GB"/>
        </w:rPr>
      </w:pPr>
      <w:r w:rsidRPr="002C5297">
        <w:rPr>
          <w:b/>
          <w:bCs/>
          <w:lang w:val="en-GB"/>
        </w:rPr>
        <w:lastRenderedPageBreak/>
        <w:t>Supplementary material 3</w:t>
      </w:r>
      <w:r>
        <w:rPr>
          <w:lang w:val="en-GB"/>
        </w:rPr>
        <w:t>: PRISMA checklist</w:t>
      </w:r>
    </w:p>
    <w:tbl>
      <w:tblPr>
        <w:tblW w:w="0" w:type="auto"/>
        <w:tblBorders>
          <w:top w:val="nil"/>
          <w:left w:val="nil"/>
          <w:bottom w:val="nil"/>
          <w:right w:val="nil"/>
        </w:tblBorders>
        <w:tblLook w:val="0000" w:firstRow="0" w:lastRow="0" w:firstColumn="0" w:lastColumn="0" w:noHBand="0" w:noVBand="0"/>
      </w:tblPr>
      <w:tblGrid>
        <w:gridCol w:w="1733"/>
        <w:gridCol w:w="439"/>
        <w:gridCol w:w="5584"/>
        <w:gridCol w:w="1258"/>
      </w:tblGrid>
      <w:tr w:rsidR="00D80B6C" w:rsidRPr="002C5297" w:rsidTr="002E54E5">
        <w:trPr>
          <w:trHeight w:val="20"/>
        </w:trPr>
        <w:tc>
          <w:tcPr>
            <w:tcW w:w="0" w:type="auto"/>
            <w:tcBorders>
              <w:top w:val="double" w:sz="5" w:space="0" w:color="000000"/>
              <w:left w:val="single" w:sz="5" w:space="0" w:color="000000"/>
              <w:bottom w:val="double" w:sz="2" w:space="0" w:color="FFFFCC"/>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FFFFFF"/>
                <w:sz w:val="20"/>
                <w:szCs w:val="20"/>
                <w:lang w:val="en-CA" w:eastAsia="en-CA"/>
              </w:rPr>
            </w:pPr>
            <w:r w:rsidRPr="002C5297">
              <w:rPr>
                <w:rFonts w:ascii="Arial" w:eastAsia="Times New Roman" w:hAnsi="Arial" w:cs="Arial"/>
                <w:b/>
                <w:bCs/>
                <w:color w:val="FFFFFF"/>
                <w:sz w:val="20"/>
                <w:szCs w:val="20"/>
                <w:lang w:val="en-CA" w:eastAsia="en-CA"/>
              </w:rPr>
              <w:t xml:space="preserve">Section/topic </w:t>
            </w:r>
          </w:p>
        </w:tc>
        <w:tc>
          <w:tcPr>
            <w:tcW w:w="0" w:type="auto"/>
            <w:tcBorders>
              <w:top w:val="double" w:sz="5" w:space="0" w:color="000000"/>
              <w:left w:val="single" w:sz="5" w:space="0" w:color="000000"/>
              <w:bottom w:val="double" w:sz="2" w:space="0" w:color="FFFFCC"/>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jc w:val="right"/>
              <w:rPr>
                <w:rFonts w:ascii="Arial" w:eastAsia="Times New Roman" w:hAnsi="Arial" w:cs="Arial"/>
                <w:b/>
                <w:bCs/>
                <w:color w:val="FFFFFF"/>
                <w:sz w:val="20"/>
                <w:szCs w:val="20"/>
                <w:lang w:val="en-CA" w:eastAsia="en-CA"/>
              </w:rPr>
            </w:pPr>
            <w:r w:rsidRPr="002C5297">
              <w:rPr>
                <w:rFonts w:ascii="Arial" w:eastAsia="Times New Roman" w:hAnsi="Arial" w:cs="Arial"/>
                <w:b/>
                <w:bCs/>
                <w:color w:val="FFFFFF"/>
                <w:sz w:val="20"/>
                <w:szCs w:val="20"/>
                <w:lang w:val="en-CA" w:eastAsia="en-CA"/>
              </w:rPr>
              <w:t>#</w:t>
            </w:r>
          </w:p>
        </w:tc>
        <w:tc>
          <w:tcPr>
            <w:tcW w:w="0" w:type="auto"/>
            <w:tcBorders>
              <w:top w:val="double" w:sz="5" w:space="0" w:color="000000"/>
              <w:left w:val="single" w:sz="5" w:space="0" w:color="000000"/>
              <w:bottom w:val="double" w:sz="5" w:space="0" w:color="000000"/>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FFFFFF"/>
                <w:sz w:val="20"/>
                <w:szCs w:val="20"/>
                <w:lang w:val="en-CA" w:eastAsia="en-CA"/>
              </w:rPr>
            </w:pPr>
            <w:r w:rsidRPr="002C5297">
              <w:rPr>
                <w:rFonts w:ascii="Arial" w:eastAsia="Times New Roman" w:hAnsi="Arial" w:cs="Arial"/>
                <w:b/>
                <w:bCs/>
                <w:color w:val="FFFFFF"/>
                <w:sz w:val="20"/>
                <w:szCs w:val="20"/>
                <w:lang w:val="en-CA" w:eastAsia="en-CA"/>
              </w:rPr>
              <w:t xml:space="preserve">Checklist item </w:t>
            </w:r>
          </w:p>
        </w:tc>
        <w:tc>
          <w:tcPr>
            <w:tcW w:w="0" w:type="auto"/>
            <w:tcBorders>
              <w:top w:val="double" w:sz="5" w:space="0" w:color="000000"/>
              <w:left w:val="single" w:sz="5" w:space="0" w:color="000000"/>
              <w:bottom w:val="double" w:sz="5" w:space="0" w:color="000000"/>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FFFFFF"/>
                <w:sz w:val="20"/>
                <w:szCs w:val="20"/>
                <w:lang w:val="en-CA" w:eastAsia="en-CA"/>
              </w:rPr>
            </w:pPr>
            <w:r w:rsidRPr="002C5297">
              <w:rPr>
                <w:rFonts w:ascii="Arial" w:eastAsia="Times New Roman" w:hAnsi="Arial" w:cs="Arial"/>
                <w:b/>
                <w:bCs/>
                <w:color w:val="FFFFFF"/>
                <w:sz w:val="20"/>
                <w:szCs w:val="20"/>
                <w:lang w:val="en-CA" w:eastAsia="en-CA"/>
              </w:rPr>
              <w:t xml:space="preserve">Reported on page # </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TITLE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right"/>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Title </w:t>
            </w:r>
          </w:p>
        </w:tc>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Identify the report as a systematic review, meta-analysis, or both.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1</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ABSTRACT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right"/>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Structured summary </w:t>
            </w:r>
          </w:p>
        </w:tc>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Provide a structured summary including, as applicable: background; objectives; data sources; study eligibility criteria, participants, and interventions; study appraisal and synthesis methods; results; limitations; conclusions and implications of key findings; systematic review registration number.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2</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INTRODUCTION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right"/>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Rationale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3</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Describe the rationale for the review in the context of what is already known.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3</w:t>
            </w:r>
          </w:p>
        </w:tc>
      </w:tr>
      <w:tr w:rsidR="00D80B6C" w:rsidRPr="00302A60" w:rsidTr="002E54E5">
        <w:trPr>
          <w:trHeight w:val="20"/>
        </w:trPr>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Objectives </w:t>
            </w:r>
          </w:p>
        </w:tc>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4</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Provide an explicit statement of questions being addressed with reference to participants, interventions, comparisons, outcomes, and study design (PICOS).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 xml:space="preserve">Fig. 2 </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METHODS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right"/>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Protocol and registration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5</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Indicate if a review protocol exists, if and where it can be accessed (e.g., Web address), and, if available, provide registration information including registration number.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3</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Eligibility criteria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6</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Specify study characteristics (e.g., PICOS, length of follow</w:t>
            </w:r>
            <w:r w:rsidRPr="002C5297">
              <w:rPr>
                <w:rFonts w:ascii="Calibri" w:eastAsia="Times New Roman" w:hAnsi="Calibri" w:cs="Arial"/>
                <w:color w:val="000000"/>
                <w:sz w:val="20"/>
                <w:szCs w:val="20"/>
                <w:lang w:val="en-CA" w:eastAsia="en-CA"/>
              </w:rPr>
              <w:t>-</w:t>
            </w:r>
            <w:r w:rsidRPr="002C5297">
              <w:rPr>
                <w:rFonts w:ascii="Arial" w:eastAsia="Times New Roman" w:hAnsi="Arial" w:cs="Arial"/>
                <w:color w:val="000000"/>
                <w:sz w:val="20"/>
                <w:szCs w:val="20"/>
                <w:lang w:val="en-CA" w:eastAsia="en-CA"/>
              </w:rPr>
              <w:t xml:space="preserve">up) and report characteristics (e.g., years considered, language, publication status) used as criteria for eligibility, giving rationale.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3</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Information sources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7</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Describe all information sources (e.g., databases with dates of coverage, contact with study authors to identify additional studies) in the search and date last searched.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3</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Search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8</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Present full electronic search strategy for at least one database, including any limits used, such that it could be repeated.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Suppl. Mat. A</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Study selection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9</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State the process for selecting studies (i.e., screening, eligibility, included in systematic review, and, if applicable, included in the meta</w:t>
            </w:r>
            <w:r w:rsidRPr="002C5297">
              <w:rPr>
                <w:rFonts w:ascii="Calibri" w:eastAsia="Times New Roman" w:hAnsi="Calibri" w:cs="Arial"/>
                <w:color w:val="000000"/>
                <w:sz w:val="20"/>
                <w:szCs w:val="20"/>
                <w:lang w:val="en-CA" w:eastAsia="en-CA"/>
              </w:rPr>
              <w:t>-</w:t>
            </w:r>
            <w:r w:rsidRPr="002C5297">
              <w:rPr>
                <w:rFonts w:ascii="Arial" w:eastAsia="Times New Roman" w:hAnsi="Arial" w:cs="Arial"/>
                <w:color w:val="000000"/>
                <w:sz w:val="20"/>
                <w:szCs w:val="20"/>
                <w:lang w:val="en-CA" w:eastAsia="en-CA"/>
              </w:rPr>
              <w:t xml:space="preserve">analysis).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Data collection process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10</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Describe method of data extraction from reports (e.g., piloted forms, independently, in duplicate) and any processes for obtaining and confirming data from investigators.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Data items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11</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List and define all variables for which data were sought (e.g., PICOS, funding sources) and any assumptions and simplifications made.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Risk of bias in individual studies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12</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Describe methods used for assessing risk of bias of individual studies (including specification of whether this was done at the study or outcome level), and how this information is to be used in any data synthesis.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Summary measures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13</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State the principal summary measures (e.g., risk ratio, difference in means).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Synthesis of results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14</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Describe the methods of handling data and combining results of studies, if done, including measures of consistency (e.g., I</w:t>
            </w:r>
            <w:r w:rsidRPr="002C5297">
              <w:rPr>
                <w:rFonts w:ascii="Arial" w:eastAsia="Times New Roman" w:hAnsi="Arial" w:cs="Arial"/>
                <w:color w:val="000000"/>
                <w:sz w:val="20"/>
                <w:szCs w:val="20"/>
                <w:vertAlign w:val="superscript"/>
                <w:lang w:val="en-CA" w:eastAsia="en-CA"/>
              </w:rPr>
              <w:t>2</w:t>
            </w:r>
            <w:r w:rsidRPr="002C5297">
              <w:rPr>
                <w:rFonts w:ascii="Arial" w:eastAsia="Times New Roman" w:hAnsi="Arial" w:cs="Arial"/>
                <w:color w:val="000000"/>
                <w:sz w:val="20"/>
                <w:szCs w:val="20"/>
                <w:lang w:val="en-CA" w:eastAsia="en-CA"/>
              </w:rPr>
              <w:t>) for each meta</w:t>
            </w:r>
            <w:r w:rsidRPr="002C5297">
              <w:rPr>
                <w:rFonts w:ascii="Calibri" w:eastAsia="Times New Roman" w:hAnsi="Calibri" w:cs="Arial"/>
                <w:color w:val="000000"/>
                <w:sz w:val="20"/>
                <w:szCs w:val="20"/>
                <w:lang w:val="en-CA" w:eastAsia="en-CA"/>
              </w:rPr>
              <w:t>-</w:t>
            </w:r>
            <w:r w:rsidRPr="002C5297">
              <w:rPr>
                <w:rFonts w:ascii="Arial" w:eastAsia="Times New Roman" w:hAnsi="Arial" w:cs="Arial"/>
                <w:color w:val="000000"/>
                <w:sz w:val="20"/>
                <w:szCs w:val="20"/>
                <w:lang w:val="en-CA" w:eastAsia="en-CA"/>
              </w:rPr>
              <w:t xml:space="preserve">analysis.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bl>
    <w:p w:rsidR="00D80B6C" w:rsidRPr="002C5297" w:rsidRDefault="00D80B6C" w:rsidP="00D80B6C">
      <w:pPr>
        <w:jc w:val="both"/>
        <w:rPr>
          <w:sz w:val="2"/>
          <w:szCs w:val="2"/>
          <w:lang w:val="en-GB"/>
        </w:rPr>
      </w:pPr>
    </w:p>
    <w:tbl>
      <w:tblPr>
        <w:tblW w:w="0" w:type="auto"/>
        <w:tblBorders>
          <w:top w:val="nil"/>
          <w:left w:val="nil"/>
          <w:bottom w:val="nil"/>
          <w:right w:val="nil"/>
        </w:tblBorders>
        <w:tblLook w:val="0000" w:firstRow="0" w:lastRow="0" w:firstColumn="0" w:lastColumn="0" w:noHBand="0" w:noVBand="0"/>
      </w:tblPr>
      <w:tblGrid>
        <w:gridCol w:w="1788"/>
        <w:gridCol w:w="439"/>
        <w:gridCol w:w="5450"/>
        <w:gridCol w:w="1337"/>
      </w:tblGrid>
      <w:tr w:rsidR="00D80B6C" w:rsidRPr="002C5297" w:rsidTr="002E54E5">
        <w:trPr>
          <w:trHeight w:val="20"/>
        </w:trPr>
        <w:tc>
          <w:tcPr>
            <w:tcW w:w="0" w:type="auto"/>
            <w:tcBorders>
              <w:top w:val="double" w:sz="5" w:space="0" w:color="000000"/>
              <w:left w:val="single" w:sz="5" w:space="0" w:color="000000"/>
              <w:bottom w:val="double" w:sz="5" w:space="0" w:color="000000"/>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FFFFFF"/>
                <w:sz w:val="20"/>
                <w:szCs w:val="20"/>
                <w:lang w:val="en-CA" w:eastAsia="en-CA"/>
              </w:rPr>
            </w:pPr>
            <w:r w:rsidRPr="002C5297">
              <w:rPr>
                <w:rFonts w:ascii="Arial" w:eastAsia="Times New Roman" w:hAnsi="Arial" w:cs="Arial"/>
                <w:b/>
                <w:bCs/>
                <w:color w:val="FFFFFF"/>
                <w:sz w:val="20"/>
                <w:szCs w:val="20"/>
                <w:lang w:val="en-CA" w:eastAsia="en-CA"/>
              </w:rPr>
              <w:lastRenderedPageBreak/>
              <w:t xml:space="preserve">Section/topic </w:t>
            </w:r>
          </w:p>
        </w:tc>
        <w:tc>
          <w:tcPr>
            <w:tcW w:w="0" w:type="auto"/>
            <w:tcBorders>
              <w:top w:val="double" w:sz="5" w:space="0" w:color="000000"/>
              <w:left w:val="single" w:sz="5" w:space="0" w:color="000000"/>
              <w:bottom w:val="double" w:sz="5" w:space="0" w:color="000000"/>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b/>
                <w:bCs/>
                <w:color w:val="FFFFFF"/>
                <w:sz w:val="20"/>
                <w:szCs w:val="20"/>
                <w:lang w:val="en-CA" w:eastAsia="en-CA"/>
              </w:rPr>
              <w:t>#</w:t>
            </w:r>
          </w:p>
        </w:tc>
        <w:tc>
          <w:tcPr>
            <w:tcW w:w="0" w:type="auto"/>
            <w:tcBorders>
              <w:top w:val="double" w:sz="5" w:space="0" w:color="000000"/>
              <w:left w:val="single" w:sz="5" w:space="0" w:color="000000"/>
              <w:bottom w:val="double" w:sz="5" w:space="0" w:color="000000"/>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FFFFFF"/>
                <w:sz w:val="20"/>
                <w:szCs w:val="20"/>
                <w:lang w:val="en-CA" w:eastAsia="en-CA"/>
              </w:rPr>
            </w:pPr>
            <w:r w:rsidRPr="002C5297">
              <w:rPr>
                <w:rFonts w:ascii="Arial" w:eastAsia="Times New Roman" w:hAnsi="Arial" w:cs="Arial"/>
                <w:b/>
                <w:bCs/>
                <w:color w:val="FFFFFF"/>
                <w:sz w:val="20"/>
                <w:szCs w:val="20"/>
                <w:lang w:val="en-CA" w:eastAsia="en-CA"/>
              </w:rPr>
              <w:t xml:space="preserve">Checklist item </w:t>
            </w:r>
          </w:p>
        </w:tc>
        <w:tc>
          <w:tcPr>
            <w:tcW w:w="0" w:type="auto"/>
            <w:tcBorders>
              <w:top w:val="double" w:sz="5" w:space="0" w:color="000000"/>
              <w:left w:val="single" w:sz="5" w:space="0" w:color="000000"/>
              <w:bottom w:val="double" w:sz="5" w:space="0" w:color="000000"/>
              <w:right w:val="single" w:sz="5" w:space="0" w:color="000000"/>
            </w:tcBorders>
            <w:shd w:val="clear" w:color="auto" w:fill="63639A"/>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FFFFFF"/>
                <w:sz w:val="20"/>
                <w:szCs w:val="20"/>
                <w:lang w:val="en-CA" w:eastAsia="en-CA"/>
              </w:rPr>
            </w:pPr>
            <w:r w:rsidRPr="002C5297">
              <w:rPr>
                <w:rFonts w:ascii="Arial" w:eastAsia="Times New Roman" w:hAnsi="Arial" w:cs="Arial"/>
                <w:b/>
                <w:bCs/>
                <w:color w:val="FFFFFF"/>
                <w:sz w:val="20"/>
                <w:szCs w:val="20"/>
                <w:lang w:val="en-CA" w:eastAsia="en-CA"/>
              </w:rPr>
              <w:t xml:space="preserve">Reported on page # </w:t>
            </w:r>
          </w:p>
        </w:tc>
      </w:tr>
      <w:tr w:rsidR="00D80B6C" w:rsidRPr="00302A60" w:rsidTr="002E54E5">
        <w:trPr>
          <w:trHeight w:val="20"/>
        </w:trPr>
        <w:tc>
          <w:tcPr>
            <w:tcW w:w="0" w:type="auto"/>
            <w:tcBorders>
              <w:top w:val="doub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Risk of bias across studies </w:t>
            </w:r>
          </w:p>
        </w:tc>
        <w:tc>
          <w:tcPr>
            <w:tcW w:w="0" w:type="auto"/>
            <w:tcBorders>
              <w:top w:val="doub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15</w:t>
            </w:r>
          </w:p>
        </w:tc>
        <w:tc>
          <w:tcPr>
            <w:tcW w:w="0" w:type="auto"/>
            <w:tcBorders>
              <w:top w:val="doub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Specify any assessment of risk of bias that may affect the cumulative evidence (e.g., publication bias, selective reporting within studies). </w:t>
            </w:r>
          </w:p>
        </w:tc>
        <w:tc>
          <w:tcPr>
            <w:tcW w:w="0" w:type="auto"/>
            <w:tcBorders>
              <w:top w:val="doub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302A60" w:rsidTr="002E54E5">
        <w:trPr>
          <w:trHeight w:val="20"/>
        </w:trPr>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Additional analyses </w:t>
            </w:r>
          </w:p>
        </w:tc>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16</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Describe methods of additional analyses (e.g., sensitivity or subgroup analyses, meta-regression), if done, indicating which were pre</w:t>
            </w:r>
            <w:r w:rsidRPr="002C5297">
              <w:rPr>
                <w:rFonts w:ascii="Calibri" w:eastAsia="Times New Roman" w:hAnsi="Calibri" w:cs="Arial"/>
                <w:color w:val="000000"/>
                <w:sz w:val="20"/>
                <w:szCs w:val="20"/>
                <w:lang w:val="en-CA" w:eastAsia="en-CA"/>
              </w:rPr>
              <w:t>-</w:t>
            </w:r>
            <w:r w:rsidRPr="002C5297">
              <w:rPr>
                <w:rFonts w:ascii="Arial" w:eastAsia="Times New Roman" w:hAnsi="Arial" w:cs="Arial"/>
                <w:color w:val="000000"/>
                <w:sz w:val="20"/>
                <w:szCs w:val="20"/>
                <w:lang w:val="en-CA" w:eastAsia="en-CA"/>
              </w:rPr>
              <w:t xml:space="preserve">specified.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4</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RESULTS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center"/>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Study selection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17</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Give numbers of studies screened, assessed for eligibility, and included in the review, with reasons for exclusions at each stage, ideally with a flow diagram.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Fig. 1, Suppl. Mat. B</w:t>
            </w:r>
          </w:p>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Study characteristics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18</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For each study, present characteristics for which data were extracted (e.g., study size, PICOS, follow-up period) and provide the citations.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Tables 1,2,3</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Risk of bias within studies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19</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Present data on risk of bias of each study and, if available, any outcome level assessment (see item 12).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Figures 5,6</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Results of individual studies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20</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For all outcomes considered (benefits or harms), present, for each study: (a) simple summary data for each intervention group (b) effect estimates and confidence intervals, ideally with a forest plot.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Figures 3,4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Synthesis of results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21</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Present results of each meta-analysis done, including confidence intervals and measures of consistency.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Figures 3,4</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Risk of bias across studies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22</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Present results of any assessment of risk of bias across studies (see Item 15).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Figures 5,6</w:t>
            </w:r>
          </w:p>
        </w:tc>
      </w:tr>
      <w:tr w:rsidR="00D80B6C" w:rsidRPr="002C5297" w:rsidTr="002E54E5">
        <w:trPr>
          <w:trHeight w:val="20"/>
        </w:trPr>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Additional analysis </w:t>
            </w:r>
          </w:p>
        </w:tc>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23</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Give results of additional analyses, if done (e.g., sensitivity or subgroup analyses, meta-regression [see Item 16]).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5</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DISCUSSION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center"/>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Summary of evidence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24</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Summarize the main findings including the strength of evidence for each main outcome; consider their relevance to key groups (e.g., healthcare providers, users, and policy makers).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6</w:t>
            </w:r>
          </w:p>
        </w:tc>
      </w:tr>
      <w:tr w:rsidR="00D80B6C" w:rsidRPr="00302A60" w:rsidTr="002E54E5">
        <w:trPr>
          <w:trHeight w:val="20"/>
        </w:trPr>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Limitations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25</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Discuss limitations at study and outcome level (e.g., risk of bias), and at review-level (e.g., incomplete retrieval of identified research, reporting bias). </w:t>
            </w:r>
          </w:p>
        </w:tc>
        <w:tc>
          <w:tcPr>
            <w:tcW w:w="0" w:type="auto"/>
            <w:tcBorders>
              <w:top w:val="single" w:sz="5" w:space="0" w:color="000000"/>
              <w:left w:val="single" w:sz="5" w:space="0" w:color="000000"/>
              <w:bottom w:val="sing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6</w:t>
            </w:r>
          </w:p>
        </w:tc>
      </w:tr>
      <w:tr w:rsidR="00D80B6C" w:rsidRPr="00302A60" w:rsidTr="002E54E5">
        <w:trPr>
          <w:trHeight w:val="20"/>
        </w:trPr>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Conclusions </w:t>
            </w:r>
          </w:p>
        </w:tc>
        <w:tc>
          <w:tcPr>
            <w:tcW w:w="0" w:type="auto"/>
            <w:tcBorders>
              <w:top w:val="single" w:sz="5" w:space="0" w:color="000000"/>
              <w:left w:val="single" w:sz="5" w:space="0" w:color="000000"/>
              <w:bottom w:val="double" w:sz="2" w:space="0" w:color="FFFFCC"/>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26</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Provide a general interpretation of the results in the context of other evidence, and implications for future research.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6</w:t>
            </w:r>
          </w:p>
        </w:tc>
      </w:tr>
      <w:tr w:rsidR="00D80B6C" w:rsidRPr="002C5297" w:rsidTr="002E54E5">
        <w:trPr>
          <w:trHeight w:val="20"/>
        </w:trPr>
        <w:tc>
          <w:tcPr>
            <w:tcW w:w="0" w:type="auto"/>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rsidR="00D80B6C" w:rsidRPr="002C5297" w:rsidRDefault="00D80B6C" w:rsidP="002E54E5">
            <w:pPr>
              <w:widowControl w:val="0"/>
              <w:autoSpaceDE w:val="0"/>
              <w:autoSpaceDN w:val="0"/>
              <w:adjustRightInd w:val="0"/>
              <w:spacing w:after="0" w:line="240" w:lineRule="auto"/>
              <w:rPr>
                <w:rFonts w:ascii="Arial" w:eastAsia="Times New Roman" w:hAnsi="Arial" w:cs="Arial"/>
                <w:color w:val="000000"/>
                <w:sz w:val="20"/>
                <w:szCs w:val="20"/>
                <w:lang w:val="en-CA" w:eastAsia="en-CA"/>
              </w:rPr>
            </w:pPr>
            <w:r w:rsidRPr="002C5297">
              <w:rPr>
                <w:rFonts w:ascii="Arial" w:eastAsia="Times New Roman" w:hAnsi="Arial" w:cs="Arial"/>
                <w:b/>
                <w:bCs/>
                <w:color w:val="000000"/>
                <w:sz w:val="20"/>
                <w:szCs w:val="20"/>
                <w:lang w:val="en-CA" w:eastAsia="en-CA"/>
              </w:rPr>
              <w:t xml:space="preserve">FUNDING </w:t>
            </w:r>
          </w:p>
        </w:tc>
        <w:tc>
          <w:tcPr>
            <w:tcW w:w="0" w:type="auto"/>
            <w:tcBorders>
              <w:top w:val="double" w:sz="5" w:space="0" w:color="000000"/>
              <w:left w:val="single" w:sz="5" w:space="0" w:color="000000"/>
              <w:bottom w:val="single" w:sz="5" w:space="0" w:color="000000"/>
              <w:right w:val="single" w:sz="5" w:space="0" w:color="000000"/>
            </w:tcBorders>
            <w:shd w:val="clear" w:color="auto" w:fill="FFFFCC"/>
          </w:tcPr>
          <w:p w:rsidR="00D80B6C" w:rsidRPr="002C5297" w:rsidRDefault="00D80B6C" w:rsidP="002E54E5">
            <w:pPr>
              <w:widowControl w:val="0"/>
              <w:autoSpaceDE w:val="0"/>
              <w:autoSpaceDN w:val="0"/>
              <w:adjustRightInd w:val="0"/>
              <w:spacing w:after="0" w:line="240" w:lineRule="auto"/>
              <w:jc w:val="center"/>
              <w:rPr>
                <w:rFonts w:ascii="Arial" w:eastAsia="Times New Roman" w:hAnsi="Arial" w:cs="Arial"/>
                <w:sz w:val="20"/>
                <w:szCs w:val="20"/>
                <w:lang w:val="en-CA" w:eastAsia="en-CA"/>
              </w:rPr>
            </w:pPr>
          </w:p>
        </w:tc>
      </w:tr>
      <w:tr w:rsidR="00D80B6C" w:rsidRPr="00302A60" w:rsidTr="002E54E5">
        <w:trPr>
          <w:trHeight w:val="20"/>
        </w:trPr>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Funding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jc w:val="right"/>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27</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color w:val="000000"/>
                <w:sz w:val="20"/>
                <w:szCs w:val="20"/>
                <w:lang w:val="en-CA" w:eastAsia="en-CA"/>
              </w:rPr>
            </w:pPr>
            <w:r w:rsidRPr="002C5297">
              <w:rPr>
                <w:rFonts w:ascii="Arial" w:eastAsia="Times New Roman" w:hAnsi="Arial" w:cs="Arial"/>
                <w:color w:val="000000"/>
                <w:sz w:val="20"/>
                <w:szCs w:val="20"/>
                <w:lang w:val="en-CA" w:eastAsia="en-CA"/>
              </w:rPr>
              <w:t xml:space="preserve">Describe sources of funding for the systematic review and other support (e.g., supply of data); role of funders for the systematic review. </w:t>
            </w:r>
          </w:p>
        </w:tc>
        <w:tc>
          <w:tcPr>
            <w:tcW w:w="0" w:type="auto"/>
            <w:tcBorders>
              <w:top w:val="single" w:sz="5" w:space="0" w:color="000000"/>
              <w:left w:val="single" w:sz="5" w:space="0" w:color="000000"/>
              <w:bottom w:val="double" w:sz="5" w:space="0" w:color="000000"/>
              <w:right w:val="single" w:sz="5" w:space="0" w:color="000000"/>
            </w:tcBorders>
          </w:tcPr>
          <w:p w:rsidR="00D80B6C" w:rsidRPr="002C5297" w:rsidRDefault="00D80B6C" w:rsidP="002E54E5">
            <w:pPr>
              <w:widowControl w:val="0"/>
              <w:autoSpaceDE w:val="0"/>
              <w:autoSpaceDN w:val="0"/>
              <w:adjustRightInd w:val="0"/>
              <w:spacing w:before="40" w:after="40" w:line="240" w:lineRule="auto"/>
              <w:rPr>
                <w:rFonts w:ascii="Arial" w:eastAsia="Times New Roman" w:hAnsi="Arial" w:cs="Arial"/>
                <w:sz w:val="20"/>
                <w:szCs w:val="20"/>
                <w:lang w:val="en-CA" w:eastAsia="en-CA"/>
              </w:rPr>
            </w:pPr>
            <w:r>
              <w:rPr>
                <w:rFonts w:ascii="Arial" w:eastAsia="Times New Roman" w:hAnsi="Arial" w:cs="Arial"/>
                <w:sz w:val="20"/>
                <w:szCs w:val="20"/>
                <w:lang w:val="en-CA" w:eastAsia="en-CA"/>
              </w:rPr>
              <w:t>1</w:t>
            </w:r>
          </w:p>
        </w:tc>
      </w:tr>
    </w:tbl>
    <w:p w:rsidR="00D80B6C" w:rsidRPr="002C5297" w:rsidRDefault="00D80B6C" w:rsidP="00D80B6C">
      <w:pPr>
        <w:jc w:val="both"/>
        <w:rPr>
          <w:lang w:val="en-GB"/>
        </w:rPr>
      </w:pPr>
    </w:p>
    <w:p w:rsidR="00D80B6C" w:rsidRDefault="00D80B6C" w:rsidP="00D80B6C">
      <w:pPr>
        <w:rPr>
          <w:lang w:val="en-GB"/>
        </w:rPr>
      </w:pPr>
      <w:r>
        <w:rPr>
          <w:lang w:val="en-GB"/>
        </w:rPr>
        <w:t>N/A: not applicable</w:t>
      </w:r>
    </w:p>
    <w:p w:rsidR="00777359" w:rsidRDefault="00777359">
      <w:bookmarkStart w:id="0" w:name="_GoBack"/>
      <w:bookmarkEnd w:id="0"/>
    </w:p>
    <w:sectPr w:rsidR="0077735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C123D8"/>
    <w:multiLevelType w:val="hybridMultilevel"/>
    <w:tmpl w:val="6E2E708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72C"/>
    <w:rsid w:val="00777359"/>
    <w:rsid w:val="00D80B6C"/>
    <w:rsid w:val="00EA672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535EDF-0B4A-47CE-8EFF-BBBDDE515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0B6C"/>
    <w:rPr>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0B6C"/>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1772</Words>
  <Characters>10102</Characters>
  <Application>Microsoft Office Word</Application>
  <DocSecurity>0</DocSecurity>
  <Lines>84</Lines>
  <Paragraphs>23</Paragraphs>
  <ScaleCrop>false</ScaleCrop>
  <Company/>
  <LinksUpToDate>false</LinksUpToDate>
  <CharactersWithSpaces>11851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Madhavi J Jayaraman R</dc:creator>
  <cp:keywords/>
  <dc:description/>
  <cp:lastModifiedBy>Madhavi J Jayaraman R</cp:lastModifiedBy>
  <cp:revision>2</cp:revision>
  <dcterms:created xsi:type="dcterms:W3CDTF">2024-08-28T03:43:00Z</dcterms:created>
  <dcterms:modified xsi:type="dcterms:W3CDTF">2024-08-28T03:43:00Z</dcterms:modified>
</cp:coreProperties>
</file>