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3E36" w:rsidRPr="00683E36" w:rsidRDefault="00CE642C" w:rsidP="00683E36">
      <w:pPr>
        <w:spacing w:after="0"/>
        <w:rPr>
          <w:rFonts w:ascii="Arial" w:hAnsi="Arial" w:cs="Arial"/>
          <w:sz w:val="30"/>
          <w:szCs w:val="30"/>
          <w:lang w:val="en-GB"/>
        </w:rPr>
      </w:pPr>
      <w:r w:rsidRPr="00CE642C">
        <w:rPr>
          <w:rFonts w:ascii="Arial" w:hAnsi="Arial" w:cs="Arial"/>
          <w:b/>
          <w:sz w:val="30"/>
          <w:szCs w:val="30"/>
          <w:lang w:val="en-GB"/>
        </w:rPr>
        <w:t xml:space="preserve">Supplemental </w:t>
      </w:r>
      <w:r w:rsidR="00683E36" w:rsidRPr="00683E36">
        <w:rPr>
          <w:rFonts w:ascii="Arial" w:hAnsi="Arial" w:cs="Arial"/>
          <w:b/>
          <w:sz w:val="30"/>
          <w:szCs w:val="30"/>
          <w:lang w:val="en-GB"/>
        </w:rPr>
        <w:t xml:space="preserve">Text </w:t>
      </w:r>
      <w:r>
        <w:rPr>
          <w:rFonts w:ascii="Arial" w:hAnsi="Arial" w:cs="Arial"/>
          <w:b/>
          <w:sz w:val="30"/>
          <w:szCs w:val="30"/>
          <w:lang w:val="en-GB"/>
        </w:rPr>
        <w:t>S1</w:t>
      </w:r>
      <w:bookmarkStart w:id="0" w:name="_GoBack"/>
      <w:bookmarkEnd w:id="0"/>
      <w:r w:rsidR="00683E36" w:rsidRPr="00683E36">
        <w:rPr>
          <w:rFonts w:ascii="Arial" w:hAnsi="Arial" w:cs="Arial"/>
          <w:b/>
          <w:sz w:val="30"/>
          <w:szCs w:val="30"/>
          <w:lang w:val="en-GB"/>
        </w:rPr>
        <w:t xml:space="preserve"> </w:t>
      </w:r>
      <w:r w:rsidR="00683E36" w:rsidRPr="00683E36">
        <w:rPr>
          <w:rFonts w:ascii="Arial" w:hAnsi="Arial" w:cs="Arial"/>
          <w:sz w:val="30"/>
          <w:szCs w:val="30"/>
          <w:lang w:val="en-GB"/>
        </w:rPr>
        <w:t>Study protocol</w:t>
      </w:r>
    </w:p>
    <w:p w:rsidR="00683E36" w:rsidRDefault="00683E36" w:rsidP="00683E36">
      <w:pPr>
        <w:spacing w:after="0"/>
        <w:rPr>
          <w:rFonts w:ascii="Arial" w:hAnsi="Arial" w:cs="Arial"/>
          <w:sz w:val="24"/>
          <w:szCs w:val="24"/>
          <w:lang w:val="en-GB"/>
        </w:rPr>
      </w:pPr>
    </w:p>
    <w:p w:rsidR="00683E36" w:rsidRPr="00CE642C" w:rsidRDefault="00683E36" w:rsidP="00683E36">
      <w:pPr>
        <w:pStyle w:val="Default"/>
        <w:spacing w:line="360" w:lineRule="auto"/>
        <w:jc w:val="both"/>
        <w:rPr>
          <w:lang w:val="en-GB"/>
        </w:rPr>
      </w:pPr>
    </w:p>
    <w:p w:rsidR="00683E36" w:rsidRPr="00747A9E" w:rsidRDefault="00683E36" w:rsidP="00683E36">
      <w:pPr>
        <w:pStyle w:val="Default"/>
        <w:spacing w:line="360" w:lineRule="auto"/>
        <w:jc w:val="both"/>
        <w:rPr>
          <w:lang w:val="en-US"/>
        </w:rPr>
      </w:pPr>
      <w:r w:rsidRPr="00747A9E">
        <w:rPr>
          <w:noProof/>
          <w:lang w:val="en-GB" w:eastAsia="en-GB"/>
        </w:rPr>
        <w:drawing>
          <wp:inline distT="0" distB="0" distL="0" distR="0" wp14:anchorId="46F5818E" wp14:editId="5377FB34">
            <wp:extent cx="5543550" cy="3046942"/>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774" t="20222" r="36263" b="16343"/>
                    <a:stretch>
                      <a:fillRect/>
                    </a:stretch>
                  </pic:blipFill>
                  <pic:spPr bwMode="auto">
                    <a:xfrm>
                      <a:off x="0" y="0"/>
                      <a:ext cx="5543550" cy="3046942"/>
                    </a:xfrm>
                    <a:prstGeom prst="rect">
                      <a:avLst/>
                    </a:prstGeom>
                    <a:noFill/>
                    <a:ln w="9525">
                      <a:noFill/>
                      <a:miter lim="800000"/>
                      <a:headEnd/>
                      <a:tailEnd/>
                    </a:ln>
                  </pic:spPr>
                </pic:pic>
              </a:graphicData>
            </a:graphic>
          </wp:inline>
        </w:drawing>
      </w:r>
    </w:p>
    <w:p w:rsidR="00683E36" w:rsidRPr="00747A9E" w:rsidRDefault="00683E36" w:rsidP="00683E36">
      <w:pPr>
        <w:pStyle w:val="Default"/>
        <w:spacing w:line="360" w:lineRule="auto"/>
        <w:jc w:val="both"/>
        <w:rPr>
          <w:b/>
          <w:sz w:val="32"/>
          <w:szCs w:val="32"/>
          <w:lang w:val="en-US"/>
        </w:rPr>
      </w:pPr>
      <w:r w:rsidRPr="00747A9E">
        <w:rPr>
          <w:sz w:val="32"/>
          <w:szCs w:val="32"/>
          <w:lang w:val="en-US"/>
        </w:rPr>
        <w:t xml:space="preserve"> </w:t>
      </w:r>
      <w:r w:rsidRPr="00747A9E">
        <w:rPr>
          <w:b/>
          <w:sz w:val="32"/>
          <w:szCs w:val="32"/>
          <w:lang w:val="en-US"/>
        </w:rPr>
        <w:t>Phase III study on the efficacy of dose intensification in patients with localized Ewing’s sarcoma (ISG/AIEOP EW-1)</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Protocol version 1.1, 03 January 2019</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Amendment 1.0</w:t>
      </w:r>
    </w:p>
    <w:p w:rsidR="00683E36" w:rsidRPr="00501728" w:rsidRDefault="00683E36" w:rsidP="00683E36">
      <w:pPr>
        <w:pStyle w:val="Default"/>
        <w:spacing w:line="360" w:lineRule="auto"/>
        <w:jc w:val="both"/>
        <w:rPr>
          <w:b/>
          <w:bCs/>
          <w:lang w:val="en-US"/>
        </w:rPr>
      </w:pPr>
      <w:r w:rsidRPr="00501728">
        <w:rPr>
          <w:b/>
          <w:bCs/>
          <w:lang w:val="en-US"/>
        </w:rPr>
        <w:t xml:space="preserve">Study Coordinator: </w:t>
      </w:r>
    </w:p>
    <w:p w:rsidR="00683E36" w:rsidRPr="00501728" w:rsidRDefault="00683E36" w:rsidP="00683E36">
      <w:pPr>
        <w:pStyle w:val="Default"/>
        <w:spacing w:line="360" w:lineRule="auto"/>
        <w:jc w:val="both"/>
        <w:rPr>
          <w:b/>
          <w:bCs/>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rPr>
      </w:pPr>
      <w:r w:rsidRPr="00747A9E">
        <w:rPr>
          <w:rFonts w:ascii="Times New Roman" w:hAnsi="Times New Roman" w:cs="Times New Roman"/>
          <w:b/>
          <w:bCs/>
          <w:sz w:val="24"/>
          <w:szCs w:val="24"/>
        </w:rPr>
        <w:t>Dr. Stefano Ferrari (study-period: 2009-2018)</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rPr>
      </w:pPr>
      <w:r w:rsidRPr="00747A9E">
        <w:rPr>
          <w:rFonts w:ascii="Times New Roman" w:hAnsi="Times New Roman" w:cs="Times New Roman"/>
          <w:sz w:val="24"/>
          <w:szCs w:val="24"/>
        </w:rPr>
        <w:t>Sezione di Chemioterapia</w:t>
      </w:r>
      <w:r>
        <w:rPr>
          <w:rFonts w:ascii="Times New Roman" w:hAnsi="Times New Roman" w:cs="Times New Roman"/>
          <w:sz w:val="24"/>
          <w:szCs w:val="24"/>
        </w:rPr>
        <w:t xml:space="preserve">, </w:t>
      </w:r>
      <w:r w:rsidRPr="00747A9E">
        <w:rPr>
          <w:rFonts w:ascii="Times New Roman" w:hAnsi="Times New Roman" w:cs="Times New Roman"/>
          <w:sz w:val="24"/>
          <w:szCs w:val="24"/>
        </w:rPr>
        <w:t>Istituto Ortopedico Rizzoli</w:t>
      </w:r>
      <w:r>
        <w:rPr>
          <w:rFonts w:ascii="Times New Roman" w:hAnsi="Times New Roman" w:cs="Times New Roman"/>
          <w:sz w:val="24"/>
          <w:szCs w:val="24"/>
        </w:rPr>
        <w:t xml:space="preserve">, </w:t>
      </w:r>
      <w:r w:rsidRPr="00747A9E">
        <w:rPr>
          <w:rFonts w:ascii="Times New Roman" w:hAnsi="Times New Roman" w:cs="Times New Roman"/>
          <w:sz w:val="24"/>
          <w:szCs w:val="24"/>
        </w:rPr>
        <w:t>Via Pupilli 1 40136 Bologna</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Tel </w:t>
      </w:r>
      <w:r>
        <w:rPr>
          <w:rFonts w:ascii="Times New Roman" w:hAnsi="Times New Roman" w:cs="Times New Roman"/>
          <w:sz w:val="24"/>
          <w:szCs w:val="24"/>
          <w:lang w:val="en-US"/>
        </w:rPr>
        <w:t>+39-051</w:t>
      </w:r>
      <w:r w:rsidRPr="00747A9E">
        <w:rPr>
          <w:rFonts w:ascii="Times New Roman" w:hAnsi="Times New Roman" w:cs="Times New Roman"/>
          <w:sz w:val="24"/>
          <w:szCs w:val="24"/>
          <w:lang w:val="en-US"/>
        </w:rPr>
        <w:t>6366411</w:t>
      </w:r>
      <w:r>
        <w:rPr>
          <w:rFonts w:ascii="Times New Roman" w:hAnsi="Times New Roman" w:cs="Times New Roman"/>
          <w:sz w:val="24"/>
          <w:szCs w:val="24"/>
          <w:lang w:val="en-US"/>
        </w:rPr>
        <w:t xml:space="preserve">; </w:t>
      </w:r>
      <w:r w:rsidRPr="00747A9E">
        <w:rPr>
          <w:rFonts w:ascii="Times New Roman" w:hAnsi="Times New Roman" w:cs="Times New Roman"/>
          <w:sz w:val="24"/>
          <w:szCs w:val="24"/>
          <w:lang w:val="en-US"/>
        </w:rPr>
        <w:t xml:space="preserve">Fax </w:t>
      </w:r>
      <w:r>
        <w:rPr>
          <w:rFonts w:ascii="Times New Roman" w:hAnsi="Times New Roman" w:cs="Times New Roman"/>
          <w:sz w:val="24"/>
          <w:szCs w:val="24"/>
          <w:lang w:val="en-US"/>
        </w:rPr>
        <w:t>+39-051</w:t>
      </w:r>
      <w:r w:rsidRPr="00747A9E">
        <w:rPr>
          <w:rFonts w:ascii="Times New Roman" w:hAnsi="Times New Roman" w:cs="Times New Roman"/>
          <w:sz w:val="24"/>
          <w:szCs w:val="24"/>
          <w:lang w:val="en-US"/>
        </w:rPr>
        <w:t>6366277</w:t>
      </w:r>
      <w:r>
        <w:rPr>
          <w:rFonts w:ascii="Times New Roman" w:hAnsi="Times New Roman" w:cs="Times New Roman"/>
          <w:sz w:val="24"/>
          <w:szCs w:val="24"/>
          <w:lang w:val="en-US"/>
        </w:rPr>
        <w:t xml:space="preserve">; </w:t>
      </w:r>
      <w:r w:rsidRPr="00747A9E">
        <w:rPr>
          <w:lang w:val="en-US"/>
        </w:rPr>
        <w:t>Stefano.ferrari@ior.it</w:t>
      </w:r>
    </w:p>
    <w:p w:rsidR="00683E36" w:rsidRPr="007D2084" w:rsidRDefault="00683E36" w:rsidP="00683E36">
      <w:pPr>
        <w:pStyle w:val="Default"/>
        <w:spacing w:line="360" w:lineRule="auto"/>
        <w:jc w:val="both"/>
        <w:rPr>
          <w:lang w:val="en-US"/>
        </w:rPr>
      </w:pPr>
      <w:r w:rsidRPr="007D2084">
        <w:rPr>
          <w:b/>
          <w:bCs/>
          <w:lang w:val="en-US"/>
        </w:rPr>
        <w:t>Dr. Roberto Luksch (</w:t>
      </w:r>
      <w:r>
        <w:rPr>
          <w:b/>
          <w:bCs/>
          <w:lang w:val="en-US"/>
        </w:rPr>
        <w:t xml:space="preserve">Study period: </w:t>
      </w:r>
      <w:r w:rsidRPr="007D2084">
        <w:rPr>
          <w:b/>
          <w:bCs/>
          <w:lang w:val="en-US"/>
        </w:rPr>
        <w:t>2019</w:t>
      </w:r>
      <w:r>
        <w:rPr>
          <w:b/>
          <w:bCs/>
          <w:lang w:val="en-US"/>
        </w:rPr>
        <w:t>-</w:t>
      </w:r>
      <w:r w:rsidRPr="007D2084">
        <w:rPr>
          <w:b/>
          <w:bCs/>
          <w:lang w:val="en-US"/>
        </w:rPr>
        <w:t>)</w:t>
      </w:r>
    </w:p>
    <w:p w:rsidR="00683E36" w:rsidRPr="00747A9E" w:rsidRDefault="00683E36" w:rsidP="00683E36">
      <w:pPr>
        <w:pStyle w:val="Default"/>
        <w:spacing w:line="360" w:lineRule="auto"/>
        <w:jc w:val="both"/>
      </w:pPr>
      <w:r w:rsidRPr="00747A9E">
        <w:t xml:space="preserve">S.C. Pediatria OncologicaFondazione IRCCS Istituto Nazionale dei Tumori di Milano </w:t>
      </w:r>
    </w:p>
    <w:p w:rsidR="00683E36" w:rsidRPr="00747A9E" w:rsidRDefault="00683E36" w:rsidP="00683E36">
      <w:pPr>
        <w:pStyle w:val="Default"/>
        <w:spacing w:line="360" w:lineRule="auto"/>
        <w:jc w:val="both"/>
      </w:pPr>
      <w:r w:rsidRPr="00747A9E">
        <w:t xml:space="preserve">Via Venezian 1, 20133 Milano </w:t>
      </w:r>
    </w:p>
    <w:p w:rsidR="00683E36" w:rsidRPr="00747A9E" w:rsidRDefault="00683E36" w:rsidP="00683E36">
      <w:pPr>
        <w:pStyle w:val="Default"/>
        <w:spacing w:line="360" w:lineRule="auto"/>
        <w:jc w:val="both"/>
      </w:pPr>
      <w:r w:rsidRPr="00747A9E">
        <w:t xml:space="preserve">Tel </w:t>
      </w:r>
      <w:r>
        <w:t>+39-02</w:t>
      </w:r>
      <w:r w:rsidRPr="00747A9E">
        <w:t xml:space="preserve">23902588 </w:t>
      </w:r>
    </w:p>
    <w:p w:rsidR="00683E36" w:rsidRPr="00747A9E" w:rsidRDefault="00683E36" w:rsidP="00683E36">
      <w:pPr>
        <w:pStyle w:val="Default"/>
        <w:spacing w:line="360" w:lineRule="auto"/>
        <w:jc w:val="both"/>
      </w:pPr>
      <w:r w:rsidRPr="00747A9E">
        <w:t xml:space="preserve">Fax </w:t>
      </w:r>
      <w:r>
        <w:t>ì39 02</w:t>
      </w:r>
      <w:r w:rsidRPr="00747A9E">
        <w:t xml:space="preserve">23902588 </w:t>
      </w:r>
    </w:p>
    <w:p w:rsidR="00683E36" w:rsidRPr="007D2084" w:rsidRDefault="00CE642C" w:rsidP="00683E36">
      <w:pPr>
        <w:spacing w:line="360" w:lineRule="auto"/>
        <w:jc w:val="both"/>
        <w:rPr>
          <w:rFonts w:ascii="Times New Roman" w:hAnsi="Times New Roman" w:cs="Times New Roman"/>
          <w:sz w:val="24"/>
          <w:szCs w:val="24"/>
          <w:lang w:val="fr-FR"/>
        </w:rPr>
      </w:pPr>
      <w:hyperlink r:id="rId8" w:history="1">
        <w:r w:rsidR="00683E36" w:rsidRPr="007D2084">
          <w:rPr>
            <w:rStyle w:val="Collegamentoipertestuale"/>
            <w:rFonts w:ascii="Times New Roman" w:hAnsi="Times New Roman" w:cs="Times New Roman"/>
            <w:sz w:val="24"/>
            <w:szCs w:val="24"/>
            <w:lang w:val="fr-FR"/>
          </w:rPr>
          <w:t>roberto.luksch@istitutotumori.mi.it</w:t>
        </w:r>
      </w:hyperlink>
    </w:p>
    <w:p w:rsidR="00683E36" w:rsidRPr="007D2084" w:rsidRDefault="00683E36" w:rsidP="00683E36">
      <w:pPr>
        <w:rPr>
          <w:rFonts w:ascii="Times New Roman" w:hAnsi="Times New Roman" w:cs="Times New Roman"/>
          <w:color w:val="000000"/>
          <w:sz w:val="24"/>
          <w:szCs w:val="24"/>
          <w:lang w:val="fr-FR"/>
        </w:rPr>
      </w:pPr>
      <w:r w:rsidRPr="007D2084">
        <w:rPr>
          <w:rFonts w:ascii="Times New Roman" w:hAnsi="Times New Roman" w:cs="Times New Roman"/>
          <w:color w:val="000000"/>
          <w:sz w:val="24"/>
          <w:szCs w:val="24"/>
          <w:lang w:val="fr-FR"/>
        </w:rPr>
        <w:br w:type="page"/>
      </w:r>
    </w:p>
    <w:p w:rsidR="00683E36" w:rsidRPr="007D2084" w:rsidRDefault="00683E36" w:rsidP="00683E36">
      <w:pPr>
        <w:spacing w:line="360" w:lineRule="auto"/>
        <w:jc w:val="both"/>
        <w:rPr>
          <w:rFonts w:ascii="Times New Roman" w:hAnsi="Times New Roman" w:cs="Times New Roman"/>
          <w:color w:val="000000"/>
          <w:sz w:val="24"/>
          <w:szCs w:val="24"/>
          <w:lang w:val="fr-FR"/>
        </w:rPr>
      </w:pPr>
      <w:r w:rsidRPr="007D2084">
        <w:rPr>
          <w:rFonts w:ascii="Times New Roman" w:hAnsi="Times New Roman" w:cs="Times New Roman"/>
          <w:b/>
          <w:color w:val="000000"/>
          <w:sz w:val="24"/>
          <w:szCs w:val="24"/>
          <w:lang w:val="fr-FR"/>
        </w:rPr>
        <w:lastRenderedPageBreak/>
        <w:t>INDEX</w:t>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r>
      <w:r w:rsidRPr="007D2084">
        <w:rPr>
          <w:rFonts w:ascii="Times New Roman" w:hAnsi="Times New Roman" w:cs="Times New Roman"/>
          <w:color w:val="000000"/>
          <w:sz w:val="24"/>
          <w:szCs w:val="24"/>
          <w:lang w:val="fr-FR"/>
        </w:rPr>
        <w:tab/>
        <w:t xml:space="preserve">   …page</w:t>
      </w:r>
    </w:p>
    <w:p w:rsidR="00683E36"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LIST OF AMENDMENTS</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7</w:t>
      </w:r>
    </w:p>
    <w:p w:rsidR="00683E36" w:rsidRPr="00747A9E" w:rsidRDefault="00683E36" w:rsidP="00683E36">
      <w:pPr>
        <w:spacing w:line="360" w:lineRule="auto"/>
        <w:jc w:val="both"/>
        <w:rPr>
          <w:rFonts w:ascii="Times New Roman" w:hAnsi="Times New Roman" w:cs="Times New Roman"/>
          <w:color w:val="000000"/>
          <w:sz w:val="24"/>
          <w:szCs w:val="24"/>
          <w:lang w:val="en-US"/>
        </w:rPr>
      </w:pPr>
      <w:r>
        <w:rPr>
          <w:rFonts w:ascii="Times New Roman" w:hAnsi="Times New Roman" w:cs="Times New Roman"/>
          <w:i/>
          <w:sz w:val="24"/>
          <w:szCs w:val="24"/>
          <w:lang w:val="en-US"/>
        </w:rPr>
        <w:t xml:space="preserve">SUMMARY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sidRPr="00747A9E">
        <w:rPr>
          <w:rFonts w:ascii="Times New Roman" w:hAnsi="Times New Roman" w:cs="Times New Roman"/>
          <w:i/>
          <w:sz w:val="24"/>
          <w:szCs w:val="24"/>
          <w:lang w:val="en-US"/>
        </w:rPr>
        <w:t xml:space="preserve"> </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8</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INTRODUCTION</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9</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RATIONALE AND STUDY DESIGN</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12</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OBJECTIVES OF THE STUDY</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18</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 xml:space="preserve">PROCEDURES FOR CONDUCTING THE STUDY </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19</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Reference centers</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19</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S</w:t>
      </w:r>
      <w:r>
        <w:rPr>
          <w:rFonts w:ascii="Times New Roman" w:hAnsi="Times New Roman" w:cs="Times New Roman"/>
          <w:i/>
          <w:sz w:val="24"/>
          <w:szCs w:val="24"/>
          <w:lang w:val="en-US"/>
        </w:rPr>
        <w:t xml:space="preserve">tatistical Methods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20</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Sample size</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21</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Evaluat</w:t>
      </w:r>
      <w:r>
        <w:rPr>
          <w:rFonts w:ascii="Times New Roman" w:hAnsi="Times New Roman" w:cs="Times New Roman"/>
          <w:i/>
          <w:sz w:val="24"/>
          <w:szCs w:val="24"/>
          <w:lang w:val="en-US"/>
        </w:rPr>
        <w:t>ion of effectiveness</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21</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To</w:t>
      </w:r>
      <w:r>
        <w:rPr>
          <w:rFonts w:ascii="Times New Roman" w:hAnsi="Times New Roman" w:cs="Times New Roman"/>
          <w:i/>
          <w:sz w:val="24"/>
          <w:szCs w:val="24"/>
          <w:lang w:val="en-US"/>
        </w:rPr>
        <w:t xml:space="preserve">xicity assessment: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22</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Data collection and study monitoring</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22</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Audits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24</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 xml:space="preserve">Adverse events and reporting methods </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24</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Co</w:t>
      </w:r>
      <w:r>
        <w:rPr>
          <w:rFonts w:ascii="Times New Roman" w:hAnsi="Times New Roman" w:cs="Times New Roman"/>
          <w:i/>
          <w:sz w:val="24"/>
          <w:szCs w:val="24"/>
          <w:lang w:val="en-US"/>
        </w:rPr>
        <w:t>ordination Committee</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25</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Independent Committee fo</w:t>
      </w:r>
      <w:r>
        <w:rPr>
          <w:rFonts w:ascii="Times New Roman" w:hAnsi="Times New Roman" w:cs="Times New Roman"/>
          <w:i/>
          <w:sz w:val="24"/>
          <w:szCs w:val="24"/>
          <w:lang w:val="en-US"/>
        </w:rPr>
        <w:t xml:space="preserve">r monitoring the study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25</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 xml:space="preserve">PATIENT SELECTION </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27</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DIAGNOSTIC FRAMEWORK AND FOLLOW UP</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28</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CHEMOTHERAPY</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31</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Administration of </w:t>
      </w:r>
      <w:r w:rsidRPr="00747A9E">
        <w:rPr>
          <w:rFonts w:ascii="Times New Roman" w:hAnsi="Times New Roman" w:cs="Times New Roman"/>
          <w:i/>
          <w:sz w:val="24"/>
          <w:szCs w:val="24"/>
          <w:lang w:val="en-US"/>
        </w:rPr>
        <w:t>drugs</w:t>
      </w:r>
      <w:r>
        <w:rPr>
          <w:rFonts w:ascii="Times New Roman" w:hAnsi="Times New Roman" w:cs="Times New Roman"/>
          <w:i/>
          <w:sz w:val="24"/>
          <w:szCs w:val="24"/>
          <w:lang w:val="en-US"/>
        </w:rPr>
        <w:tab/>
      </w:r>
      <w:r>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34</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INFORMATION SHEET (ADULTS</w:t>
      </w:r>
      <w:r w:rsidRPr="00747A9E">
        <w:rPr>
          <w:rFonts w:ascii="Times New Roman" w:hAnsi="Times New Roman" w:cs="Times New Roman"/>
          <w:i/>
          <w:sz w:val="24"/>
          <w:szCs w:val="24"/>
          <w:lang w:val="en-US"/>
        </w:rPr>
        <w:tab/>
        <w:t>)</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44</w:t>
      </w:r>
    </w:p>
    <w:p w:rsidR="00683E36"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INFORM</w:t>
      </w:r>
      <w:r>
        <w:rPr>
          <w:rFonts w:ascii="Times New Roman" w:hAnsi="Times New Roman" w:cs="Times New Roman"/>
          <w:i/>
          <w:sz w:val="24"/>
          <w:szCs w:val="24"/>
          <w:lang w:val="en-US"/>
        </w:rPr>
        <w:t xml:space="preserve">ATION SHEET (MINORS) </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52</w:t>
      </w:r>
    </w:p>
    <w:p w:rsidR="00683E36" w:rsidRPr="00BF6E38" w:rsidRDefault="00683E36" w:rsidP="00683E36">
      <w:pPr>
        <w:spacing w:line="360" w:lineRule="auto"/>
        <w:jc w:val="both"/>
        <w:rPr>
          <w:rFonts w:ascii="Times New Roman" w:hAnsi="Times New Roman" w:cs="Times New Roman"/>
          <w:i/>
          <w:sz w:val="24"/>
          <w:szCs w:val="24"/>
          <w:lang w:val="en-US"/>
        </w:rPr>
      </w:pPr>
      <w:r w:rsidRPr="00BF6E38">
        <w:rPr>
          <w:rFonts w:ascii="Times New Roman" w:hAnsi="Times New Roman" w:cs="Times New Roman"/>
          <w:i/>
          <w:sz w:val="24"/>
          <w:szCs w:val="24"/>
          <w:lang w:val="en-US"/>
        </w:rPr>
        <w:t>INFORMATION</w:t>
      </w:r>
      <w:r>
        <w:rPr>
          <w:rFonts w:ascii="Times New Roman" w:hAnsi="Times New Roman" w:cs="Times New Roman"/>
          <w:i/>
          <w:sz w:val="24"/>
          <w:szCs w:val="24"/>
          <w:lang w:val="en-US"/>
        </w:rPr>
        <w:t>S</w:t>
      </w:r>
      <w:r w:rsidRPr="00BF6E38">
        <w:rPr>
          <w:rFonts w:ascii="Times New Roman" w:hAnsi="Times New Roman" w:cs="Times New Roman"/>
          <w:i/>
          <w:sz w:val="24"/>
          <w:szCs w:val="24"/>
          <w:lang w:val="en-US"/>
        </w:rPr>
        <w:t xml:space="preserve">  FOR THE GENERAL PRACTITIONER</w:t>
      </w:r>
      <w:r w:rsidRPr="00BF6E38">
        <w:rPr>
          <w:rFonts w:ascii="Times New Roman" w:hAnsi="Times New Roman" w:cs="Times New Roman"/>
          <w:i/>
          <w:sz w:val="24"/>
          <w:szCs w:val="24"/>
          <w:lang w:val="en-US"/>
        </w:rPr>
        <w:tab/>
      </w:r>
      <w:r w:rsidRPr="00BF6E38">
        <w:rPr>
          <w:rFonts w:ascii="Times New Roman" w:hAnsi="Times New Roman" w:cs="Times New Roman"/>
          <w:i/>
          <w:sz w:val="24"/>
          <w:szCs w:val="24"/>
          <w:lang w:val="en-US"/>
        </w:rPr>
        <w:tab/>
      </w:r>
      <w:r w:rsidRPr="00BF6E38">
        <w:rPr>
          <w:rFonts w:ascii="Times New Roman" w:hAnsi="Times New Roman" w:cs="Times New Roman"/>
          <w:i/>
          <w:sz w:val="24"/>
          <w:szCs w:val="24"/>
          <w:lang w:val="en-US"/>
        </w:rPr>
        <w:tab/>
      </w:r>
      <w:r w:rsidRPr="00BF6E38">
        <w:rPr>
          <w:rFonts w:ascii="Times New Roman" w:hAnsi="Times New Roman" w:cs="Times New Roman"/>
          <w:i/>
          <w:sz w:val="24"/>
          <w:szCs w:val="24"/>
          <w:lang w:val="en-US"/>
        </w:rPr>
        <w:tab/>
      </w:r>
      <w:r w:rsidRPr="00BF6E38">
        <w:rPr>
          <w:rFonts w:ascii="Times New Roman" w:hAnsi="Times New Roman" w:cs="Times New Roman"/>
          <w:i/>
          <w:sz w:val="24"/>
          <w:szCs w:val="24"/>
          <w:lang w:val="en-US"/>
        </w:rPr>
        <w:tab/>
      </w:r>
      <w:r>
        <w:rPr>
          <w:rFonts w:ascii="Times New Roman" w:hAnsi="Times New Roman" w:cs="Times New Roman"/>
          <w:i/>
          <w:sz w:val="24"/>
          <w:szCs w:val="24"/>
          <w:lang w:val="en-US"/>
        </w:rPr>
        <w:tab/>
        <w:t>61</w:t>
      </w:r>
    </w:p>
    <w:p w:rsidR="00683E36"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INFORMAT</w:t>
      </w:r>
      <w:r>
        <w:rPr>
          <w:rFonts w:ascii="Times New Roman" w:hAnsi="Times New Roman" w:cs="Times New Roman"/>
          <w:i/>
          <w:sz w:val="24"/>
          <w:szCs w:val="24"/>
          <w:lang w:val="en-US"/>
        </w:rPr>
        <w:t>ION SHEET FOR ADOLESCENT</w:t>
      </w:r>
      <w:r w:rsidRPr="00747A9E">
        <w:rPr>
          <w:rFonts w:ascii="Times New Roman" w:hAnsi="Times New Roman" w:cs="Times New Roman"/>
          <w:i/>
          <w:sz w:val="24"/>
          <w:szCs w:val="24"/>
          <w:lang w:val="en-US"/>
        </w:rPr>
        <w:t xml:space="preserve">S </w:t>
      </w:r>
      <w:r>
        <w:rPr>
          <w:rFonts w:ascii="Times New Roman" w:hAnsi="Times New Roman" w:cs="Times New Roman"/>
          <w:i/>
          <w:sz w:val="24"/>
          <w:szCs w:val="24"/>
          <w:lang w:val="en-US"/>
        </w:rPr>
        <w:t>&lt;18 years</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62</w:t>
      </w:r>
    </w:p>
    <w:p w:rsidR="00683E36" w:rsidRPr="00747A9E" w:rsidRDefault="00683E36" w:rsidP="00683E36">
      <w:pPr>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lastRenderedPageBreak/>
        <w:t>RANDOMIZATION FORMS</w:t>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69</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GUIDELINES FOR THE HISTOPATHOLOGICAL DIAGNOSIS OF EWING'S SARCOMA</w:t>
      </w:r>
      <w:r>
        <w:rPr>
          <w:rFonts w:ascii="Times New Roman" w:hAnsi="Times New Roman" w:cs="Times New Roman"/>
          <w:i/>
          <w:sz w:val="24"/>
          <w:szCs w:val="24"/>
          <w:lang w:val="en-US"/>
        </w:rPr>
        <w:tab/>
        <w:t>70</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RADIOTHERAPY</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r>
      <w:r>
        <w:rPr>
          <w:rFonts w:ascii="Times New Roman" w:hAnsi="Times New Roman" w:cs="Times New Roman"/>
          <w:i/>
          <w:sz w:val="24"/>
          <w:szCs w:val="24"/>
          <w:lang w:val="en-US"/>
        </w:rPr>
        <w:tab/>
        <w:t>73</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 xml:space="preserve">GUIDELINE FOR THE ORTHOPEDIC SURGEON IN THE TREATMENT OF EWING'S SARCOMA </w:t>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sidRPr="00747A9E">
        <w:rPr>
          <w:rFonts w:ascii="Times New Roman" w:hAnsi="Times New Roman" w:cs="Times New Roman"/>
          <w:i/>
          <w:sz w:val="24"/>
          <w:szCs w:val="24"/>
          <w:lang w:val="en-US"/>
        </w:rPr>
        <w:tab/>
      </w:r>
      <w:r>
        <w:rPr>
          <w:rFonts w:ascii="Times New Roman" w:hAnsi="Times New Roman" w:cs="Times New Roman"/>
          <w:i/>
          <w:sz w:val="24"/>
          <w:szCs w:val="24"/>
          <w:lang w:val="en-US"/>
        </w:rPr>
        <w:tab/>
        <w:t>76</w:t>
      </w:r>
      <w:r w:rsidRPr="00747A9E">
        <w:rPr>
          <w:rFonts w:ascii="Times New Roman" w:hAnsi="Times New Roman" w:cs="Times New Roman"/>
          <w:i/>
          <w:sz w:val="24"/>
          <w:szCs w:val="24"/>
          <w:lang w:val="en-US"/>
        </w:rPr>
        <w:br w:type="page"/>
      </w:r>
    </w:p>
    <w:p w:rsidR="00683E36" w:rsidRPr="00747A9E" w:rsidRDefault="00683E36" w:rsidP="00683E36">
      <w:pPr>
        <w:pStyle w:val="Default"/>
        <w:spacing w:line="360" w:lineRule="auto"/>
        <w:jc w:val="both"/>
        <w:rPr>
          <w:i/>
          <w:lang w:val="en-US"/>
        </w:rPr>
      </w:pPr>
      <w:r w:rsidRPr="00747A9E">
        <w:rPr>
          <w:i/>
          <w:lang w:val="en-US"/>
        </w:rPr>
        <w:lastRenderedPageBreak/>
        <w:t>The protocol was developed by the following working group:</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pPr>
      <w:r w:rsidRPr="00747A9E">
        <w:t xml:space="preserve">Dott. Stefano Ferrari, Sezione di Chemioterapia dei Tumori dell' Apparato Locomotore Istituti </w:t>
      </w:r>
    </w:p>
    <w:p w:rsidR="00683E36" w:rsidRPr="00747A9E" w:rsidRDefault="00683E36" w:rsidP="00683E36">
      <w:pPr>
        <w:pStyle w:val="Default"/>
        <w:spacing w:line="360" w:lineRule="auto"/>
        <w:jc w:val="both"/>
      </w:pPr>
      <w:r w:rsidRPr="00747A9E">
        <w:t xml:space="preserve">Ortopedici Rizzoli, Bologna. Responsabile del Comitato Sarcoma di Ewing dell’ Italian Sarcoma Group </w:t>
      </w:r>
    </w:p>
    <w:p w:rsidR="00683E36" w:rsidRPr="00747A9E" w:rsidRDefault="00683E36" w:rsidP="00683E36">
      <w:pPr>
        <w:pStyle w:val="Default"/>
        <w:spacing w:line="360" w:lineRule="auto"/>
        <w:jc w:val="both"/>
      </w:pPr>
      <w:r w:rsidRPr="00747A9E">
        <w:t xml:space="preserve">Dott. Roberto Luksch, Divisione di Oncoematoogia Pediatrica Fondazione IRCCS Istituto </w:t>
      </w:r>
    </w:p>
    <w:p w:rsidR="00683E36" w:rsidRPr="00747A9E" w:rsidRDefault="00683E36" w:rsidP="00683E36">
      <w:pPr>
        <w:pStyle w:val="Default"/>
        <w:spacing w:line="360" w:lineRule="auto"/>
        <w:jc w:val="both"/>
      </w:pPr>
      <w:r w:rsidRPr="00747A9E">
        <w:t xml:space="preserve">Nazionale dei Tumori, Milano. Responsabile del CSS sarcomi ossei dell’ Associazione Italiana di Ematologia e Oncologia Pediatrica </w:t>
      </w:r>
    </w:p>
    <w:p w:rsidR="00683E36" w:rsidRPr="00747A9E" w:rsidRDefault="00683E36" w:rsidP="00683E36">
      <w:pPr>
        <w:pStyle w:val="Default"/>
        <w:spacing w:line="360" w:lineRule="auto"/>
        <w:jc w:val="both"/>
      </w:pPr>
      <w:r w:rsidRPr="00747A9E">
        <w:t xml:space="preserve">Dott.ssa Franca Fossati Bellani, Divisione di Oncoematologia Pediatrica Fondazione IRCCS Istituto Nazionale dei Tumori, Milano </w:t>
      </w:r>
    </w:p>
    <w:p w:rsidR="00683E36" w:rsidRPr="00747A9E" w:rsidRDefault="00683E36" w:rsidP="00683E36">
      <w:pPr>
        <w:pStyle w:val="Default"/>
        <w:spacing w:line="360" w:lineRule="auto"/>
        <w:jc w:val="both"/>
      </w:pPr>
      <w:r w:rsidRPr="00747A9E">
        <w:t xml:space="preserve">Dott. Adalberto Brach del Prever, Divisione di Oncoematoogia Pediatrica -Azienda Ospedaliera O.I.R.M.-S. Anna. Torino. </w:t>
      </w:r>
    </w:p>
    <w:p w:rsidR="00683E36" w:rsidRPr="00747A9E" w:rsidRDefault="00683E36" w:rsidP="00683E36">
      <w:pPr>
        <w:pStyle w:val="Default"/>
        <w:spacing w:line="360" w:lineRule="auto"/>
        <w:jc w:val="both"/>
      </w:pPr>
      <w:r w:rsidRPr="00747A9E">
        <w:t xml:space="preserve">Dott.ssa Franca Fagioli, Divisione di Oncoematologia Pediatrica -Azienda Ospedaliera O.I.R.M.-S. </w:t>
      </w:r>
    </w:p>
    <w:p w:rsidR="00683E36" w:rsidRPr="00747A9E" w:rsidRDefault="00683E36" w:rsidP="00683E36">
      <w:pPr>
        <w:pStyle w:val="Default"/>
        <w:spacing w:line="360" w:lineRule="auto"/>
        <w:jc w:val="both"/>
      </w:pPr>
      <w:r w:rsidRPr="00747A9E">
        <w:t xml:space="preserve">Anna. Torino </w:t>
      </w:r>
    </w:p>
    <w:p w:rsidR="00683E36" w:rsidRPr="00747A9E" w:rsidRDefault="00683E36" w:rsidP="00683E36">
      <w:pPr>
        <w:pStyle w:val="Default"/>
        <w:spacing w:line="360" w:lineRule="auto"/>
        <w:jc w:val="both"/>
      </w:pPr>
      <w:r w:rsidRPr="00747A9E">
        <w:t xml:space="preserve">Prof.ssa Gabriella Bernini, Dipartimento di Oncoematologia Pediatrica e Cure domiciliari Azienda Ospedaliera Universitaria A. Meyer, Firenze. </w:t>
      </w:r>
    </w:p>
    <w:p w:rsidR="00683E36" w:rsidRPr="00747A9E" w:rsidRDefault="00683E36" w:rsidP="00683E36">
      <w:pPr>
        <w:pStyle w:val="Default"/>
        <w:spacing w:line="360" w:lineRule="auto"/>
        <w:jc w:val="both"/>
      </w:pPr>
      <w:r w:rsidRPr="00747A9E">
        <w:t xml:space="preserve">Dott.ssa Angela Tamburini, Dipartimento di Oncoematologia Pediatrica e Cure domiciliari Azienda Ospedaliera Universitaria A. Meyer, Firenze. </w:t>
      </w:r>
    </w:p>
    <w:p w:rsidR="00683E36" w:rsidRPr="00747A9E" w:rsidRDefault="00683E36" w:rsidP="00683E36">
      <w:pPr>
        <w:pStyle w:val="Default"/>
        <w:spacing w:line="360" w:lineRule="auto"/>
        <w:jc w:val="both"/>
      </w:pPr>
      <w:r w:rsidRPr="00747A9E">
        <w:t xml:space="preserve">Dott. Paolo Casali, Unità Sarcomi, Fondazione IRCCS Istituto Nazionale dei Tumori, Milano </w:t>
      </w:r>
    </w:p>
    <w:p w:rsidR="00683E36" w:rsidRPr="00747A9E" w:rsidRDefault="00683E36" w:rsidP="00683E36">
      <w:pPr>
        <w:pStyle w:val="Default"/>
        <w:spacing w:line="360" w:lineRule="auto"/>
        <w:jc w:val="both"/>
      </w:pPr>
      <w:r w:rsidRPr="00747A9E">
        <w:t xml:space="preserve">Dott.ssa Amelia Tienghi, Dipartimento di Oncoematologia, Azienda Ospedaliera S. Maria delle Croci, Ravenna </w:t>
      </w:r>
    </w:p>
    <w:p w:rsidR="00683E36" w:rsidRPr="00747A9E" w:rsidRDefault="00683E36" w:rsidP="00683E36">
      <w:pPr>
        <w:pStyle w:val="Default"/>
        <w:spacing w:line="360" w:lineRule="auto"/>
        <w:jc w:val="both"/>
      </w:pPr>
      <w:r w:rsidRPr="00747A9E">
        <w:t xml:space="preserve">Dott. Massimo Eraldo Abate, Sezione di Chemioterapia dei Tumori dell' Apparato Locomotore Istituti Ortopedici Rizzoli, Bologna. </w:t>
      </w:r>
    </w:p>
    <w:p w:rsidR="00683E36" w:rsidRPr="00747A9E" w:rsidRDefault="00683E36" w:rsidP="00683E36">
      <w:pPr>
        <w:pStyle w:val="Default"/>
        <w:spacing w:line="360" w:lineRule="auto"/>
        <w:jc w:val="both"/>
      </w:pPr>
      <w:r w:rsidRPr="00747A9E">
        <w:t xml:space="preserve">Dott. Arcangelo Prete, Divisione di Oncoematologia Pediatrica, Ospedale S. Orsola, Bologna Prof. Modesto Carli, Università di Padova, Divisione di Oncoematologia Pediatrica, Padova. </w:t>
      </w:r>
    </w:p>
    <w:p w:rsidR="00683E36" w:rsidRPr="00747A9E" w:rsidRDefault="00683E36" w:rsidP="00683E36">
      <w:pPr>
        <w:pStyle w:val="Default"/>
        <w:spacing w:line="360" w:lineRule="auto"/>
        <w:jc w:val="both"/>
      </w:pPr>
      <w:r w:rsidRPr="00747A9E">
        <w:t xml:space="preserve">Dott. Gianni Bisogno Università di Padova, Divisione di Oncoematologia Pediatrica, Padova. </w:t>
      </w:r>
    </w:p>
    <w:p w:rsidR="00683E36" w:rsidRPr="00747A9E" w:rsidRDefault="00683E36" w:rsidP="00683E36">
      <w:pPr>
        <w:pStyle w:val="Default"/>
        <w:spacing w:line="360" w:lineRule="auto"/>
        <w:jc w:val="both"/>
      </w:pPr>
      <w:r w:rsidRPr="00747A9E">
        <w:t xml:space="preserve">Prof Mario Mercuri, Università di Bologna, V Divisione Istituto Ortopedico Rizzoli, Bologna Dott. Rodolfo Capanna, Reparto di Ortopedia Oncologica AOU Careggi-Firenze </w:t>
      </w:r>
    </w:p>
    <w:p w:rsidR="00683E36" w:rsidRPr="00747A9E" w:rsidRDefault="00683E36" w:rsidP="00683E36">
      <w:pPr>
        <w:pStyle w:val="Default"/>
        <w:spacing w:line="360" w:lineRule="auto"/>
        <w:jc w:val="both"/>
      </w:pPr>
      <w:r w:rsidRPr="00747A9E">
        <w:t xml:space="preserve">Dott. Sergio Mapelli Centro di Chirurgia Ortopedica Oncologica Istituto Gaetano Pini, Milano </w:t>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Prof. Enza Barbieri, Università di Bologna. Divisione di Radioterapia, Ospedale S. Orsola Bologna. Dott.ssa Lorenza Gandola, Divisione di Radioterapia Fondazione IRCCS Istituto Nazionale dei Tumori, Milano</w:t>
      </w:r>
    </w:p>
    <w:p w:rsidR="00683E36" w:rsidRPr="00747A9E" w:rsidRDefault="00683E36" w:rsidP="00683E36">
      <w:pPr>
        <w:pStyle w:val="Default"/>
        <w:spacing w:line="360" w:lineRule="auto"/>
        <w:jc w:val="both"/>
      </w:pPr>
      <w:r w:rsidRPr="00747A9E">
        <w:t xml:space="preserve">Epidemiologo e Biostatistico: Dott.ssa S. Sottili, Dirigente statistico, Ricerca e Innovazione Azienda Ospedaliera S. Orsola-Malpighi, Bologna. </w:t>
      </w:r>
    </w:p>
    <w:p w:rsidR="00683E36" w:rsidRPr="00DD4695" w:rsidRDefault="00683E36" w:rsidP="00683E36">
      <w:pPr>
        <w:spacing w:line="360" w:lineRule="auto"/>
        <w:jc w:val="both"/>
        <w:rPr>
          <w:rFonts w:ascii="Times New Roman" w:hAnsi="Times New Roman" w:cs="Times New Roman"/>
          <w:i/>
          <w:sz w:val="24"/>
          <w:szCs w:val="24"/>
          <w:lang w:val="en-US"/>
        </w:rPr>
      </w:pPr>
      <w:r w:rsidRPr="00DD4695">
        <w:rPr>
          <w:rFonts w:ascii="Times New Roman" w:hAnsi="Times New Roman" w:cs="Times New Roman"/>
          <w:i/>
          <w:sz w:val="24"/>
          <w:szCs w:val="24"/>
          <w:lang w:val="en-US"/>
        </w:rPr>
        <w:lastRenderedPageBreak/>
        <w:t>ISG/EW-1 is a study protocol and should not be construed as a clinical guideline or recommendation for the treatment of patients with Ewing sarcoma</w:t>
      </w:r>
    </w:p>
    <w:p w:rsidR="00683E36" w:rsidRDefault="00683E36" w:rsidP="00683E36">
      <w:pPr>
        <w:rPr>
          <w:rFonts w:ascii="Times New Roman" w:hAnsi="Times New Roman" w:cs="Times New Roman"/>
          <w:b/>
          <w:bCs/>
          <w:i/>
          <w:sz w:val="24"/>
          <w:szCs w:val="24"/>
          <w:lang w:val="en-US"/>
        </w:rPr>
      </w:pPr>
      <w:r>
        <w:rPr>
          <w:rFonts w:ascii="Times New Roman" w:hAnsi="Times New Roman" w:cs="Times New Roman"/>
          <w:b/>
          <w:bCs/>
          <w:i/>
          <w:sz w:val="24"/>
          <w:szCs w:val="24"/>
          <w:lang w:val="en-US"/>
        </w:rPr>
        <w:br w:type="page"/>
      </w:r>
    </w:p>
    <w:p w:rsidR="00683E36" w:rsidRPr="00DD4695" w:rsidRDefault="00683E36" w:rsidP="00683E36">
      <w:pPr>
        <w:spacing w:line="360" w:lineRule="auto"/>
        <w:jc w:val="both"/>
        <w:rPr>
          <w:rFonts w:ascii="Times New Roman" w:hAnsi="Times New Roman" w:cs="Times New Roman"/>
          <w:i/>
          <w:sz w:val="24"/>
          <w:szCs w:val="24"/>
          <w:lang w:val="en-US"/>
        </w:rPr>
      </w:pPr>
      <w:r w:rsidRPr="00DD4695">
        <w:rPr>
          <w:rFonts w:ascii="Times New Roman" w:hAnsi="Times New Roman" w:cs="Times New Roman"/>
          <w:b/>
          <w:bCs/>
          <w:i/>
          <w:sz w:val="24"/>
          <w:szCs w:val="24"/>
          <w:lang w:val="en-US"/>
        </w:rPr>
        <w:lastRenderedPageBreak/>
        <w:t>This study is open to the collaboration o</w:t>
      </w:r>
      <w:r>
        <w:rPr>
          <w:rFonts w:ascii="Times New Roman" w:hAnsi="Times New Roman" w:cs="Times New Roman"/>
          <w:b/>
          <w:bCs/>
          <w:i/>
          <w:sz w:val="24"/>
          <w:szCs w:val="24"/>
          <w:lang w:val="en-US"/>
        </w:rPr>
        <w:t xml:space="preserve">f those who wish to participate; </w:t>
      </w:r>
      <w:r w:rsidRPr="00DD4695">
        <w:rPr>
          <w:rFonts w:ascii="Times New Roman" w:hAnsi="Times New Roman" w:cs="Times New Roman"/>
          <w:b/>
          <w:bCs/>
          <w:i/>
          <w:sz w:val="24"/>
          <w:szCs w:val="24"/>
          <w:lang w:val="en-US"/>
        </w:rPr>
        <w:t xml:space="preserve"> however, given the rarity and peculiarities connected to this rare pathology, reference centers are indicated for patients in the protocol.</w:t>
      </w:r>
    </w:p>
    <w:p w:rsidR="00683E36" w:rsidRPr="00747A9E" w:rsidRDefault="00683E36" w:rsidP="00683E36">
      <w:pPr>
        <w:pStyle w:val="Default"/>
        <w:spacing w:line="360" w:lineRule="auto"/>
        <w:jc w:val="both"/>
        <w:rPr>
          <w:b/>
          <w:bCs/>
          <w:lang w:val="en-US"/>
        </w:rPr>
      </w:pPr>
    </w:p>
    <w:p w:rsidR="00683E36" w:rsidRPr="00DD4695" w:rsidRDefault="00683E36" w:rsidP="00683E36">
      <w:pPr>
        <w:pStyle w:val="Default"/>
        <w:spacing w:line="360" w:lineRule="auto"/>
        <w:jc w:val="both"/>
        <w:rPr>
          <w:b/>
          <w:bCs/>
          <w:i/>
          <w:lang w:val="en-US"/>
        </w:rPr>
      </w:pPr>
      <w:r w:rsidRPr="00DD4695">
        <w:rPr>
          <w:b/>
          <w:bCs/>
          <w:i/>
          <w:lang w:val="en-US"/>
        </w:rPr>
        <w:t>Patients must be referred to the reference centers for the diagnosis and histopathological response, the evaluation of the clinical radiographic response and the definition of the local control strategy.</w:t>
      </w:r>
    </w:p>
    <w:p w:rsidR="00683E36" w:rsidRPr="00747A9E" w:rsidRDefault="00683E36" w:rsidP="00683E36">
      <w:pPr>
        <w:pStyle w:val="Default"/>
        <w:spacing w:line="360" w:lineRule="auto"/>
        <w:jc w:val="both"/>
        <w:rPr>
          <w:b/>
          <w:bCs/>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br w:type="page"/>
      </w:r>
    </w:p>
    <w:tbl>
      <w:tblPr>
        <w:tblW w:w="102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6"/>
        <w:gridCol w:w="1332"/>
        <w:gridCol w:w="1555"/>
        <w:gridCol w:w="1554"/>
        <w:gridCol w:w="1554"/>
        <w:gridCol w:w="2510"/>
      </w:tblGrid>
      <w:tr w:rsidR="00683E36" w:rsidRPr="00747A9E" w:rsidTr="00275473">
        <w:trPr>
          <w:trHeight w:val="1559"/>
        </w:trPr>
        <w:tc>
          <w:tcPr>
            <w:tcW w:w="1776" w:type="dxa"/>
          </w:tcPr>
          <w:p w:rsidR="00683E36" w:rsidRPr="00E564AA" w:rsidRDefault="00683E36" w:rsidP="00275473">
            <w:pPr>
              <w:pStyle w:val="Default"/>
              <w:spacing w:line="360" w:lineRule="auto"/>
              <w:jc w:val="both"/>
              <w:rPr>
                <w:sz w:val="20"/>
                <w:szCs w:val="20"/>
                <w:lang w:val="en-US"/>
              </w:rPr>
            </w:pPr>
            <w:r w:rsidRPr="00E564AA">
              <w:rPr>
                <w:sz w:val="20"/>
                <w:szCs w:val="20"/>
                <w:lang w:val="en-US"/>
              </w:rPr>
              <w:lastRenderedPageBreak/>
              <w:t>LIST OF CHANGES INTRODUCED WITH THE AMENDMENT</w:t>
            </w:r>
            <w:r>
              <w:rPr>
                <w:sz w:val="20"/>
                <w:szCs w:val="20"/>
                <w:lang w:val="en-US"/>
              </w:rPr>
              <w:t>S</w:t>
            </w:r>
          </w:p>
        </w:tc>
        <w:tc>
          <w:tcPr>
            <w:tcW w:w="1332" w:type="dxa"/>
          </w:tcPr>
          <w:p w:rsidR="00683E36" w:rsidRPr="00E564AA" w:rsidRDefault="00683E36" w:rsidP="00275473">
            <w:pPr>
              <w:pStyle w:val="Default"/>
              <w:spacing w:line="360" w:lineRule="auto"/>
              <w:jc w:val="both"/>
              <w:rPr>
                <w:sz w:val="20"/>
                <w:szCs w:val="20"/>
              </w:rPr>
            </w:pPr>
            <w:r w:rsidRPr="00E564AA">
              <w:rPr>
                <w:sz w:val="20"/>
                <w:szCs w:val="20"/>
              </w:rPr>
              <w:t xml:space="preserve">Date </w:t>
            </w:r>
          </w:p>
        </w:tc>
        <w:tc>
          <w:tcPr>
            <w:tcW w:w="1555" w:type="dxa"/>
          </w:tcPr>
          <w:p w:rsidR="00683E36" w:rsidRPr="00E564AA" w:rsidRDefault="00683E36" w:rsidP="00275473">
            <w:pPr>
              <w:pStyle w:val="Default"/>
              <w:spacing w:line="360" w:lineRule="auto"/>
              <w:jc w:val="both"/>
              <w:rPr>
                <w:sz w:val="20"/>
                <w:szCs w:val="20"/>
              </w:rPr>
            </w:pPr>
            <w:r w:rsidRPr="00E564AA">
              <w:rPr>
                <w:sz w:val="20"/>
                <w:szCs w:val="20"/>
              </w:rPr>
              <w:t>Type of amendment</w:t>
            </w:r>
          </w:p>
          <w:p w:rsidR="00683E36" w:rsidRPr="00E564AA" w:rsidRDefault="00683E36" w:rsidP="00275473">
            <w:pPr>
              <w:pStyle w:val="Default"/>
              <w:spacing w:line="360" w:lineRule="auto"/>
              <w:jc w:val="both"/>
              <w:rPr>
                <w:sz w:val="20"/>
                <w:szCs w:val="20"/>
                <w:lang w:val="en-US"/>
              </w:rPr>
            </w:pPr>
          </w:p>
        </w:tc>
        <w:tc>
          <w:tcPr>
            <w:tcW w:w="1554" w:type="dxa"/>
          </w:tcPr>
          <w:p w:rsidR="00683E36" w:rsidRPr="00E564AA" w:rsidRDefault="00683E36" w:rsidP="00275473">
            <w:pPr>
              <w:pStyle w:val="Default"/>
              <w:spacing w:line="360" w:lineRule="auto"/>
              <w:jc w:val="both"/>
              <w:rPr>
                <w:sz w:val="20"/>
                <w:szCs w:val="20"/>
              </w:rPr>
            </w:pPr>
            <w:r w:rsidRPr="00E564AA">
              <w:rPr>
                <w:sz w:val="20"/>
                <w:szCs w:val="20"/>
              </w:rPr>
              <w:t>Version of the protocol:</w:t>
            </w:r>
          </w:p>
          <w:p w:rsidR="00683E36" w:rsidRPr="00E564AA" w:rsidRDefault="00683E36" w:rsidP="00275473">
            <w:pPr>
              <w:pStyle w:val="Default"/>
              <w:spacing w:line="360" w:lineRule="auto"/>
              <w:jc w:val="both"/>
              <w:rPr>
                <w:sz w:val="20"/>
                <w:szCs w:val="20"/>
              </w:rPr>
            </w:pPr>
            <w:r w:rsidRPr="00E564AA">
              <w:rPr>
                <w:sz w:val="20"/>
                <w:szCs w:val="20"/>
              </w:rPr>
              <w:t xml:space="preserve"> </w:t>
            </w:r>
          </w:p>
        </w:tc>
        <w:tc>
          <w:tcPr>
            <w:tcW w:w="1554" w:type="dxa"/>
          </w:tcPr>
          <w:p w:rsidR="00683E36" w:rsidRPr="00E564AA" w:rsidRDefault="00683E36" w:rsidP="00275473">
            <w:pPr>
              <w:pStyle w:val="Default"/>
              <w:spacing w:line="360" w:lineRule="auto"/>
              <w:jc w:val="both"/>
              <w:rPr>
                <w:sz w:val="20"/>
                <w:szCs w:val="20"/>
              </w:rPr>
            </w:pPr>
            <w:r w:rsidRPr="00E564AA">
              <w:rPr>
                <w:sz w:val="20"/>
                <w:szCs w:val="20"/>
              </w:rPr>
              <w:t xml:space="preserve">Summary of the amendment </w:t>
            </w:r>
          </w:p>
          <w:p w:rsidR="00683E36" w:rsidRPr="00E564AA" w:rsidRDefault="00683E36" w:rsidP="00275473">
            <w:pPr>
              <w:pStyle w:val="Default"/>
              <w:spacing w:line="360" w:lineRule="auto"/>
              <w:jc w:val="both"/>
              <w:rPr>
                <w:sz w:val="20"/>
                <w:szCs w:val="20"/>
                <w:lang w:val="en-US"/>
              </w:rPr>
            </w:pPr>
          </w:p>
        </w:tc>
        <w:tc>
          <w:tcPr>
            <w:tcW w:w="2510" w:type="dxa"/>
          </w:tcPr>
          <w:p w:rsidR="00683E36" w:rsidRPr="00E564AA" w:rsidRDefault="00683E36" w:rsidP="00275473">
            <w:pPr>
              <w:pStyle w:val="Default"/>
              <w:spacing w:line="360" w:lineRule="auto"/>
              <w:jc w:val="both"/>
              <w:rPr>
                <w:sz w:val="20"/>
                <w:szCs w:val="20"/>
              </w:rPr>
            </w:pPr>
            <w:r w:rsidRPr="00E564AA">
              <w:rPr>
                <w:sz w:val="20"/>
                <w:szCs w:val="20"/>
              </w:rPr>
              <w:t xml:space="preserve">Page </w:t>
            </w:r>
          </w:p>
        </w:tc>
      </w:tr>
      <w:tr w:rsidR="00683E36" w:rsidRPr="00E564AA" w:rsidTr="00275473">
        <w:trPr>
          <w:trHeight w:val="711"/>
        </w:trPr>
        <w:tc>
          <w:tcPr>
            <w:tcW w:w="1776" w:type="dxa"/>
          </w:tcPr>
          <w:p w:rsidR="00683E36" w:rsidRPr="00E564AA" w:rsidRDefault="00683E36" w:rsidP="00275473">
            <w:pPr>
              <w:pStyle w:val="Default"/>
              <w:spacing w:line="360" w:lineRule="auto"/>
              <w:jc w:val="both"/>
              <w:rPr>
                <w:sz w:val="20"/>
                <w:szCs w:val="20"/>
              </w:rPr>
            </w:pPr>
            <w:r>
              <w:rPr>
                <w:sz w:val="20"/>
                <w:szCs w:val="20"/>
              </w:rPr>
              <w:t>1</w:t>
            </w:r>
          </w:p>
        </w:tc>
        <w:tc>
          <w:tcPr>
            <w:tcW w:w="1332" w:type="dxa"/>
          </w:tcPr>
          <w:p w:rsidR="00683E36" w:rsidRPr="00E564AA" w:rsidRDefault="00683E36" w:rsidP="00275473">
            <w:pPr>
              <w:pStyle w:val="Default"/>
              <w:spacing w:line="360" w:lineRule="auto"/>
              <w:jc w:val="both"/>
              <w:rPr>
                <w:sz w:val="20"/>
                <w:szCs w:val="20"/>
              </w:rPr>
            </w:pPr>
            <w:r>
              <w:rPr>
                <w:sz w:val="20"/>
                <w:szCs w:val="20"/>
              </w:rPr>
              <w:t>03Jan2019</w:t>
            </w:r>
          </w:p>
        </w:tc>
        <w:tc>
          <w:tcPr>
            <w:tcW w:w="1555" w:type="dxa"/>
          </w:tcPr>
          <w:p w:rsidR="00683E36" w:rsidRPr="00E564AA" w:rsidRDefault="00683E36" w:rsidP="00275473">
            <w:pPr>
              <w:pStyle w:val="Default"/>
              <w:spacing w:line="360" w:lineRule="auto"/>
              <w:jc w:val="both"/>
              <w:rPr>
                <w:sz w:val="20"/>
                <w:szCs w:val="20"/>
              </w:rPr>
            </w:pPr>
            <w:r>
              <w:rPr>
                <w:sz w:val="20"/>
                <w:szCs w:val="20"/>
              </w:rPr>
              <w:t>Non substantial</w:t>
            </w:r>
          </w:p>
        </w:tc>
        <w:tc>
          <w:tcPr>
            <w:tcW w:w="1554" w:type="dxa"/>
          </w:tcPr>
          <w:p w:rsidR="00683E36" w:rsidRPr="00E564AA" w:rsidRDefault="00683E36" w:rsidP="00275473">
            <w:pPr>
              <w:pStyle w:val="Default"/>
              <w:spacing w:line="360" w:lineRule="auto"/>
              <w:jc w:val="both"/>
              <w:rPr>
                <w:sz w:val="20"/>
                <w:szCs w:val="20"/>
              </w:rPr>
            </w:pPr>
            <w:r>
              <w:rPr>
                <w:sz w:val="20"/>
                <w:szCs w:val="20"/>
              </w:rPr>
              <w:t>1.1</w:t>
            </w:r>
          </w:p>
        </w:tc>
        <w:tc>
          <w:tcPr>
            <w:tcW w:w="1554" w:type="dxa"/>
          </w:tcPr>
          <w:p w:rsidR="00683E36" w:rsidRPr="00E564AA" w:rsidRDefault="00683E36" w:rsidP="00275473">
            <w:pPr>
              <w:pStyle w:val="Default"/>
              <w:spacing w:line="360" w:lineRule="auto"/>
              <w:jc w:val="both"/>
              <w:rPr>
                <w:sz w:val="20"/>
                <w:szCs w:val="20"/>
                <w:lang w:val="en-US"/>
              </w:rPr>
            </w:pPr>
            <w:r w:rsidRPr="00E564AA">
              <w:rPr>
                <w:sz w:val="20"/>
                <w:szCs w:val="20"/>
                <w:lang w:val="en-US"/>
              </w:rPr>
              <w:t xml:space="preserve">The informed consent to the study has </w:t>
            </w:r>
            <w:r>
              <w:rPr>
                <w:sz w:val="20"/>
                <w:szCs w:val="20"/>
                <w:lang w:val="en-US"/>
              </w:rPr>
              <w:t xml:space="preserve">provided together with the documents </w:t>
            </w:r>
            <w:r w:rsidRPr="00E564AA">
              <w:rPr>
                <w:sz w:val="20"/>
                <w:szCs w:val="20"/>
                <w:lang w:val="en-US"/>
              </w:rPr>
              <w:t>required by the Ministerial Decree of 21 December 2007 attached to the CTA form</w:t>
            </w:r>
          </w:p>
        </w:tc>
        <w:tc>
          <w:tcPr>
            <w:tcW w:w="2510" w:type="dxa"/>
          </w:tcPr>
          <w:p w:rsidR="00683E36" w:rsidRPr="00E564AA" w:rsidRDefault="00683E36" w:rsidP="00275473">
            <w:pPr>
              <w:pStyle w:val="Default"/>
              <w:spacing w:line="360" w:lineRule="auto"/>
              <w:jc w:val="both"/>
              <w:rPr>
                <w:sz w:val="20"/>
                <w:szCs w:val="20"/>
                <w:lang w:val="en-US"/>
              </w:rPr>
            </w:pPr>
            <w:r w:rsidRPr="00E564AA">
              <w:rPr>
                <w:sz w:val="20"/>
                <w:szCs w:val="20"/>
                <w:lang w:val="en-US"/>
              </w:rPr>
              <w:t>n.a.</w:t>
            </w:r>
          </w:p>
        </w:tc>
      </w:tr>
      <w:tr w:rsidR="00683E36" w:rsidRPr="00E564AA" w:rsidTr="00275473">
        <w:trPr>
          <w:trHeight w:val="711"/>
        </w:trPr>
        <w:tc>
          <w:tcPr>
            <w:tcW w:w="1776" w:type="dxa"/>
          </w:tcPr>
          <w:p w:rsidR="00683E36" w:rsidRPr="00E564AA" w:rsidRDefault="00683E36" w:rsidP="00275473">
            <w:pPr>
              <w:pStyle w:val="Default"/>
              <w:spacing w:line="360" w:lineRule="auto"/>
              <w:jc w:val="both"/>
              <w:rPr>
                <w:sz w:val="20"/>
                <w:szCs w:val="20"/>
              </w:rPr>
            </w:pPr>
            <w:r>
              <w:rPr>
                <w:sz w:val="20"/>
                <w:szCs w:val="20"/>
              </w:rPr>
              <w:t>2</w:t>
            </w:r>
          </w:p>
        </w:tc>
        <w:tc>
          <w:tcPr>
            <w:tcW w:w="1332" w:type="dxa"/>
          </w:tcPr>
          <w:p w:rsidR="00683E36" w:rsidRPr="00E564AA" w:rsidRDefault="00683E36" w:rsidP="00275473">
            <w:pPr>
              <w:pStyle w:val="Default"/>
              <w:spacing w:line="360" w:lineRule="auto"/>
              <w:jc w:val="both"/>
              <w:rPr>
                <w:sz w:val="20"/>
                <w:szCs w:val="20"/>
              </w:rPr>
            </w:pPr>
            <w:r w:rsidRPr="00E564AA">
              <w:rPr>
                <w:sz w:val="20"/>
                <w:szCs w:val="20"/>
              </w:rPr>
              <w:t xml:space="preserve">03 Jan 2019 </w:t>
            </w:r>
          </w:p>
        </w:tc>
        <w:tc>
          <w:tcPr>
            <w:tcW w:w="1555" w:type="dxa"/>
          </w:tcPr>
          <w:p w:rsidR="00683E36" w:rsidRPr="00E564AA" w:rsidRDefault="00683E36" w:rsidP="00275473">
            <w:pPr>
              <w:pStyle w:val="Default"/>
              <w:spacing w:line="360" w:lineRule="auto"/>
              <w:jc w:val="both"/>
              <w:rPr>
                <w:sz w:val="20"/>
                <w:szCs w:val="20"/>
              </w:rPr>
            </w:pPr>
            <w:r w:rsidRPr="00E564AA">
              <w:rPr>
                <w:sz w:val="20"/>
                <w:szCs w:val="20"/>
              </w:rPr>
              <w:t xml:space="preserve">Substantial </w:t>
            </w:r>
          </w:p>
        </w:tc>
        <w:tc>
          <w:tcPr>
            <w:tcW w:w="1554" w:type="dxa"/>
          </w:tcPr>
          <w:p w:rsidR="00683E36" w:rsidRPr="00E564AA" w:rsidRDefault="00683E36" w:rsidP="00275473">
            <w:pPr>
              <w:pStyle w:val="Default"/>
              <w:spacing w:line="360" w:lineRule="auto"/>
              <w:jc w:val="both"/>
              <w:rPr>
                <w:sz w:val="20"/>
                <w:szCs w:val="20"/>
              </w:rPr>
            </w:pPr>
            <w:r w:rsidRPr="00E564AA">
              <w:rPr>
                <w:sz w:val="20"/>
                <w:szCs w:val="20"/>
              </w:rPr>
              <w:t xml:space="preserve">1.1 </w:t>
            </w:r>
          </w:p>
        </w:tc>
        <w:tc>
          <w:tcPr>
            <w:tcW w:w="1554" w:type="dxa"/>
          </w:tcPr>
          <w:p w:rsidR="00683E36" w:rsidRPr="00E564AA" w:rsidRDefault="00683E36" w:rsidP="00275473">
            <w:pPr>
              <w:pStyle w:val="Default"/>
              <w:spacing w:line="360" w:lineRule="auto"/>
              <w:jc w:val="both"/>
              <w:rPr>
                <w:sz w:val="20"/>
                <w:szCs w:val="20"/>
                <w:lang w:val="en-US"/>
              </w:rPr>
            </w:pPr>
            <w:r w:rsidRPr="00E564AA">
              <w:rPr>
                <w:sz w:val="20"/>
                <w:szCs w:val="20"/>
                <w:lang w:val="en-US"/>
              </w:rPr>
              <w:t>Change of PI and coordinating centre after the retirement of Dr. Stefano Ferrari. Dr. Stefano Ferrari, Rizzoli Orthopedic Institute substituted by Dr. Roberto Luksch, IRCCS Foundation National Cancer Institute of Milan</w:t>
            </w:r>
          </w:p>
        </w:tc>
        <w:tc>
          <w:tcPr>
            <w:tcW w:w="2510" w:type="dxa"/>
          </w:tcPr>
          <w:p w:rsidR="00683E36" w:rsidRPr="00E564AA" w:rsidRDefault="00683E36" w:rsidP="00275473">
            <w:pPr>
              <w:pStyle w:val="Default"/>
              <w:spacing w:line="360" w:lineRule="auto"/>
              <w:jc w:val="both"/>
              <w:rPr>
                <w:sz w:val="20"/>
                <w:szCs w:val="20"/>
              </w:rPr>
            </w:pPr>
            <w:r w:rsidRPr="00E564AA">
              <w:rPr>
                <w:sz w:val="20"/>
                <w:szCs w:val="20"/>
              </w:rPr>
              <w:t>1</w:t>
            </w:r>
          </w:p>
        </w:tc>
      </w:tr>
    </w:tbl>
    <w:p w:rsidR="00683E36" w:rsidRPr="00E564AA" w:rsidRDefault="00683E36" w:rsidP="00683E36">
      <w:pPr>
        <w:spacing w:line="360" w:lineRule="auto"/>
        <w:jc w:val="both"/>
        <w:rPr>
          <w:rFonts w:ascii="Times New Roman" w:hAnsi="Times New Roman" w:cs="Times New Roman"/>
          <w:sz w:val="24"/>
          <w:szCs w:val="24"/>
          <w:lang w:val="en-US"/>
        </w:rPr>
      </w:pPr>
    </w:p>
    <w:p w:rsidR="00683E36" w:rsidRPr="00E564AA" w:rsidRDefault="00683E36" w:rsidP="00683E36">
      <w:pPr>
        <w:spacing w:line="360" w:lineRule="auto"/>
        <w:jc w:val="both"/>
        <w:rPr>
          <w:rFonts w:ascii="Times New Roman" w:hAnsi="Times New Roman" w:cs="Times New Roman"/>
          <w:sz w:val="24"/>
          <w:szCs w:val="24"/>
          <w:lang w:val="en-US"/>
        </w:rPr>
      </w:pPr>
      <w:r w:rsidRPr="00E564AA">
        <w:rPr>
          <w:rFonts w:ascii="Times New Roman" w:hAnsi="Times New Roman" w:cs="Times New Roman"/>
          <w:sz w:val="24"/>
          <w:szCs w:val="24"/>
          <w:lang w:val="en-US"/>
        </w:rPr>
        <w:br w:type="page"/>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b/>
          <w:bCs/>
          <w:sz w:val="24"/>
          <w:szCs w:val="24"/>
        </w:rPr>
        <w:lastRenderedPageBreak/>
        <w:t>Summary</w:t>
      </w:r>
      <w:r w:rsidRPr="00747A9E">
        <w:rPr>
          <w:rFonts w:ascii="Times New Roman" w:hAnsi="Times New Roman" w:cs="Times New Roman"/>
          <w:noProof/>
          <w:sz w:val="24"/>
          <w:szCs w:val="24"/>
          <w:lang w:val="en-GB" w:eastAsia="en-GB"/>
        </w:rPr>
        <w:drawing>
          <wp:inline distT="0" distB="0" distL="0" distR="0" wp14:anchorId="3CECD2D5" wp14:editId="64610028">
            <wp:extent cx="6124575" cy="4600575"/>
            <wp:effectExtent l="19050" t="0" r="9525"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b="26034"/>
                    <a:stretch>
                      <a:fillRect/>
                    </a:stretch>
                  </pic:blipFill>
                  <pic:spPr bwMode="auto">
                    <a:xfrm>
                      <a:off x="0" y="0"/>
                      <a:ext cx="6124575" cy="4600575"/>
                    </a:xfrm>
                    <a:prstGeom prst="rect">
                      <a:avLst/>
                    </a:prstGeom>
                    <a:noFill/>
                    <a:ln>
                      <a:noFill/>
                    </a:ln>
                  </pic:spPr>
                </pic:pic>
              </a:graphicData>
            </a:graphic>
          </wp:inline>
        </w:drawing>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VAC : Vincristin, Doxorubicin (</w:t>
      </w:r>
      <w:r w:rsidRPr="00747A9E">
        <w:rPr>
          <w:rFonts w:ascii="Times New Roman" w:hAnsi="Times New Roman" w:cs="Times New Roman"/>
          <w:b/>
          <w:sz w:val="24"/>
          <w:szCs w:val="24"/>
        </w:rPr>
        <w:t>A</w:t>
      </w:r>
      <w:r w:rsidRPr="00747A9E">
        <w:rPr>
          <w:rFonts w:ascii="Times New Roman" w:hAnsi="Times New Roman" w:cs="Times New Roman"/>
          <w:sz w:val="24"/>
          <w:szCs w:val="24"/>
        </w:rPr>
        <w:t>driamycin), Cyclophophamide</w:t>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VID : Vincristin, Ifosfamide, Dactinomycin</w:t>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IE : Ifosfamide, Etoposide</w:t>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CE : Cyclophosphamide, Etoposide</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rPr>
        <w:t>VAI : Vincristin ; Doxoru</w:t>
      </w:r>
      <w:r w:rsidRPr="00747A9E">
        <w:rPr>
          <w:rFonts w:ascii="Times New Roman" w:hAnsi="Times New Roman" w:cs="Times New Roman"/>
          <w:sz w:val="24"/>
          <w:szCs w:val="24"/>
          <w:lang w:val="en-US"/>
        </w:rPr>
        <w:t>bicin, Ifosfamide</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BuMel : High-dose Busulfan+Melphalan</w:t>
      </w:r>
    </w:p>
    <w:p w:rsidR="00683E36" w:rsidRPr="00747A9E" w:rsidRDefault="00683E36" w:rsidP="00683E36">
      <w:pPr>
        <w:spacing w:line="360" w:lineRule="auto"/>
        <w:jc w:val="both"/>
        <w:rPr>
          <w:rFonts w:ascii="Times New Roman" w:hAnsi="Times New Roman" w:cs="Times New Roman"/>
          <w:b/>
          <w:color w:val="000000"/>
          <w:sz w:val="24"/>
          <w:szCs w:val="24"/>
        </w:rPr>
      </w:pPr>
      <w:r w:rsidRPr="00747A9E">
        <w:rPr>
          <w:rFonts w:ascii="Times New Roman" w:hAnsi="Times New Roman" w:cs="Times New Roman"/>
          <w:b/>
          <w:sz w:val="24"/>
          <w:szCs w:val="24"/>
        </w:rPr>
        <w:br w:type="page"/>
      </w:r>
    </w:p>
    <w:p w:rsidR="00683E36" w:rsidRPr="00747A9E" w:rsidRDefault="00683E36" w:rsidP="00683E36">
      <w:pPr>
        <w:pStyle w:val="Default"/>
        <w:spacing w:line="360" w:lineRule="auto"/>
        <w:jc w:val="both"/>
        <w:rPr>
          <w:b/>
        </w:rPr>
      </w:pPr>
      <w:r w:rsidRPr="00747A9E">
        <w:rPr>
          <w:b/>
        </w:rPr>
        <w:lastRenderedPageBreak/>
        <w:t>INTRODUCTION</w:t>
      </w:r>
    </w:p>
    <w:p w:rsidR="00683E36" w:rsidRPr="00747A9E" w:rsidRDefault="00683E36" w:rsidP="00683E36">
      <w:pPr>
        <w:pStyle w:val="Default"/>
        <w:spacing w:line="360" w:lineRule="auto"/>
        <w:jc w:val="both"/>
        <w:rPr>
          <w:i/>
          <w:lang w:val="en-US"/>
        </w:rPr>
      </w:pPr>
    </w:p>
    <w:p w:rsidR="00683E36" w:rsidRPr="00747A9E" w:rsidRDefault="00683E36" w:rsidP="00683E36">
      <w:pPr>
        <w:pStyle w:val="Default"/>
        <w:spacing w:line="360" w:lineRule="auto"/>
        <w:jc w:val="both"/>
        <w:rPr>
          <w:i/>
          <w:lang w:val="en-US"/>
        </w:rPr>
      </w:pPr>
      <w:r w:rsidRPr="00747A9E">
        <w:rPr>
          <w:i/>
          <w:lang w:val="en-US"/>
        </w:rPr>
        <w:t>The recent Italian experience in the treatment of localized Ewing sarcoma.</w:t>
      </w:r>
    </w:p>
    <w:p w:rsidR="00683E36" w:rsidRPr="00747A9E" w:rsidRDefault="00683E36" w:rsidP="00683E36">
      <w:pPr>
        <w:pStyle w:val="Default"/>
        <w:spacing w:line="360" w:lineRule="auto"/>
        <w:jc w:val="both"/>
        <w:rPr>
          <w:i/>
          <w:lang w:val="en-US"/>
        </w:rPr>
      </w:pPr>
    </w:p>
    <w:p w:rsidR="00683E36" w:rsidRPr="00747A9E" w:rsidRDefault="00683E36" w:rsidP="00683E36">
      <w:pPr>
        <w:pStyle w:val="Default"/>
        <w:spacing w:line="360" w:lineRule="auto"/>
        <w:jc w:val="both"/>
        <w:rPr>
          <w:lang w:val="en-US"/>
        </w:rPr>
      </w:pPr>
      <w:r w:rsidRPr="00747A9E">
        <w:rPr>
          <w:lang w:val="en-US"/>
        </w:rPr>
        <w:t>In June 1999 the ISG/SSG III protocol was activated for the treatment of patients with Ewing's sarcoma (EFT). Italian institutions belonging to the Italian Sarcoma Group (ISG) and the Association of Pediatric Hematology and Oncology (AIEOP) and Scandinavian institutions belonging to the Scandinavian Sarcoma Group (SSG) participated in this protocol.</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The key principles on which the protocol was built were the following:</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A) Use of induction chemotherapy which included the 6 drugs vincristine (V), dactinomycin (D), adriamycin (A), cyclophosphamide (C), ifosfamide (I) and etoposide (E).</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B) Local treatment of the disease based on the use of surgery wherever possible</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C) Use of radiotherapy in case of inadequate surgical margins or if surgery was not judged possible</w:t>
      </w:r>
    </w:p>
    <w:p w:rsidR="00683E36" w:rsidRPr="00747A9E" w:rsidRDefault="00683E36" w:rsidP="00683E36">
      <w:pPr>
        <w:pStyle w:val="Default"/>
        <w:spacing w:line="360" w:lineRule="auto"/>
        <w:jc w:val="both"/>
        <w:rPr>
          <w:lang w:val="en-US"/>
        </w:rPr>
      </w:pPr>
    </w:p>
    <w:p w:rsidR="00683E36" w:rsidRPr="00747A9E" w:rsidRDefault="00683E36" w:rsidP="00683E36">
      <w:pPr>
        <w:pStyle w:val="Default"/>
        <w:spacing w:line="360" w:lineRule="auto"/>
        <w:jc w:val="both"/>
        <w:rPr>
          <w:lang w:val="en-US"/>
        </w:rPr>
      </w:pPr>
      <w:r w:rsidRPr="00747A9E">
        <w:rPr>
          <w:lang w:val="en-US"/>
        </w:rPr>
        <w:t>D) Evaluation of the pathological or radiological response to induction chemotherapy. The pathological response was classified into three grades, with grade 3 characterized by complete necrosis and grade 1 characterized by persistence of viable macro foci of disease. Grade 2 involved the persistence of microfoci of disease. The radiological evaluation after induction chemotherapy distinguished patients with a complete disappearance of the soft tissue component of the disease and patients in whom the persistence of the soft tissue disease was still appreciable. The importance of this evaluation was linked to the fact that in retrospective analyzes carried out it was highlighted that patients with a grade 2-3 pathological response had a significantly higher prognosis similarly to what was highlighted in patients who presented a complete disappearance of the disease in the soft parts after induction chemotherapy.</w:t>
      </w:r>
    </w:p>
    <w:p w:rsidR="00683E36" w:rsidRPr="00747A9E" w:rsidRDefault="00683E36" w:rsidP="00683E36">
      <w:pPr>
        <w:pStyle w:val="Default"/>
        <w:spacing w:line="360" w:lineRule="auto"/>
        <w:jc w:val="both"/>
        <w:rPr>
          <w:lang w:val="en-US"/>
        </w:rPr>
      </w:pPr>
      <w:r w:rsidRPr="00747A9E">
        <w:rPr>
          <w:lang w:val="en-US"/>
        </w:rPr>
        <w:t xml:space="preserve"> </w:t>
      </w:r>
    </w:p>
    <w:p w:rsidR="00683E36" w:rsidRPr="00747A9E" w:rsidRDefault="00683E36" w:rsidP="00683E36">
      <w:pPr>
        <w:autoSpaceDE w:val="0"/>
        <w:autoSpaceDN w:val="0"/>
        <w:adjustRightInd w:val="0"/>
        <w:spacing w:after="85" w:line="360" w:lineRule="auto"/>
        <w:jc w:val="both"/>
        <w:rPr>
          <w:rFonts w:ascii="Times New Roman" w:hAnsi="Times New Roman" w:cs="Times New Roman"/>
          <w:color w:val="000000"/>
          <w:sz w:val="24"/>
          <w:szCs w:val="24"/>
          <w:lang w:val="en-US"/>
        </w:rPr>
      </w:pPr>
      <w:r w:rsidRPr="00747A9E">
        <w:rPr>
          <w:rFonts w:ascii="Times New Roman" w:hAnsi="Times New Roman" w:cs="Times New Roman"/>
          <w:sz w:val="24"/>
          <w:szCs w:val="24"/>
          <w:lang w:val="en-US"/>
        </w:rPr>
        <w:t xml:space="preserve">E) Use of maintenance chemotherapy differentiated according to the pathological response (for patients treated surgically) or the radiological response in case of exclusive radiotherapy treatment. Patients with grade 2-3 pathological response or with complete radiological response continued treatment with chemotherapy maintenance based on the same drugs and same methods of administration as in the induction phase, while the remaining patients received a differentiated </w:t>
      </w:r>
      <w:r w:rsidRPr="00747A9E">
        <w:rPr>
          <w:rFonts w:ascii="Times New Roman" w:hAnsi="Times New Roman" w:cs="Times New Roman"/>
          <w:sz w:val="24"/>
          <w:szCs w:val="24"/>
          <w:lang w:val="en-US"/>
        </w:rPr>
        <w:lastRenderedPageBreak/>
        <w:t>treatment mainly characterized by treatment intensification obtained using therapies with high doses of busulfan and melphalan with the support of peripheral hematopoietic stem cells. Patients who had disease progression during treatment were excluded from this intensified treatment.</w:t>
      </w:r>
    </w:p>
    <w:p w:rsidR="00683E36" w:rsidRPr="00747A9E" w:rsidRDefault="00683E36" w:rsidP="00683E36">
      <w:pPr>
        <w:numPr>
          <w:ilvl w:val="1"/>
          <w:numId w:val="6"/>
        </w:numPr>
        <w:autoSpaceDE w:val="0"/>
        <w:autoSpaceDN w:val="0"/>
        <w:adjustRightInd w:val="0"/>
        <w:spacing w:after="85"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85"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From June 1999 to December 2006, 296 patients were enrolled. The preliminary results of the study were presented in May 2007 at the American Society of Clinical Oncology congress (1). No toxic deaths have been recorded. Surgery was possible in 79% of patients, the percentage of good responders was 50%. With a median follow-up of 37 months (1-89) the probability of overall survival is 72%, the probability of event-free survival is 65%. The 5-year event-free survival probability is 71% for patients with a good response to induction chemotherapy, the event-free survival probability is 68% for patients with a poor response to induction chemotherapy who have could intensify the treatment as per the protocol and by 35% for poorly responsive patients who (5 patients due to medical contraindications, 9 due to refusal of the patient or the treating doctor, 5 due to inadequate collection of PBSC) did not receive treatment with high doses.</w:t>
      </w:r>
    </w:p>
    <w:p w:rsidR="00683E36" w:rsidRPr="00747A9E" w:rsidRDefault="00683E36" w:rsidP="00683E36">
      <w:pPr>
        <w:autoSpaceDE w:val="0"/>
        <w:autoSpaceDN w:val="0"/>
        <w:adjustRightInd w:val="0"/>
        <w:spacing w:after="85"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10 patients underwent disease progression during chemotherapy treatment; of these, one is currently alive in the absence of disease after local treatment with amputation and chemotherapy based on high doses of ifosfamide 18 months after the event.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ISG/SSG III protocol showed: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a) That 50% of patients present a good histological or radiographic response to an induction therapy using 4 cycles based on vincristine, cyclophosphamide, adriamycin, dactinomycin, ifosfamide and etoposide.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b) That patients with a poor histological or radiographic response have the same prognosis as good responders if they can receive intensified treatment with high doses of busulfan and melphalan with reinfusion of peripheral stem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 That the use of high doses of busulfan and melphalan with reinfusion of peripheral stem cells is feasible and burdened by acceptable toxicity in the context of a protocol for patients with localized Ewing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 with this protocol it is possible to expect disease progression during treatment in approximately 3% of patients.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r w:rsidRPr="00747A9E">
        <w:rPr>
          <w:rFonts w:ascii="Times New Roman" w:hAnsi="Times New Roman" w:cs="Times New Roman"/>
          <w:i/>
          <w:iCs/>
          <w:color w:val="000000"/>
          <w:sz w:val="24"/>
          <w:szCs w:val="24"/>
          <w:lang w:val="en-US"/>
        </w:rPr>
        <w:lastRenderedPageBreak/>
        <w:t>The recent experience of other cooperative groups in the treatment of localized Ewing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In relation to the recent experience coming from other cooperative groups, it should be noted that the EUROEWING-99 protocol is currently active (2) which involves several European cooperative groups and which is mainly characterized by a particularly intense induction treatment based on 6 cycles of VIDE (vincristine , ifosfamide, adriamycin and etoposide) and a local post-treatment randomization of poorly responding patients receiving intensified treatment with high doses of busulfan and melphalan or a standard based on previously used drugs. Personal information reports a high (&gt;70%) percentage of good responder patients despite significant toxicity with toxic deaths.</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In the United States, a protocol was recently closed for enrollment that compared two chemotherapy schemes that were identical in terms of drugs used, dose per cycle and cumulative doses. A standard treatment was compared with a dose-intensified treatment by shortening the interval between chemotherapy cycles using haematopoietic growth factors.</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AEWS0031 protocol (Comparison of Combination Chemotherapy Regimens in Treating</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Patients With Ewing's Sarcoma or Neuroectodermal Tumor) included the National Cancer Institute (NCI) as sponsor of the study and involved the Children's Oncology Group and the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Southwest Oncology Group (3). In the standard arm, chemotherapy was administered over 42 weeks with 4 cycles administered before local treatment and 10 in the subsequent phase. In the experimental arm, chemotherapy was administered over a period of 29 weeks (with a reduction in duration of approximately 30%) with 6 cycles before local treatment and 8 subsequently. Preliminary results were presented at the 2008 ASCO Congress (4). 587 patients were randomized. The median interval in the intensified cycle was reported to be 15 days with similar toxicity between the two treatments. According to a preliminary analysis, the intensified regimen would have given better results in terms of 4-year EFS (76% vs 65% p = 0.029) and 4-year OS (91% vs 85% p = 0.026). Significant is the fact that the advantage in terms of survival can only be demonstrated in patients under 18 years of age who, moreover, represented 87% of the patients enrolled. From these preliminary results, however, particular emphasis is placed on the importance of dose intensification especially in the induction phase.</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The importance of chemoinduced necrosis in the treatment of localized Ewing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There is agreement in evaluating necrosis induced by preoperative chemotherapy as a factor capable of influencing the prognosis (5-7). In the ISG/SSG III protocol the percentage of patients with good </w:t>
      </w:r>
      <w:r w:rsidRPr="00747A9E">
        <w:rPr>
          <w:rFonts w:ascii="Times New Roman" w:hAnsi="Times New Roman" w:cs="Times New Roman"/>
          <w:color w:val="000000"/>
          <w:sz w:val="24"/>
          <w:szCs w:val="24"/>
          <w:lang w:val="en-US"/>
        </w:rPr>
        <w:lastRenderedPageBreak/>
        <w:t>histological response was 50% with a higher incidence in patients under 15 years of age. Interestingly, there is agreement that the prognosis of Ewing's sarcoma is significantly better in patients under 15 years of age (5-7).</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It is therefore conceivable that increasing the percentage of patients with a good histological response could translate into better results in terms of prognosis.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r w:rsidRPr="00747A9E">
        <w:rPr>
          <w:rFonts w:ascii="Times New Roman" w:hAnsi="Times New Roman" w:cs="Times New Roman"/>
          <w:i/>
          <w:iCs/>
          <w:color w:val="000000"/>
          <w:sz w:val="24"/>
          <w:szCs w:val="24"/>
          <w:lang w:val="en-US"/>
        </w:rPr>
        <w:t>High-dose therapy with peripheral hematopoietic stem cell reinfusion in the treatment of localized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use of high-dose therapies with reinfusion of hematopoietic stem cells is still the subject of controversy and not considered standard in the therapy of Ewing's sarcoma. However, the experience gained in recent years through the ISG/SSG IV (8) and ISG/SSG III (1) study indicates that treatment with high doses is certainly capable of influencing the prognosis in patients at risk (metastases at onset and patients poorly responsive to induction chemotherapy) and as such it is currently considered in the centers belonging to the Italian Sarcoma Group as a privileged option to propose in this group of patients.</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b/>
          <w:color w:val="000000"/>
          <w:sz w:val="24"/>
          <w:szCs w:val="24"/>
          <w:lang w:val="en-US"/>
        </w:rPr>
        <w:t>RATIONALE AND STUDY DESIGN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Taking these considerations into account, having assessed the recruitment potential of the institutions involved (ISG, AIEOP), a randomized phase III study is planned aimed at comparing the ISG/SSG III (standard) protocol with a treatment of shorter duration, but with intensity higher dose (investigational), mainly based on the use of Adriamycin and ifosfamide. In fact, there is agreement in the literature in identifying Adriamycin and ifosfamide as the most active drugs in standard treatment programs for Ewing's sarcoma (9-11). For both treatments, the use of rescue therapy based on high doses and recovery with peripheral stem cells is maintained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primary objective of demonstrating how it is possible to beneficially treat patients with Ewing's sarcoma using a chemotherapy protocol of shorter duration than those adopted up to now is worthy of being pursued due to the evident positive effects in terms of toxicity, costs and inconvenience for the patients. What has emerged from recent trials supports the role of treatment intensification in the therapy of Ewing's sarcoma and it is therefore reasonable to assume that a shorter but intensified treatment is not inferior, in terms of prognosis, compared to the longer chemotherapy treatment envisaged in the study ISG/SSG III, currently considered standard.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The secondary objective of the study will be to verify whether an increased intensification of induction treatment can increase the percentage of good responder patients, thus reducing the need to resort to high-dose treatment in patients with poor histological response to induction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The standard therapy will be the induction treatment already used in ISG/SSG III for which a percentage of good responders of 50% is expected.</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 xml:space="preserve">Taking into account the published experience of EUROEWING and the literature data relating to the importance first of all of adriamycin and then of ifosfamide in the treatment of Ewing's, in the experimental arm repeated cycles of vincristine, adriamycin and ifosfamide will be used in induction. </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Furthermore, this combination has already been used by the group in ISG/SSG IV and its toxicity profile is known and acceptable.</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Maintenance therapy will be related to the induction therapy used.</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In the experimental arm, the same treatment strategy already foreseen in ISG/SSG III will be adopted with poor responders who will be started on an intensified program with apheresis of peripheral hematopoietic stem cells and subsequent reinfusion after treatment with high doses of busulfan and 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For patients good responders to induction with vincristine, adriamycin and ifosfamide, the maintenance phase will involve the use of the same drugs up to a cumulative dosage similar to that foreseen in ISG/SSG III plus etoposide at a cumulative dosage similar to that foreseen in ISG/SSG III.</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r w:rsidRPr="00747A9E">
        <w:rPr>
          <w:rFonts w:ascii="Times New Roman" w:hAnsi="Times New Roman" w:cs="Times New Roman"/>
          <w:iCs/>
          <w:color w:val="000000"/>
          <w:sz w:val="24"/>
          <w:szCs w:val="24"/>
          <w:lang w:val="en-US"/>
        </w:rPr>
        <w:t>Therefore, cyclophosphamide and dactinomycin will not be used in the good responders of the experimental arm. The duration of the experimental arm will be shorter than that of the standard arm.</w:t>
      </w:r>
    </w:p>
    <w:p w:rsidR="00683E36" w:rsidRPr="00747A9E" w:rsidRDefault="00683E36" w:rsidP="00683E36">
      <w:pPr>
        <w:autoSpaceDE w:val="0"/>
        <w:autoSpaceDN w:val="0"/>
        <w:adjustRightInd w:val="0"/>
        <w:spacing w:after="0" w:line="360" w:lineRule="auto"/>
        <w:jc w:val="both"/>
        <w:rPr>
          <w:rFonts w:ascii="Times New Roman" w:hAnsi="Times New Roman" w:cs="Times New Roman"/>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Study design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This is a randomized controlled phase III study with the aim of optimizing the treatment of patients with non-metastatic Ewing sarcoma. The study involves the randomization of 220 patients enrolled over a 5-year period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Eligible patients are randomized to receive two different treatments: the standard treatment and the intensified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standard treatment corresponds to the treatment already used in the ISG/SSG III protocol. This treatment involves an induction phase with 4 cycles administered every three weeks and with the use of vincristine, dactinomycin, cyclophosphamide, ifosfamide, etoposide and adriamycin. Previous experience has shown that with this induction treatment the probability of a good response is expected in 50% of treated patients.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intensified treatment includes, similarly to the standard treatment, an induction phase with 4 cycles of chemotherapy every three weeks. The intensified treatment is characterized by the use of ifosfamide, adriamycin and vincristine.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Compared to the standard treatment, the methods of administration of the drugs determine for ifosfamide and Adriamycin a dose intensity doubled compared to that used in the standard induction treatment, while vincristine presents an increase in dose intensity of 40%.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The evaluation of the type of local treatment will be defined in the reference centers identified below. Local treatment is performed at the end of the induction treatment. In case of surgical treatment, this must be planned and carried out in the 12th week of the protocol. A tolerance of two weeks compared to expected is allowed. In the case of exclusive radiotherapy treatment, this must be scheduled between the 14th and 18th week of treatment in patients judged to be good responders. In the case of poor responder patients, the radiotherapy treatment must be postponed to a phase following the apheresis of haematopoietic stem cells, between the 18th and 22nd week of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The recommended local treatment will be surgical wherever possible with the aim of obtaining oncologically adequate surgical margins. The definition of surgical margins will follow the classification defined by Enneking. Wide and radical margins are oncologically adequate margins. Marginal, intralesional and contaminated margins are inadequate margins. If, despite the planned surgery to obtain oncologically adequate surgical margins, the margins are inadequate, the surgery will be followed by post-operative treatment with radiotherapy.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Patients with good histological response and intralesional margins will receive post-operative radiotherapy at a dose of 42 Gy. In case of marginal margins, post-operative treatment at a dosage of 42 Gy is delivered to patients with grade II necrosis, while patients with total necrosis (grade III) do not receive post-operative radiotherapy.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Patients with grade I histological response (poor responders) and inadequate margins (marginal, intralesional and contaminated) receive post-operative radiotherapy at a dose of 54 Gy. Exclusive radiotherapy treatment will be reserved for cases for which, after induction, surgery is not deemed feasible.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radiotherapy treatment will be delivered with twice-daily fractionation.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evaluation of the response will be carried out on the basis of the histological examination of the surgical specimen.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case of surgical infeasibility, the response evaluation will be carried out on the basis of the radiographic response.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Based on the previous positive experience of the ISG/SSG III protocol, patients judged to be poor responders will be started on a treatment that involves apheresis of stem cells and their reinfusion after treatment with high doses of busulfan and 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Disease progression both in the induction phase and in the post-local treatment phase represents a contraindication to treatment with high doses.</w:t>
      </w:r>
    </w:p>
    <w:p w:rsidR="00683E36" w:rsidRPr="00747A9E" w:rsidRDefault="00683E36" w:rsidP="00683E36">
      <w:pPr>
        <w:spacing w:line="360" w:lineRule="auto"/>
        <w:jc w:val="both"/>
        <w:rPr>
          <w:rFonts w:ascii="Times New Roman" w:hAnsi="Times New Roman" w:cs="Times New Roman"/>
          <w:color w:val="000000"/>
          <w:sz w:val="24"/>
          <w:szCs w:val="24"/>
          <w:lang w:val="en-US"/>
        </w:rPr>
      </w:pP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Patients judged to be good responders will continue chemotherapy taking into account the different treatment received during induction. Good responder patients after induction according to standard protocol will continue treatment according to the maintenance program used in ISG/SSG III. Good responder patients after intensified treatment will receive maintenance which will provide for the achievement of the same cumulative doses of vincristine, adriamycin, ifosfamide, etoposide expected for standard treatment according to ISG/SSG III. Therefore, cyclophosphamide and dactinomycin will not be used in the good responders of the experimental arm. The duration of the experimental arm will be shorter than that of the standard arm.</w:t>
      </w: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 xml:space="preserve">Chemotherapy treatment.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Comparison table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noProof/>
          <w:color w:val="000000"/>
          <w:sz w:val="24"/>
          <w:szCs w:val="24"/>
          <w:lang w:val="en-GB" w:eastAsia="en-GB"/>
        </w:rPr>
        <w:drawing>
          <wp:inline distT="0" distB="0" distL="0" distR="0" wp14:anchorId="784FE302" wp14:editId="2BC4B3D2">
            <wp:extent cx="3657600" cy="3509605"/>
            <wp:effectExtent l="1905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57600" cy="3509605"/>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rPr>
      </w:pPr>
      <w:r w:rsidRPr="00747A9E">
        <w:rPr>
          <w:rFonts w:ascii="Times New Roman" w:hAnsi="Times New Roman" w:cs="Times New Roman"/>
          <w:sz w:val="24"/>
          <w:szCs w:val="24"/>
        </w:rPr>
        <w:t>Induction and maintenance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34334EF0" wp14:editId="2F682A40">
            <wp:extent cx="3767778" cy="2924175"/>
            <wp:effectExtent l="19050" t="0" r="4122"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65290" cy="2922244"/>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Default="00683E36" w:rsidP="00683E36">
      <w:pP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Response evaluation.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Similarly to the previous ISG/SSG III protocol, the response evaluation is carried out according to methods and criteria defined by Picci (12). Patients who present grade II or III chemoinduced necrosis are defined as good responders. Patients who present grade I chemoinduced necrosis according to the Picci classification are defined as poor responders.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evaluation of the radiological response is carried out according to methods and criteria already adopted in the previous ISG/SSG III protocol. If the evaluation is only radiographic, patients who present a complete disappearance of the soft tissue component are defined as good responders. If the evaluation is only radiographic, patients who present a persistence of the tumor component in the soft tissues are defined as poor responders.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evaluation of the therapeutic strategy, radiological response and histological response will be carried out in reference centers. The response assessment will be subject to centralized review by a panel of pathologists and a panel of radiologists who meet regularly on a six-monthly basis.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83"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References</w:t>
      </w:r>
    </w:p>
    <w:p w:rsidR="00683E36" w:rsidRPr="00747A9E" w:rsidRDefault="00683E36" w:rsidP="00683E36">
      <w:pPr>
        <w:autoSpaceDE w:val="0"/>
        <w:autoSpaceDN w:val="0"/>
        <w:adjustRightInd w:val="0"/>
        <w:spacing w:after="83"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1) S. Ferrari, T. Alvegard, R. Luksch, A. Tienghi, K. S. Hall, G. Bernini, A. Brach del Prever, P. Picci, G. Bacci, S. Smeland Non-metastatic Ewing's family tumors: High-dose chemotherapy with stem cell rescue in poor responder patients. Preliminary results of the Italian/Scandinavian ISG/SSG III protocol. J Clini Oncol, 2007 ASCO Annual Meeting Proceedings Vol 25 (June 20 Suppl), 2007: 10014 </w:t>
      </w:r>
    </w:p>
    <w:p w:rsidR="00683E36" w:rsidRPr="00747A9E" w:rsidRDefault="00683E36" w:rsidP="00683E36">
      <w:pPr>
        <w:autoSpaceDE w:val="0"/>
        <w:autoSpaceDN w:val="0"/>
        <w:adjustRightInd w:val="0"/>
        <w:spacing w:after="83"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2) Protocol EUROEWING 99: http://euro-ewing.klinikum.uni-muenster.de/ </w:t>
      </w:r>
    </w:p>
    <w:p w:rsidR="00683E36" w:rsidRPr="00747A9E" w:rsidRDefault="00683E36" w:rsidP="00683E36">
      <w:pPr>
        <w:autoSpaceDE w:val="0"/>
        <w:autoSpaceDN w:val="0"/>
        <w:adjustRightInd w:val="0"/>
        <w:spacing w:after="83"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3) Protocol AEWS0031: http://clinicaltrials.gov/ct/show/NCT00006734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4) R. B. Womer, D. C. West, M. D. Krailo, P. S. Dickman, B. Pawel, for the Children's Oncology Group AEWS0031 Committee Randomized comparison of every-two-week v. every-three-week chemotherapy in Ewing sarcoma family tumors (ESFT). J Clin Oncol 2008 ASCO Annual Meeting Proceedings Vol 26: 2008 (May 20 suppl), 2008:10504.</w:t>
      </w:r>
    </w:p>
    <w:p w:rsidR="00683E36" w:rsidRPr="00747A9E" w:rsidRDefault="00683E36" w:rsidP="00683E36">
      <w:pPr>
        <w:autoSpaceDE w:val="0"/>
        <w:autoSpaceDN w:val="0"/>
        <w:adjustRightInd w:val="0"/>
        <w:spacing w:after="85"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5) Paulussen M, Ahrens S, Dunst J, Winkelmann W, Exner GU, Kotz R, Amann G, DockhornDworniczak B, Harms D, Müller-Weihrich S, Welte K, Kornhuber B, Janka-Schaub G, Göbel U, Treuner J, Voûte PA, Zoubek A, Gadner H, Jürgens H. Localized Ewing tumor of bone: final results of the cooperative Ewing's Sarcoma Study CESS 86. J Clin Oncol. 2001;19:1818-29. </w:t>
      </w:r>
    </w:p>
    <w:p w:rsidR="00683E36" w:rsidRPr="00747A9E" w:rsidRDefault="00683E36" w:rsidP="00683E36">
      <w:pPr>
        <w:autoSpaceDE w:val="0"/>
        <w:autoSpaceDN w:val="0"/>
        <w:adjustRightInd w:val="0"/>
        <w:spacing w:after="85"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 xml:space="preserve">6) Oberlin O, Deley MC, Bui BN, Gentet JC, Philip T, Terrier P, Carrie C, Mechinaud F, Schmitt C, Babin-Boillettot A, Michon J; French Society of Paediatric Oncology. Prognostic factors in localized Ewing's tumours and peripheral neuroectodermal tumours: the third study of the French Society of Paediatric Oncology (EW88 study). Br J Cancer. 2001; 85:1646-54.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7) Bacci G, Forni C, Longhi A, Ferrari S, Donati D, De Paolis M, Barbieri E, Pignotti E, Rosito P, Versari M. Long-term outcome for patients with non-metastatic Ewing's sarcoma treated with adjuvant and neoadjuvant chemotherapies. 402 patients treated at Rizzoli between 1972 and 1992. Eur J Cancer. 2004; 40:73-83. </w:t>
      </w:r>
    </w:p>
    <w:p w:rsidR="00683E36" w:rsidRPr="00747A9E" w:rsidRDefault="00683E36" w:rsidP="00683E36">
      <w:pPr>
        <w:pStyle w:val="Default"/>
        <w:spacing w:line="360" w:lineRule="auto"/>
        <w:jc w:val="both"/>
        <w:rPr>
          <w:lang w:val="en-US"/>
        </w:rPr>
      </w:pPr>
      <w:r w:rsidRPr="00747A9E">
        <w:rPr>
          <w:lang w:val="en-US"/>
        </w:rPr>
        <w:t xml:space="preserve">8) A. Tienghi, S. Ferrari, M. Mercuri, P. Giovanis, E. Barbieri, R. Luksch, F. Fagioli, P. Picci, K. Sundby Hall, S. Smeland, T. Alvegar High dose chemotherapy with peripheral blood stem cell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(P.B.S.C.) rescue in metastatic Ewing's sarcoma at diagnosis </w:t>
      </w:r>
      <w:r w:rsidRPr="00747A9E">
        <w:rPr>
          <w:rFonts w:ascii="Times New Roman" w:hAnsi="Times New Roman" w:cs="Times New Roman"/>
          <w:i/>
          <w:iCs/>
          <w:color w:val="000000"/>
          <w:sz w:val="24"/>
          <w:szCs w:val="24"/>
          <w:lang w:val="en-US"/>
        </w:rPr>
        <w:t>Journal of Clinical Oncology</w:t>
      </w:r>
      <w:r w:rsidRPr="00747A9E">
        <w:rPr>
          <w:rFonts w:ascii="Times New Roman" w:hAnsi="Times New Roman" w:cs="Times New Roman"/>
          <w:color w:val="000000"/>
          <w:sz w:val="24"/>
          <w:szCs w:val="24"/>
          <w:lang w:val="en-US"/>
        </w:rPr>
        <w:t xml:space="preserve">, 2005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ASCO Annual Meeting Proceedings. Vol 23, No. 16S, Part I of II (June 1 Supplement), 2005: 9004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Cs/>
          <w:color w:val="000000"/>
          <w:sz w:val="24"/>
          <w:szCs w:val="24"/>
          <w:lang w:val="en-US"/>
        </w:rPr>
        <w:t xml:space="preserve">9) </w:t>
      </w:r>
      <w:r w:rsidRPr="00747A9E">
        <w:rPr>
          <w:rFonts w:ascii="Times New Roman" w:hAnsi="Times New Roman" w:cs="Times New Roman"/>
          <w:color w:val="000000"/>
          <w:sz w:val="24"/>
          <w:szCs w:val="24"/>
          <w:lang w:val="en-US"/>
        </w:rPr>
        <w:t xml:space="preserve">Smith MA, Ungerleider RS, Horowitz ME, Simon R Influence of doxorubicin dose intensity on response and outcome for patients with osteogenic sarcoma and Ewing's sarcoma. J Natl Cancer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Inst. 1991;83:1460-70</w:t>
      </w:r>
    </w:p>
    <w:p w:rsidR="00683E36" w:rsidRPr="00747A9E" w:rsidRDefault="00683E36" w:rsidP="00683E36">
      <w:pPr>
        <w:autoSpaceDE w:val="0"/>
        <w:autoSpaceDN w:val="0"/>
        <w:adjustRightInd w:val="0"/>
        <w:spacing w:after="82"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10) Rosito P, Mancini AF, Rondelli R, Abate ME, Pession A, Bedei L, Bacci G, Picci P, Mercuri M, Ruggieri P, Frezza G, Campanacci M, Paolucci G. Italian Cooperative Study for the treatment of children and young adults with localized Ewing sarcoma of bone: a preliminary report of 6 years of experience. Cancer. 1999;86:421-8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11) Grier HE, Krailo MD, Tarbell NJ, Link MP, Fryer CJ, Pritchard DJ, Gebhardt MC, Dickman PS, Perlman EJ, Meyers PA, Donaldson SS, Moore S, Rausen AR, Vietti TJ, Miser JS. Addition of ifosfamide and etoposide to standard chemotherapy for Ewing's sarcoma and primitive neuroectodermal tumor of bone. N Engl J Med. 2003 Feb 20;348(8):694-701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12) Picci P, Böhling T, Bacci G, Ferrari S, Sangiorgi L, Mercuri M, Ruggieri P, Manfrini M, Ferraro A, Casadei R, Benassi MS, Mancini AF, Rosito P, Cazzola A, Barbieri E, Tienghi A, Brach del Prever A, Comandone A, Bacchini P, Bertoni F. Chemotherapy-induced tumor necrosis as a prognostic factor in localized Ewing's sarcoma of the extremities. J Clin Oncol. 1997;15:1553-9.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OBJECTIVES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Primary</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Evaluate whether the event-free survival </w:t>
      </w:r>
      <w:r>
        <w:rPr>
          <w:rFonts w:ascii="Times New Roman" w:hAnsi="Times New Roman" w:cs="Times New Roman"/>
          <w:color w:val="000000"/>
          <w:sz w:val="24"/>
          <w:szCs w:val="24"/>
          <w:lang w:val="en-US"/>
        </w:rPr>
        <w:t xml:space="preserve">probability </w:t>
      </w:r>
      <w:r w:rsidRPr="00747A9E">
        <w:rPr>
          <w:rFonts w:ascii="Times New Roman" w:hAnsi="Times New Roman" w:cs="Times New Roman"/>
          <w:color w:val="000000"/>
          <w:sz w:val="24"/>
          <w:szCs w:val="24"/>
          <w:lang w:val="en-US"/>
        </w:rPr>
        <w:t>achievable with intensified and shorter t</w:t>
      </w:r>
      <w:r>
        <w:rPr>
          <w:rFonts w:ascii="Times New Roman" w:hAnsi="Times New Roman" w:cs="Times New Roman"/>
          <w:color w:val="000000"/>
          <w:sz w:val="24"/>
          <w:szCs w:val="24"/>
          <w:lang w:val="en-US"/>
        </w:rPr>
        <w:t>reatment is not inferior to the</w:t>
      </w:r>
      <w:r w:rsidRPr="00747A9E">
        <w:rPr>
          <w:rFonts w:ascii="Times New Roman" w:hAnsi="Times New Roman" w:cs="Times New Roman"/>
          <w:color w:val="000000"/>
          <w:sz w:val="24"/>
          <w:szCs w:val="24"/>
          <w:lang w:val="en-US"/>
        </w:rPr>
        <w:t xml:space="preserve"> event-free survival </w:t>
      </w:r>
      <w:r>
        <w:rPr>
          <w:rFonts w:ascii="Times New Roman" w:hAnsi="Times New Roman" w:cs="Times New Roman"/>
          <w:color w:val="000000"/>
          <w:sz w:val="24"/>
          <w:szCs w:val="24"/>
          <w:lang w:val="en-US"/>
        </w:rPr>
        <w:t xml:space="preserve">probability </w:t>
      </w:r>
      <w:r w:rsidRPr="00747A9E">
        <w:rPr>
          <w:rFonts w:ascii="Times New Roman" w:hAnsi="Times New Roman" w:cs="Times New Roman"/>
          <w:color w:val="000000"/>
          <w:sz w:val="24"/>
          <w:szCs w:val="24"/>
          <w:lang w:val="en-US"/>
        </w:rPr>
        <w:t xml:space="preserve">offered by the standard ISG/SSG III protocol.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Secondary</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evaluate whether an intensified induction treatment is able to increase the percentage of patients with good tumor response compared to a standard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evaluate the percentage of patients who will undergo surgical treatment after induction treatments at different dose intensities.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evaluate the percentage of patients who present disease progression after induction treatments at different dose intensities.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assess toxicity related to chemotherapy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evaluate the incidence of marrow infiltration found on the morphological examination of bone marrow biopsy and myeloaspiration.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PROCEDURES FOR CONDUCTING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Reference centers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histological diagnosis or its diagnostic confirmation will be mandatorily defined in the following reference centers: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Servizio di Anatomia Patologica, Istituto Ortopedico Rizzoli, Bologna.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Servizio di Anatomia Patologica, Istituto Gaetano Pini, Milano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Istituto di Anatomia Istologia Patologica -Azienda Ospedaliera Careggi Firenze.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rPr>
        <w:t xml:space="preserve">Servizio di Anatomia Patologica, Azienda Ospedaliera O.I.R.M.-S. Anna. </w:t>
      </w:r>
      <w:r w:rsidRPr="00747A9E">
        <w:rPr>
          <w:rFonts w:ascii="Times New Roman" w:hAnsi="Times New Roman" w:cs="Times New Roman"/>
          <w:color w:val="000000"/>
          <w:sz w:val="24"/>
          <w:szCs w:val="24"/>
          <w:lang w:val="en-US"/>
        </w:rPr>
        <w:t xml:space="preserve">Torino.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evaluation of the strategy and type of local treatment will be defined or agreed with</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rPr>
      </w:pPr>
      <w:r w:rsidRPr="00747A9E">
        <w:rPr>
          <w:rFonts w:ascii="Times New Roman" w:hAnsi="Times New Roman" w:cs="Times New Roman"/>
          <w:bCs/>
          <w:color w:val="000000"/>
          <w:sz w:val="24"/>
          <w:szCs w:val="24"/>
        </w:rPr>
        <w:t>following reference centers: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bCs/>
          <w:color w:val="000000"/>
          <w:sz w:val="24"/>
          <w:szCs w:val="24"/>
        </w:rPr>
        <w:t xml:space="preserve">SURGERY: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V Divisione di Oncologia Ortopedica, Università di Bologna-Istituto Ortopedico Rizzoli, Bologna.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Reparto di Ortopedia Oncologica AOU Careggi-Firenze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Centro di Chirurgia Ortopedica Oncologica Istituto Gaetano Pini, Milano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Divisione di Chirurgia Oncologica Ortopedica, Azienda Ospedaliera CTO Maria Adelaide Torino </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bCs/>
          <w:color w:val="000000"/>
          <w:sz w:val="24"/>
          <w:szCs w:val="24"/>
        </w:rPr>
        <w:t xml:space="preserve">RADIOTHERAPY: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lastRenderedPageBreak/>
        <w:t xml:space="preserve">Divisione di Radioterapia, Ospedale S. Orsola Università di Bologna. Bologna.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Divisione di Radioterapia, Fondazione IRCCS Istituto Nazionale dei Tumori, Milano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Divisione di Radioterapia, Azienda OIRM S. Anna, Torino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Unità di radioterapia, Azienda Ospedaliera- Universitaria Careggi, Firenze </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STATISTICAL METHODS</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 xml:space="preserve">Primary endpoint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For the analysis of the primary endpoint (EFS), Kaplan-Meier curves and the logrank test (non-stratified) will be used to compare the two treatment arms. Additionally, a stratified version of the log-rank test will be applied with the stratification factor (age ≤ 14 / &gt; 14 years) used at the time of randomization.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Cox regression analyzes (unstratified and stratified) will be performed in an exploratory manner and for exploratory purposes to evaluate the influence on the outcome of the covariates of interest detected at baseline.</w:t>
      </w: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 xml:space="preserve">Secondary endpoints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To evaluate whether an intensified induction treatment is able to increase the percentage of patients with a good tumor response compared to a standard treatment, the percentage of patients who will undergo surgical treatment after induction treatments at different dose intensities, the percentage of patients who present disease progression after induction treatments at different dose intensities, the toxicity related to the chemotherapy treatment, the incidence of medullary infiltration found on the morphological examination of the osteomedullary biopsy, summary tables will be prepared with the number and proportion of patients in each of the two treatment groups, as well as 95% confidence intervals for response rates.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Logistic regression analyzes will be performed in an exploratory manner and for exploratory purposes to evaluate the influence of baseline covariates and evaluate their possible relationship with the endpoint variables. Regarding overall survival, Kaplan Meier curves and estimates will be provided and the logrank test (stratified and non-stratified) will be applied for exploratory purposes. All tests will be performed at a two-tailed alpha level of 5%.</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Sample size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lastRenderedPageBreak/>
        <w:t>Study aimed at evaluating the non-inferiority of the experimental treatment compared to standard therapy in reference to the primary end-point: EFS at 5 years.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sample size is based on the assumptions described below.</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recruitment period will be 5 years and the minimum follow-up of 60 months.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expected probability of EFS at 5 years in the standard protocol is 65% and the non-inferiority limit for the experimental approach was set equal to 15%.</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Setting the alpha error equal to 0.05, the power of the study equal to 80% and considering an enrollment period of 5 years, a sample size of 220 patients in total is necessary.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If the interim analysis, carried out for the sole purpose of evaluating the possible presence of a deviation between the number of events observed and the number of events hypothesized for the calculation of the sample, highlights to the coordination committee the need for an expansion of the number of sample, it is envisaged the possibility of extending the study by 12-24 months in order to enroll a number of patients equal to 280 and demonstrate that the experimental treatment is not inferior to standard therapy with a non-inferiority limit of 13%.</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Evaluation of effectiveness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 Event-free survival (adverse event defined as disease progression, appearance of local recurrence and/or metastasis, death due to chemotherapy toxicity or other causes) calculated from the day of treatment initiation to the onset of the event or to the last FU.</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B) Disease-free survival, calculated from the day the patient is made disease-free with surgery and/or radiotherapy and disease recovery or last FU.</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 Metastasis-free survival, calculated from the day the patient is made disease-free with surgery and/or radiotherapy and distant disease recovery or the last FU.</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D) Overall survival, calculated from the day of treatment initiation to death from any cause or to the last FU.</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two protocols will also be compared on the basis of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 percentage of patients undergoing surgery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b) percentage of patients with a good histological response.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Default="00683E36" w:rsidP="00683E36">
      <w:pP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Toxicity assessment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two protocols will be compared based on: percentage of G4 marrow toxicity for leukocytes and platelets compared to the number of cycles administered; episodes of febrile neutropenia, episodes of febrile neutropenia with hospitalization. Percentage of patients who required EC and CP transfusions beyond the perioperative period. Incidence of renal, neurological and cardiological toxicity. Male and female infertility.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color w:val="000000"/>
          <w:sz w:val="24"/>
          <w:szCs w:val="24"/>
          <w:lang w:val="en-US"/>
        </w:rPr>
        <w:t>Study of the significance of the morphological evaluation of the osteomedullary biopsy</w:t>
      </w:r>
      <w:r w:rsidRPr="00747A9E">
        <w:rPr>
          <w:rFonts w:ascii="Times New Roman" w:hAnsi="Times New Roman" w:cs="Times New Roman"/>
          <w:color w:val="000000"/>
          <w:sz w:val="24"/>
          <w:szCs w:val="24"/>
          <w:lang w:val="en-US"/>
        </w:rPr>
        <w: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examination of the bone marrow biopsy and myeloaspirate is required in all patients to exclude any microscopically evident bone marrow involvement of the disease. The centers participating in the study undertake to report to the coordinating center the cases of patients with localized disease in whom a medullary infiltrate is cytohistologically found. An evaluation of the data collected is expected three years after the start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DATA COLLECTION AND MONITORING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Data collection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 xml:space="preserve">The requested data will be collected through remote access to the Italian Sarcoma Group Database </w:t>
      </w:r>
      <w:hyperlink r:id="rId12" w:history="1">
        <w:r w:rsidRPr="00747A9E">
          <w:rPr>
            <w:rStyle w:val="Collegamentoipertestuale"/>
            <w:rFonts w:ascii="Times New Roman" w:hAnsi="Times New Roman" w:cs="Times New Roman"/>
            <w:bCs/>
            <w:sz w:val="24"/>
            <w:szCs w:val="24"/>
            <w:lang w:val="en-US"/>
          </w:rPr>
          <w:t>www.isg-area-riservata.org/dh/</w:t>
        </w:r>
      </w:hyperlink>
      <w:r w:rsidRPr="00747A9E">
        <w:rPr>
          <w:rFonts w:ascii="Times New Roman" w:hAnsi="Times New Roman" w:cs="Times New Roman"/>
          <w:bCs/>
          <w:color w:val="000000"/>
          <w:sz w:val="24"/>
          <w:szCs w:val="24"/>
          <w:lang w:val="en-US"/>
        </w:rPr>
        <w: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Activation of the Center</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Centers interested in the study send a request to participate in the study to the Coordinating Centre.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Coordinating Center verifies compliance with the provisions of the request for participation and sends what is necessary for submission to the local Ethics Committee.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Once the approval of the Ethics Committee has been acquired, the Center concerned sends a copy to the Coordinating Centre.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Coordinating Center will assign the Center Code which must always be reported when completing the forms.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Once in possession of the Code, the Center can actively participate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lastRenderedPageBreak/>
        <w:t>Patient registration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Eligible patients, after obtaining informed consent, will be randomized between the two treatment arms.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interested researchers will send the necessary data via FAX, once the patient's eligibility has been verified.According to the same method, the randomization center will notify the treatment arm to which the patient has been assigned. It is the responsibility of the main researcher of the Center to ensure the eligibility of the patient and the correct sending of the necessary documentation and data required for the purposes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Procedures for Randomization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For randomization purposes, all fields on the randomization form must be correctly completed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“centre code” field must contain the code assigned to the Center by the Centre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Coordinator at the time of activation of the center (See activation of the Center) The date of acquisition of consent must be prior to that of the randomization request.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FAX requesting randomization must be sent on the day the request is made.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request must be signed by one of the centre's researchers authorized for this procedure. The request can be sent to the Coordinating Center at any time of the day. From Monday to Friday, requests sent by 5pm and on Saturday by 12pm are processed the same day. Requests sent on holidays are processed by the first following working day.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randomization manager will verify the completeness and adequacy of the information and will subsequently send the confirmation fax.</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In the confirmation and randomization FAX the "patient code" field will include a code composed of the Center code followed by the progressive number of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of FAX that the researcher will indicate in the randomization request. enrollment of the Center (for example, the first patient inserted by the Center with code 004 will have a code 004001).</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confirmation and randomization FAX will be sent to the number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Default="00683E36" w:rsidP="00683E36">
      <w:pP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Audits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To ensure the quality of the data, monitoring visits will be scheduled by the Coordinating Center. The researchers, when they request participation in the protocol, will accept to receive monitoring visits and to actively collaborate with those in charge of the visits by making medical records and any useful documentation available to them. The Coordinating Center will be responsible for collecting the data and verifying its quality.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Coordinating Center will prepare reports which will be sent to the Independent Review Committee every six months.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Coordinating Center will prepare reports which will be sent to the Coordinating Committee every six months.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Reports of expected and unexpected severe adverse events (SAEs see) will be collected by the study safety unit which will notify the managers of the participating centers and the relevant authorities if necessary. A semi-annual report of such events will be prepared and sent for discussion to the Independent Study Monitoring Committee and the Coordination Committee.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Adverse events and reporting methods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color w:val="000000"/>
          <w:sz w:val="24"/>
          <w:szCs w:val="24"/>
          <w:lang w:val="en-US"/>
        </w:rPr>
        <w:t>Adverse event</w:t>
      </w:r>
      <w:r w:rsidRPr="00747A9E">
        <w:rPr>
          <w:rFonts w:ascii="Times New Roman" w:hAnsi="Times New Roman" w:cs="Times New Roman"/>
          <w:color w:val="000000"/>
          <w:sz w:val="24"/>
          <w:szCs w:val="24"/>
          <w:lang w:val="en-US"/>
        </w:rPr>
        <w: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An adverse event is defined as any event with negative clinical consequences that occurs in a patient in the protocol. Event is a clinical sign, symptom or abnormal laboratory or imaging parameter.</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color w:val="000000"/>
          <w:sz w:val="24"/>
          <w:szCs w:val="24"/>
          <w:lang w:val="en-US"/>
        </w:rPr>
        <w:t>Expected adverse events</w:t>
      </w:r>
      <w:r w:rsidRPr="00747A9E">
        <w:rPr>
          <w:rFonts w:ascii="Times New Roman" w:hAnsi="Times New Roman" w:cs="Times New Roman"/>
          <w:color w:val="000000"/>
          <w:sz w:val="24"/>
          <w:szCs w:val="24"/>
          <w:lang w:val="en-US"/>
        </w:rPr>
        <w:t xml:space="preserve"> are coded in the protocol toxicity data collection form. Each investigator will report them in the toxicity data collection form, normally within the month following their feedback.</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Unexpected adverse event. In the event of an unexpected event (i.e. not included in the codified adverse events), it will be the investigator's responsibility to report it using the appropriate form (see) to the Study Safety Unit.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color w:val="000000"/>
          <w:sz w:val="24"/>
          <w:szCs w:val="24"/>
          <w:lang w:val="en-US"/>
        </w:rPr>
        <w:t>Severe adverse event.</w:t>
      </w:r>
      <w:r w:rsidRPr="00747A9E">
        <w:rPr>
          <w:rFonts w:ascii="Times New Roman" w:hAnsi="Times New Roman" w:cs="Times New Roman"/>
          <w:color w:val="000000"/>
          <w:sz w:val="24"/>
          <w:szCs w:val="24"/>
          <w:lang w:val="en-US"/>
        </w:rPr>
        <w:t xml:space="preserve"> An adverse event is considered severe (SAE) if it is associated with death, provided that it puts the patient's life at risk, leads to prolonged hospitalization or prolongs a planned hospitalization.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Due to the characteristics of the protocol, hospital admissions for transfusions or febrile neutropenia must not be considered as severe adverse events, but simply reported in the toxicity data collection form.</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In the case of SAE they must be notified via FAX using the specific attached form.</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FAX must be sent within 24 hours of becoming aware of the event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FAX must be sent to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ISG/AIEOP EW1</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Practice Safety Unit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Doctor Angela Tamburini</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Department of pediatric oncohematolgy and home care,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 Meyer University Hospital, Viale Pieraccini 24 50139 Florence, tel.055/5662489, fax 055/5662746, a.tamburini@meyer.it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Study Safety Unit will be responsible for notifying the competent authorities of the coordinating center and the study managers in the participating centers of the event.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Coordination Committee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coordination committee is composed of the study coordinator and representatives of the reference centers. Other centers will be able to be part of the coordination after having enrolled at least 5 patients.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coordination committee normally meets every six months and evaluates the data relating to the progression, efficacy and safety of the study. Panel members of pathologists and radiologists are invited to the meetings. Discusses data relating to the activity of the panels of pathologists and radiologists. On an annual basis, it prepares a report which will be sent to all the centers that have included patients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Independent Committee for monitoring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An independent committee made up of three doctors not involved in the study will have the task of evaluating the progression of the study, monitoring the efficacy and safety data of the study. Based </w:t>
      </w:r>
      <w:r w:rsidRPr="00747A9E">
        <w:rPr>
          <w:rFonts w:ascii="Times New Roman" w:hAnsi="Times New Roman" w:cs="Times New Roman"/>
          <w:color w:val="000000"/>
          <w:sz w:val="24"/>
          <w:szCs w:val="24"/>
          <w:lang w:val="en-US"/>
        </w:rPr>
        <w:lastRenderedPageBreak/>
        <w:t>on the data analysis, it will provide recommendations regarding the continuation of the study based on ethical or safety considerations.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Independent Committee meets at least annually and sends its comments to the coordinator (coordinating committee) of the study on an annual basis.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independent Committee is made up of</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Dr. Stefano Fais, Istituto Superiore di Sanità, Rome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Dr. Andrea Biondi, Pediatric Oncohematology, Monza</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Dr. Giovanni Rosti, Division of Medical Oncology, Treviso</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the first meeting he elects the coordinator and defines the evaluation parameters of the protocol that the data collection center will have to periodically send. Based on the requested data, the Independent Committee will formulate its assessments which will be sent to the study coordinator.</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Quality of Life Assessment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 quality of life assessment program will be formulated in an addendum to this protocol.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Panel of pathologists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panel of pathologists is made up of representatives from the following centres: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Pathological Anatomy Service, Rizzoli Orthopedic Institutes, Bologna.</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Department of Pathological Anatomy, IRCCS Foundation National Cancer Institute, Milan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Pathological Anatomy, Gaetano Pini Institute, Milan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Institute of Pathological Anatomy Histology - Careggi Hospital Florence.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Pathological Anatomy Service, O.I.R.M.-S. Hospital Anna. Turin.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It is responsible for reviewing histological diagnoses and histological responses to chemotherapy. It normally meets every six months.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Panel of radiologists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panel of pathologists is made up of representatives from the following centres: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Radiology Service, Rizzoli Orthopedic Institutes, Bologna.Servizio di Radiologia, Fondazione IRCCS Istituto Nazionale dei Tumori, Milano </w:t>
      </w:r>
    </w:p>
    <w:p w:rsidR="00683E36" w:rsidRPr="00DB1774"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GB"/>
        </w:rPr>
      </w:pPr>
      <w:r w:rsidRPr="00DB1774">
        <w:rPr>
          <w:rFonts w:ascii="Times New Roman" w:hAnsi="Times New Roman" w:cs="Times New Roman"/>
          <w:bCs/>
          <w:color w:val="000000"/>
          <w:sz w:val="24"/>
          <w:szCs w:val="24"/>
          <w:lang w:val="en-GB"/>
        </w:rPr>
        <w:t>Radiology Service, Gaetano Pini Institute, Milan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Radiology Service - Careggi Hospital Florence.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lastRenderedPageBreak/>
        <w:t>Radiology Service O.I.R.M.-S. Hospital Anna. Turin.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Has the task of reviewing the radiographic images of patients in the protocol with particular reference to the evaluation of the radiographic response in patients undergoing exclusive radiotherapy for local control. It normally meets every six months.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PATIENT SELECTION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Inclusion criteria</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-Histological diagnosis of Ewing sarcoma or PNET with bone involvement carried out in a Reference Center or confirmed by a reference pathologist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-Age ≤ 40 years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-No obvious metastases or single lung image &lt; 0.5 cm. The evidence of skip metastasis in the bone compartment of the primary tumor is configured as a locoregional disease and not as a metastatic disease.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-Adequate medullary, hepatic and renal function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-Left ventricular ejection fraction &gt; 50%</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-Absence of previous treatments (surgery and/or radiotherapy and chemotherapy) for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-Acquisition of written informed consent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-Sending adequate radiographic and histological documentation to the Data Collection Center</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color w:val="000000"/>
          <w:sz w:val="24"/>
          <w:szCs w:val="24"/>
          <w:lang w:val="en-US"/>
        </w:rPr>
        <w:t>Exclusion criteria</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-Presence of lung metastases on chest CT (single lung image &gt; 0.5 cm or multiple lung images even with a diameter less than 0.5 cm), presence of metastases in other locations.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-Histological evidence of Ewing sarcoma cells upon examination of the osteomedullary biopsy.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-Presence of pleural effusion in case of localization of disease to the chest wall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-Interval between histological diagnosis and the start of chemotherapy greater than 4 weeks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-Medical contraindications to the use of the drugs in the protocol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-Psychological or social conditions that do not lead to adequate compliance with the protocol or adequate follow-up control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-Failure to submit required documentation for centralized review</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-Lack of informed consent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-Previous malignant neoplasms with the exclusion of carcinoma in situ of the cervix</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DIAGNOSTIC ANALYSES AND FOLLOW UP</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Cs/>
          <w:color w:val="000000"/>
          <w:sz w:val="24"/>
          <w:szCs w:val="24"/>
          <w:lang w:val="en-US"/>
        </w:rPr>
        <w:t>-</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04"/>
        <w:gridCol w:w="5743"/>
      </w:tblGrid>
      <w:tr w:rsidR="00683E36" w:rsidRPr="00CE642C" w:rsidTr="00275473">
        <w:trPr>
          <w:trHeight w:val="931"/>
        </w:trPr>
        <w:tc>
          <w:tcPr>
            <w:tcW w:w="4004" w:type="dxa"/>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At diagnosis</w:t>
            </w:r>
          </w:p>
        </w:tc>
        <w:tc>
          <w:tcPr>
            <w:tcW w:w="5743" w:type="dxa"/>
          </w:tcPr>
          <w:p w:rsidR="00683E36" w:rsidRPr="00747A9E" w:rsidRDefault="00683E36" w:rsidP="00275473">
            <w:pPr>
              <w:autoSpaceDE w:val="0"/>
              <w:autoSpaceDN w:val="0"/>
              <w:adjustRightInd w:val="0"/>
              <w:spacing w:after="0" w:line="360" w:lineRule="auto"/>
              <w:jc w:val="both"/>
              <w:rPr>
                <w:rFonts w:ascii="Times New Roman" w:hAnsi="Times New Roman" w:cs="Times New Roman"/>
                <w:bCs/>
                <w:i/>
                <w:color w:val="000000"/>
                <w:sz w:val="24"/>
                <w:szCs w:val="24"/>
                <w:lang w:val="en-US"/>
              </w:rPr>
            </w:pPr>
            <w:r w:rsidRPr="00747A9E">
              <w:rPr>
                <w:rFonts w:ascii="Times New Roman" w:hAnsi="Times New Roman" w:cs="Times New Roman"/>
                <w:bCs/>
                <w:i/>
                <w:color w:val="000000"/>
                <w:sz w:val="24"/>
                <w:szCs w:val="24"/>
                <w:lang w:val="en-US"/>
              </w:rPr>
              <w:t>Mandatory</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-Anamnestic assessment of initial signs and symptoms, general and local physical examination.</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-Complete blood count with formula; Alkaline phosphatase, LDH; transaminases, bilirubinemia, creatininemia and creatinine clearance, serology for HBV and HCV</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-Surgical biopsy or needle biopsy of the lesion</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-ECG</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 xml:space="preserve">-Echocardiogram with evaluation of ejection fraction. </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-Sperm examination in adult patients followed by possible storage in a sperm bank. In post-pubertal minors this procedure is recommended. Active parental involvement is required to this end. A refusal signed by the patient or parents or guardians does not constitute a reason for exclusion from the study.</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-X-ray of affected bone segment</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-Computed Tomography (CT) affected bone segment</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-Skeletal scintigraphy with Tc99 MDP</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-Chest CT without contrast medium</w:t>
            </w:r>
          </w:p>
          <w:p w:rsidR="00683E36" w:rsidRPr="00747A9E" w:rsidRDefault="00683E36" w:rsidP="00275473">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-Osteomedullary biopsy</w:t>
            </w:r>
          </w:p>
          <w:p w:rsidR="00683E36" w:rsidRPr="00747A9E" w:rsidRDefault="00683E36" w:rsidP="00275473">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275473">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Optional</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-Magnetic resonance imaging (MRI) of the affected bone segment</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-Abdominal ultrasound</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-Abdominal CT</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-PET</w:t>
            </w:r>
          </w:p>
        </w:tc>
      </w:tr>
      <w:tr w:rsidR="00683E36" w:rsidRPr="00CE642C" w:rsidTr="00275473">
        <w:trPr>
          <w:trHeight w:val="931"/>
        </w:trPr>
        <w:tc>
          <w:tcPr>
            <w:tcW w:w="4004" w:type="dxa"/>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At the end of induction treatment/before local treatment</w:t>
            </w:r>
          </w:p>
        </w:tc>
        <w:tc>
          <w:tcPr>
            <w:tcW w:w="5743" w:type="dxa"/>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-General and local physical examination</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-Complete blood count with formula; Alkaline phosphatase, LDH; transaminases, bilirubinemia, creatininemia and creatinine clearance.</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-ECG</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-Echocardiogram with evaluation of ejection fraction </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-X-ray of affected bone segment</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-Chest CT without contrast medium</w:t>
            </w:r>
          </w:p>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-Skeletal scintigraphy with Tc99 MDP</w:t>
            </w:r>
          </w:p>
        </w:tc>
      </w:tr>
    </w:tbl>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tbl>
      <w:tblPr>
        <w:tblStyle w:val="Grigliatabella"/>
        <w:tblW w:w="0" w:type="auto"/>
        <w:tblLook w:val="04A0" w:firstRow="1" w:lastRow="0" w:firstColumn="1" w:lastColumn="0" w:noHBand="0" w:noVBand="1"/>
      </w:tblPr>
      <w:tblGrid>
        <w:gridCol w:w="3936"/>
        <w:gridCol w:w="5692"/>
      </w:tblGrid>
      <w:tr w:rsidR="00683E36" w:rsidRPr="00CE642C" w:rsidTr="00275473">
        <w:tc>
          <w:tcPr>
            <w:tcW w:w="3936" w:type="dxa"/>
          </w:tcPr>
          <w:p w:rsidR="00683E36" w:rsidRPr="00747A9E" w:rsidRDefault="00683E36" w:rsidP="00275473">
            <w:pPr>
              <w:autoSpaceDE w:val="0"/>
              <w:autoSpaceDN w:val="0"/>
              <w:adjustRightInd w:val="0"/>
              <w:spacing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At the end of treatment</w:t>
            </w:r>
          </w:p>
        </w:tc>
        <w:tc>
          <w:tcPr>
            <w:tcW w:w="5692"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-General and local physical examination</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-Complete blood count with formula; Alkaline phosphatase, LDH; transaminases, bilirubinemia, creatininemia and creatinine clearance, serology for HBV and HCV.</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-ECG</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-Echocardiogram with evaluation of ejection fraction</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-X-ray of affected bone segment</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-Chest CT without contrast medium</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-Skeletal scintigraphy with Tc99 MDP</w:t>
            </w:r>
          </w:p>
        </w:tc>
      </w:tr>
    </w:tbl>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tbl>
      <w:tblPr>
        <w:tblStyle w:val="Grigliatabella"/>
        <w:tblW w:w="0" w:type="auto"/>
        <w:tblLook w:val="04A0" w:firstRow="1" w:lastRow="0" w:firstColumn="1" w:lastColumn="0" w:noHBand="0" w:noVBand="1"/>
      </w:tblPr>
      <w:tblGrid>
        <w:gridCol w:w="3936"/>
        <w:gridCol w:w="5692"/>
      </w:tblGrid>
      <w:tr w:rsidR="00683E36" w:rsidRPr="00CE642C" w:rsidTr="00275473">
        <w:tc>
          <w:tcPr>
            <w:tcW w:w="3936" w:type="dxa"/>
          </w:tcPr>
          <w:p w:rsidR="00683E36" w:rsidRPr="00747A9E" w:rsidRDefault="00683E36" w:rsidP="00275473">
            <w:pPr>
              <w:autoSpaceDE w:val="0"/>
              <w:autoSpaceDN w:val="0"/>
              <w:adjustRightInd w:val="0"/>
              <w:spacing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During follow-up</w:t>
            </w:r>
          </w:p>
          <w:p w:rsidR="00683E36" w:rsidRPr="00747A9E" w:rsidRDefault="00683E36" w:rsidP="00275473">
            <w:pPr>
              <w:autoSpaceDE w:val="0"/>
              <w:autoSpaceDN w:val="0"/>
              <w:adjustRightInd w:val="0"/>
              <w:spacing w:line="360" w:lineRule="auto"/>
              <w:jc w:val="both"/>
              <w:rPr>
                <w:rFonts w:ascii="Times New Roman" w:hAnsi="Times New Roman" w:cs="Times New Roman"/>
                <w:b/>
                <w:bCs/>
                <w:color w:val="000000"/>
                <w:sz w:val="24"/>
                <w:szCs w:val="24"/>
                <w:lang w:val="en-US"/>
              </w:rPr>
            </w:pP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Follow-up checks take place:</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Quarterly in the first 2 years</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-Every 4 months in the 3rd, 4th, 5th year</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Semi-annually up to the tenth year.</w:t>
            </w:r>
          </w:p>
          <w:p w:rsidR="00683E36" w:rsidRPr="00747A9E" w:rsidRDefault="00683E36" w:rsidP="00275473">
            <w:pPr>
              <w:autoSpaceDE w:val="0"/>
              <w:autoSpaceDN w:val="0"/>
              <w:adjustRightInd w:val="0"/>
              <w:spacing w:line="360" w:lineRule="auto"/>
              <w:jc w:val="both"/>
              <w:rPr>
                <w:rFonts w:ascii="Times New Roman" w:hAnsi="Times New Roman" w:cs="Times New Roman"/>
                <w:b/>
                <w:bCs/>
                <w:color w:val="000000"/>
                <w:sz w:val="24"/>
                <w:szCs w:val="24"/>
                <w:lang w:val="en-US"/>
              </w:rPr>
            </w:pPr>
          </w:p>
        </w:tc>
        <w:tc>
          <w:tcPr>
            <w:tcW w:w="5692"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-General and local physical examination</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-Complete blood count with formula; Alkaline phosphatase, LDH; transaminases, creatininemia (in the first three years)</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-X-ray of the affected bone segment (in the first three years, then according to orthopedic evaluation)</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-CT/MRI affected bone segment (when clinically indicated)</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-Chest CT without contrast medium</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-Annual skeletal scan (optional)</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-Echocardiogram with evaluation of ejection fraction (annually in the first three years)</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-Sperm examination in postpubertal patients (annually if pathological in follow-up at the end of treatment)</w:t>
            </w:r>
          </w:p>
        </w:tc>
      </w:tr>
    </w:tbl>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lastRenderedPageBreak/>
        <w:t xml:space="preserve">CHEMOTERAPY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Courses: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VAC (Vincristine, Doxorubicin, Cyclophosphamide) </w:t>
      </w: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 xml:space="preserve">VID (Vincristine, Ifosfamide, Dactinomycin) </w:t>
      </w: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 xml:space="preserve">VAI (Vincristine, Doxorubicin, Ifosfamide)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IE (Ifosfamide, Etoposide)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b/>
          <w:bCs/>
          <w:sz w:val="24"/>
          <w:szCs w:val="24"/>
        </w:rPr>
        <w:t>a) General considerations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tbl>
      <w:tblPr>
        <w:tblStyle w:val="Grigliatabella"/>
        <w:tblW w:w="0" w:type="auto"/>
        <w:tblLook w:val="04A0" w:firstRow="1" w:lastRow="0" w:firstColumn="1" w:lastColumn="0" w:noHBand="0" w:noVBand="1"/>
      </w:tblPr>
      <w:tblGrid>
        <w:gridCol w:w="4814"/>
        <w:gridCol w:w="4814"/>
      </w:tblGrid>
      <w:tr w:rsidR="00683E36" w:rsidRPr="00CE642C" w:rsidTr="00275473">
        <w:tc>
          <w:tcPr>
            <w:tcW w:w="4814" w:type="dxa"/>
          </w:tcPr>
          <w:tbl>
            <w:tblPr>
              <w:tblW w:w="0" w:type="auto"/>
              <w:tblBorders>
                <w:top w:val="nil"/>
                <w:left w:val="nil"/>
                <w:bottom w:val="nil"/>
                <w:right w:val="nil"/>
              </w:tblBorders>
              <w:tblLook w:val="0000" w:firstRow="0" w:lastRow="0" w:firstColumn="0" w:lastColumn="0" w:noHBand="0" w:noVBand="0"/>
            </w:tblPr>
            <w:tblGrid>
              <w:gridCol w:w="2609"/>
              <w:gridCol w:w="222"/>
            </w:tblGrid>
            <w:tr w:rsidR="00683E36" w:rsidRPr="00747A9E" w:rsidTr="00275473">
              <w:trPr>
                <w:trHeight w:val="257"/>
              </w:trPr>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Osteomedullary function</w:t>
                  </w:r>
                </w:p>
              </w:tc>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p>
              </w:tc>
            </w:tr>
          </w:tbl>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For the administration of chemotherapy cycles, a number of neutrophils ≥ 1000 and platelets ≥ 100,000/cumm are required</w:t>
            </w:r>
          </w:p>
        </w:tc>
      </w:tr>
      <w:tr w:rsidR="00683E36" w:rsidRPr="00CE642C" w:rsidTr="00275473">
        <w:tc>
          <w:tcPr>
            <w:tcW w:w="4814" w:type="dxa"/>
          </w:tcPr>
          <w:tbl>
            <w:tblPr>
              <w:tblW w:w="0" w:type="auto"/>
              <w:tblBorders>
                <w:top w:val="nil"/>
                <w:left w:val="nil"/>
                <w:bottom w:val="nil"/>
                <w:right w:val="nil"/>
              </w:tblBorders>
              <w:tblLook w:val="0000" w:firstRow="0" w:lastRow="0" w:firstColumn="0" w:lastColumn="0" w:noHBand="0" w:noVBand="0"/>
            </w:tblPr>
            <w:tblGrid>
              <w:gridCol w:w="1636"/>
              <w:gridCol w:w="222"/>
            </w:tblGrid>
            <w:tr w:rsidR="00683E36" w:rsidRPr="00747A9E" w:rsidTr="00275473">
              <w:trPr>
                <w:trHeight w:val="736"/>
              </w:trPr>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Renal function</w:t>
                  </w:r>
                </w:p>
              </w:tc>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 </w:t>
                  </w:r>
                </w:p>
              </w:tc>
            </w:tr>
          </w:tbl>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For the administration of the cycles, a creatinine level within normal limits is required.</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Once the cumulative dose of Ifosfamide of 45 g/m2 has been exceeded, check creatinine clearance, TmP, urinary excretion of alpha1 microglobulin, glycosuria and proteinuria.</w:t>
            </w:r>
          </w:p>
        </w:tc>
      </w:tr>
      <w:tr w:rsidR="00683E36" w:rsidRPr="00CE642C" w:rsidTr="00275473">
        <w:tc>
          <w:tcPr>
            <w:tcW w:w="4814" w:type="dxa"/>
          </w:tcPr>
          <w:tbl>
            <w:tblPr>
              <w:tblW w:w="0" w:type="auto"/>
              <w:tblBorders>
                <w:top w:val="nil"/>
                <w:left w:val="nil"/>
                <w:bottom w:val="nil"/>
                <w:right w:val="nil"/>
              </w:tblBorders>
              <w:tblLook w:val="0000" w:firstRow="0" w:lastRow="0" w:firstColumn="0" w:lastColumn="0" w:noHBand="0" w:noVBand="0"/>
            </w:tblPr>
            <w:tblGrid>
              <w:gridCol w:w="1823"/>
              <w:gridCol w:w="222"/>
            </w:tblGrid>
            <w:tr w:rsidR="00683E36" w:rsidRPr="00747A9E" w:rsidTr="00275473">
              <w:trPr>
                <w:trHeight w:val="1754"/>
              </w:trPr>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Cardiac function</w:t>
                  </w:r>
                </w:p>
              </w:tc>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 </w:t>
                  </w:r>
                </w:p>
              </w:tc>
            </w:tr>
          </w:tbl>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p>
        </w:tc>
        <w:tc>
          <w:tcPr>
            <w:tcW w:w="4814" w:type="dxa"/>
          </w:tcPr>
          <w:p w:rsidR="00683E36" w:rsidRPr="00747A9E" w:rsidRDefault="00683E36" w:rsidP="00275473">
            <w:pPr>
              <w:pStyle w:val="Default"/>
              <w:spacing w:line="360" w:lineRule="auto"/>
              <w:jc w:val="both"/>
              <w:rPr>
                <w:lang w:val="en-US"/>
              </w:rPr>
            </w:pPr>
            <w:r w:rsidRPr="00747A9E">
              <w:rPr>
                <w:lang w:val="en-US"/>
              </w:rPr>
              <w:t>Before carrying out Adriamycin it is necessary to carry out an ECG check. In the presence of ECG alterations, signs/symptoms that can be traced back to pump deficiency, Adriamycin is not administered. In this case the patient is subjected to functional cardiological tests. In the absence of pathological findings, Adriamycin is administered. an echocardiographic check-up is recommended. An echocardiographic check is necessary before performing the last cycle with</w:t>
            </w:r>
          </w:p>
          <w:p w:rsidR="00683E36" w:rsidRPr="00747A9E" w:rsidRDefault="00683E36" w:rsidP="00275473">
            <w:pPr>
              <w:pStyle w:val="Default"/>
              <w:spacing w:line="360" w:lineRule="auto"/>
              <w:jc w:val="both"/>
              <w:rPr>
                <w:lang w:val="en-US"/>
              </w:rPr>
            </w:pPr>
            <w:r w:rsidRPr="00747A9E">
              <w:rPr>
                <w:lang w:val="en-US"/>
              </w:rPr>
              <w:t>Adriamycin. A reduction in ejection fraction greater than 10% compared to baseline values contraindicates the administration of Adriamycin.</w:t>
            </w:r>
          </w:p>
          <w:p w:rsidR="00683E36" w:rsidRPr="00747A9E" w:rsidRDefault="00683E36" w:rsidP="00275473">
            <w:pPr>
              <w:pStyle w:val="Default"/>
              <w:spacing w:line="360" w:lineRule="auto"/>
              <w:jc w:val="both"/>
              <w:rPr>
                <w:lang w:val="en-US"/>
              </w:rPr>
            </w:pPr>
            <w:r w:rsidRPr="00747A9E">
              <w:rPr>
                <w:lang w:val="en-US"/>
              </w:rPr>
              <w:lastRenderedPageBreak/>
              <w:t>As a precaution and in consideration of the higher dose intensity, in the intensified arm, an echocardiogram is required before the administration of each cycle of Adriamycin exceeding the cumulative dose of 240 mg/m2.</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lastRenderedPageBreak/>
              <w:t>Anti-emetic treatment</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antiemetic treatment will be administered according to the methods specific to the participating centers, however the use of a 5HT3 inhibitor drug associated with dexamethasone is recommended.</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Monitoring of hematological toxicity</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cycles require a blood count check to be carried out on alternate days starting from the seventh day from the start of the haematological administration of the chemotherapy.</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It is suggested that study participants or their parents be provided with a home toxicity record card</w:t>
            </w:r>
          </w:p>
        </w:tc>
      </w:tr>
      <w:tr w:rsidR="00683E36" w:rsidRPr="00CE642C" w:rsidTr="00275473">
        <w:tc>
          <w:tcPr>
            <w:tcW w:w="4814" w:type="dxa"/>
          </w:tcPr>
          <w:tbl>
            <w:tblPr>
              <w:tblW w:w="0" w:type="auto"/>
              <w:tblBorders>
                <w:top w:val="nil"/>
                <w:left w:val="nil"/>
                <w:bottom w:val="nil"/>
                <w:right w:val="nil"/>
              </w:tblBorders>
              <w:tblLook w:val="0000" w:firstRow="0" w:lastRow="0" w:firstColumn="0" w:lastColumn="0" w:noHBand="0" w:noVBand="0"/>
            </w:tblPr>
            <w:tblGrid>
              <w:gridCol w:w="1650"/>
              <w:gridCol w:w="222"/>
            </w:tblGrid>
            <w:tr w:rsidR="00683E36" w:rsidRPr="00747A9E" w:rsidTr="00275473">
              <w:trPr>
                <w:trHeight w:val="931"/>
              </w:trPr>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t xml:space="preserve">Use of  G-CSF </w:t>
                  </w:r>
                </w:p>
              </w:tc>
              <w:tc>
                <w:tcPr>
                  <w:tcW w:w="0" w:type="auto"/>
                </w:tcPr>
                <w:p w:rsidR="00683E36" w:rsidRPr="00747A9E" w:rsidRDefault="00683E36" w:rsidP="00275473">
                  <w:pPr>
                    <w:autoSpaceDE w:val="0"/>
                    <w:autoSpaceDN w:val="0"/>
                    <w:adjustRightInd w:val="0"/>
                    <w:spacing w:after="0" w:line="360" w:lineRule="auto"/>
                    <w:jc w:val="both"/>
                    <w:rPr>
                      <w:rFonts w:ascii="Times New Roman" w:hAnsi="Times New Roman" w:cs="Times New Roman"/>
                      <w:color w:val="000000"/>
                      <w:sz w:val="24"/>
                      <w:szCs w:val="24"/>
                    </w:rPr>
                  </w:pPr>
                </w:p>
              </w:tc>
            </w:tr>
          </w:tbl>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use of G-CSF is prescribed in case of neutrophil count &lt; 500 or in case of previous G4 neutropenia found in a previous, similar cycle. G-CSF treatment is discontinued with neutrophil counts &gt; 5,000. Chemotherapy can only be started 48 hours after the last administration.</w:t>
            </w:r>
          </w:p>
        </w:tc>
      </w:tr>
      <w:tr w:rsidR="00683E36" w:rsidRPr="00CE642C" w:rsidTr="00275473">
        <w:tc>
          <w:tcPr>
            <w:tcW w:w="4814" w:type="dxa"/>
          </w:tcPr>
          <w:p w:rsidR="00683E36" w:rsidRPr="00747A9E" w:rsidRDefault="00683E36" w:rsidP="00275473">
            <w:pPr>
              <w:pStyle w:val="Default"/>
              <w:spacing w:line="360" w:lineRule="auto"/>
              <w:jc w:val="both"/>
              <w:rPr>
                <w:lang w:val="en-US"/>
              </w:rPr>
            </w:pPr>
            <w:r w:rsidRPr="00747A9E">
              <w:rPr>
                <w:lang w:val="en-US"/>
              </w:rPr>
              <w:t>Antibiotic treatment and febrile neutropenia</w:t>
            </w:r>
          </w:p>
        </w:tc>
        <w:tc>
          <w:tcPr>
            <w:tcW w:w="4814" w:type="dxa"/>
          </w:tcPr>
          <w:p w:rsidR="00683E36" w:rsidRPr="00747A9E" w:rsidRDefault="00683E36" w:rsidP="00275473">
            <w:pPr>
              <w:pStyle w:val="Default"/>
              <w:spacing w:line="360" w:lineRule="auto"/>
              <w:jc w:val="both"/>
            </w:pPr>
            <w:r w:rsidRPr="00747A9E">
              <w:t xml:space="preserve">Si suggerisce l'uso di Bactrim profilatticamente nel periodo atteso di nadir ematologico. </w:t>
            </w:r>
          </w:p>
          <w:p w:rsidR="00683E36" w:rsidRPr="00747A9E" w:rsidRDefault="00683E36" w:rsidP="00275473">
            <w:pPr>
              <w:pStyle w:val="Default"/>
              <w:spacing w:line="360" w:lineRule="auto"/>
              <w:jc w:val="both"/>
              <w:rPr>
                <w:lang w:val="en-US"/>
              </w:rPr>
            </w:pPr>
            <w:r w:rsidRPr="00747A9E">
              <w:rPr>
                <w:lang w:val="en-US"/>
              </w:rPr>
              <w:t>For the treatment of febrile neutropenia, see</w:t>
            </w:r>
          </w:p>
          <w:p w:rsidR="00683E36" w:rsidRPr="00747A9E" w:rsidRDefault="00683E36" w:rsidP="00275473">
            <w:pPr>
              <w:pStyle w:val="Default"/>
              <w:spacing w:line="360" w:lineRule="auto"/>
              <w:jc w:val="both"/>
              <w:rPr>
                <w:lang w:val="en-US"/>
              </w:rPr>
            </w:pPr>
            <w:r w:rsidRPr="00747A9E">
              <w:rPr>
                <w:lang w:val="en-US"/>
              </w:rPr>
              <w:t>methods specific to the participating centres.</w:t>
            </w:r>
          </w:p>
          <w:p w:rsidR="00683E36" w:rsidRPr="00747A9E" w:rsidRDefault="00683E36" w:rsidP="00275473">
            <w:pPr>
              <w:pStyle w:val="Default"/>
              <w:spacing w:line="360" w:lineRule="auto"/>
              <w:jc w:val="both"/>
              <w:rPr>
                <w:lang w:val="en-US"/>
              </w:rPr>
            </w:pPr>
            <w:r w:rsidRPr="00747A9E">
              <w:rPr>
                <w:lang w:val="en-US"/>
              </w:rPr>
              <w:t xml:space="preserve">It is recommended in case of fever &gt; 38.5°C (neutropenia febrile if associated with neutrophils &lt; 500), the use of IV ceftriaxone. If </w:t>
            </w:r>
            <w:r w:rsidRPr="00747A9E">
              <w:rPr>
                <w:lang w:val="en-US"/>
              </w:rPr>
              <w:lastRenderedPageBreak/>
              <w:t>fever persists beyond 48 hours, combine amikacin</w:t>
            </w:r>
          </w:p>
          <w:p w:rsidR="00683E36" w:rsidRPr="00747A9E" w:rsidRDefault="00683E36" w:rsidP="00275473">
            <w:pPr>
              <w:pStyle w:val="Default"/>
              <w:spacing w:line="360" w:lineRule="auto"/>
              <w:jc w:val="both"/>
              <w:rPr>
                <w:lang w:val="en-US"/>
              </w:rPr>
            </w:pPr>
            <w:r w:rsidRPr="00747A9E">
              <w:rPr>
                <w:lang w:val="en-US"/>
              </w:rPr>
              <w:t>EV. If possible at home, perform blood cultures,</w:t>
            </w:r>
          </w:p>
          <w:p w:rsidR="00683E36" w:rsidRPr="00747A9E" w:rsidRDefault="00683E36" w:rsidP="00275473">
            <w:pPr>
              <w:pStyle w:val="Default"/>
              <w:spacing w:line="360" w:lineRule="auto"/>
              <w:jc w:val="both"/>
              <w:rPr>
                <w:lang w:val="en-US"/>
              </w:rPr>
            </w:pPr>
            <w:r w:rsidRPr="00747A9E">
              <w:rPr>
                <w:lang w:val="en-US"/>
              </w:rPr>
              <w:t>throat swab and urine culture. Hospitalization will come requested by the doctor based on the clinical evaluation of the patient.</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r w:rsidRPr="00747A9E">
              <w:rPr>
                <w:rFonts w:ascii="Times New Roman" w:hAnsi="Times New Roman" w:cs="Times New Roman"/>
                <w:sz w:val="24"/>
                <w:szCs w:val="24"/>
              </w:rPr>
              <w:lastRenderedPageBreak/>
              <w:t>Emotransfusions</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Transfusion of concentrated red blood cells is recommended in case of hemoglobin &lt; 8g/dl. If clinically well tolerated it is possible to postpone. Hemoglobin values &lt; 7g/dl require</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transfusion of concentrated red blood cells regardless of clinical conditions.</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Transfusion of platelet concentrates is indicated with platelet values ≤ 10,000, or with higher values in the presence of clinical manifestations attributable to thrombocytopenia.</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rPr>
            </w:pPr>
            <w:r w:rsidRPr="00747A9E">
              <w:rPr>
                <w:rFonts w:ascii="Times New Roman" w:hAnsi="Times New Roman" w:cs="Times New Roman"/>
                <w:sz w:val="24"/>
                <w:szCs w:val="24"/>
              </w:rPr>
              <w:t>Thromboembolic prophylaxis</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If the patient is undergoing prophylactic treatment with calcium heparin or low molecular weight heparin, it is advisable to</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interrupt this treatment as long as the platelet values remain below 50,000/cumm</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sz w:val="24"/>
                <w:szCs w:val="24"/>
                <w:lang w:val="en-US"/>
              </w:rPr>
              <w:t xml:space="preserve">Administration of drugs and body surface area </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patients with body surface area greater than</w:t>
            </w:r>
          </w:p>
          <w:p w:rsidR="00683E36" w:rsidRPr="00747A9E" w:rsidRDefault="00683E36" w:rsidP="00275473">
            <w:pPr>
              <w:autoSpaceDE w:val="0"/>
              <w:autoSpaceDN w:val="0"/>
              <w:adjustRightInd w:val="0"/>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2 the dose of the drug must be related to a body surface area of 2.</w:t>
            </w:r>
          </w:p>
          <w:p w:rsidR="00683E36" w:rsidRPr="00747A9E" w:rsidRDefault="00683E36" w:rsidP="00275473">
            <w:pPr>
              <w:autoSpaceDE w:val="0"/>
              <w:autoSpaceDN w:val="0"/>
              <w:adjustRightInd w:val="0"/>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obese patients the dose must be related</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sz w:val="24"/>
                <w:szCs w:val="24"/>
                <w:lang w:val="en-US"/>
              </w:rPr>
              <w:t xml:space="preserve">to the ideal body surface area </w:t>
            </w:r>
          </w:p>
        </w:tc>
      </w:tr>
      <w:tr w:rsidR="00683E36" w:rsidRPr="00CE642C" w:rsidTr="00275473">
        <w:tc>
          <w:tcPr>
            <w:tcW w:w="4814" w:type="dxa"/>
          </w:tcPr>
          <w:p w:rsidR="00683E36" w:rsidRPr="00747A9E" w:rsidRDefault="00683E36" w:rsidP="00275473">
            <w:pPr>
              <w:pStyle w:val="Default"/>
              <w:spacing w:line="360" w:lineRule="auto"/>
              <w:jc w:val="both"/>
            </w:pPr>
            <w:r w:rsidRPr="00747A9E">
              <w:t>Reduction of doses</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No dose reductions are foreseen and every effort must be made to maintain the dose intensity foreseen by the protocol.</w:t>
            </w:r>
          </w:p>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If necessary, contact the coordinating center.</w:t>
            </w:r>
          </w:p>
        </w:tc>
      </w:tr>
      <w:tr w:rsidR="00683E36" w:rsidRPr="00CE642C" w:rsidTr="00275473">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sz w:val="24"/>
                <w:szCs w:val="24"/>
              </w:rPr>
            </w:pPr>
            <w:r w:rsidRPr="00747A9E">
              <w:rPr>
                <w:rFonts w:ascii="Times New Roman" w:hAnsi="Times New Roman" w:cs="Times New Roman"/>
                <w:color w:val="000000"/>
                <w:sz w:val="24"/>
                <w:szCs w:val="24"/>
              </w:rPr>
              <w:lastRenderedPageBreak/>
              <w:t>Vincristine</w:t>
            </w:r>
          </w:p>
        </w:tc>
        <w:tc>
          <w:tcPr>
            <w:tcW w:w="4814" w:type="dxa"/>
          </w:tcPr>
          <w:p w:rsidR="00683E36" w:rsidRPr="00747A9E" w:rsidRDefault="00683E36" w:rsidP="00275473">
            <w:pPr>
              <w:autoSpaceDE w:val="0"/>
              <w:autoSpaceDN w:val="0"/>
              <w:adjustRightInd w:val="0"/>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maximum dosage per cycle of Vincristine is 2 mg</w:t>
            </w:r>
          </w:p>
        </w:tc>
      </w:tr>
      <w:tr w:rsidR="00683E36" w:rsidRPr="00CE642C" w:rsidTr="00275473">
        <w:tc>
          <w:tcPr>
            <w:tcW w:w="4814" w:type="dxa"/>
          </w:tcPr>
          <w:p w:rsidR="00683E36" w:rsidRPr="00747A9E" w:rsidRDefault="00683E36" w:rsidP="00275473">
            <w:pPr>
              <w:pStyle w:val="Default"/>
              <w:spacing w:line="360" w:lineRule="auto"/>
              <w:jc w:val="both"/>
            </w:pPr>
            <w:r w:rsidRPr="00747A9E">
              <w:t>Dactnomycin</w:t>
            </w:r>
          </w:p>
        </w:tc>
        <w:tc>
          <w:tcPr>
            <w:tcW w:w="4814" w:type="dxa"/>
          </w:tcPr>
          <w:p w:rsidR="00683E36" w:rsidRPr="00747A9E" w:rsidRDefault="00683E36" w:rsidP="00275473">
            <w:pPr>
              <w:pStyle w:val="Default"/>
              <w:spacing w:line="360" w:lineRule="auto"/>
              <w:jc w:val="both"/>
              <w:rPr>
                <w:lang w:val="en-US"/>
              </w:rPr>
            </w:pPr>
            <w:r w:rsidRPr="00747A9E">
              <w:rPr>
                <w:lang w:val="en-US"/>
              </w:rPr>
              <w:t>The maximum dosage per cycle of Dactinomycin is 2 mg</w:t>
            </w:r>
          </w:p>
        </w:tc>
      </w:tr>
    </w:tbl>
    <w:p w:rsidR="00683E36" w:rsidRPr="00747A9E" w:rsidRDefault="00683E36" w:rsidP="00683E36">
      <w:pPr>
        <w:spacing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br w:type="page"/>
      </w:r>
      <w:r w:rsidRPr="00747A9E">
        <w:rPr>
          <w:rFonts w:ascii="Times New Roman" w:hAnsi="Times New Roman" w:cs="Times New Roman"/>
          <w:b/>
          <w:bCs/>
          <w:color w:val="000000"/>
          <w:sz w:val="24"/>
          <w:szCs w:val="24"/>
          <w:lang w:val="en-US"/>
        </w:rPr>
        <w:lastRenderedPageBreak/>
        <w:t xml:space="preserve">b) </w:t>
      </w:r>
      <w:r>
        <w:rPr>
          <w:rFonts w:ascii="Times New Roman" w:hAnsi="Times New Roman" w:cs="Times New Roman"/>
          <w:b/>
          <w:bCs/>
          <w:color w:val="000000"/>
          <w:sz w:val="24"/>
          <w:szCs w:val="24"/>
          <w:lang w:val="en-US"/>
        </w:rPr>
        <w:t>Administration of drugs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t xml:space="preserve">Course VAC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(Vincristine, Doxorubicin, Cyclophosphamide)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Tests to be performed preliminarily: Blood count, creatinine, transaminase, bilirubin, ECG</w:t>
      </w:r>
      <w:r w:rsidRPr="00747A9E">
        <w:rPr>
          <w:rFonts w:ascii="Times New Roman" w:hAnsi="Times New Roman" w:cs="Times New Roman"/>
          <w:noProof/>
          <w:sz w:val="24"/>
          <w:szCs w:val="24"/>
          <w:lang w:val="en-GB" w:eastAsia="en-GB"/>
        </w:rPr>
        <w:drawing>
          <wp:inline distT="0" distB="0" distL="0" distR="0" wp14:anchorId="4A29A3A7" wp14:editId="3A7825AB">
            <wp:extent cx="6120130" cy="1398887"/>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1398887"/>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Base solution: Saline solution, Bicarbonate 60 mEq/L, KCl 20 mEq/L.</w:t>
      </w: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administration of VAC requires a number of neutrophils ≥ 1000 and platelets ≥ 100,000, bilirubin values not exceeding 1.5 the upper limit of normal and transaminase values not exceeding 5 times the upper limit of normal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case of vincristine peripheral neuropathy, this should be omitted.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After a cumulative dose of Adriamycin of 320 mg/m2 an echocardiogram should be performed. In case of reduction in EF &gt;10% compared to baseline values, Adriamycin must be omitted. In case of radiotherapy involving the cardiac artery, the last cycle of Adriamycin must be omitted.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Avoid the administration of VAC during radiotherapy</w:t>
      </w:r>
    </w:p>
    <w:p w:rsidR="00683E36" w:rsidRPr="00747A9E" w:rsidRDefault="00683E36" w:rsidP="00683E36">
      <w:pPr>
        <w:spacing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lastRenderedPageBreak/>
        <w:t xml:space="preserve">Course VID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(Vincristine,Ifosfamide, Dactinomycn)</w:t>
      </w:r>
    </w:p>
    <w:p w:rsidR="00683E36" w:rsidRPr="00747A9E" w:rsidRDefault="00683E36" w:rsidP="00683E36">
      <w:pPr>
        <w:autoSpaceDE w:val="0"/>
        <w:autoSpaceDN w:val="0"/>
        <w:adjustRightInd w:val="0"/>
        <w:spacing w:after="0" w:line="360" w:lineRule="auto"/>
        <w:jc w:val="both"/>
        <w:rPr>
          <w:rFonts w:ascii="Times New Roman" w:hAnsi="Times New Roman" w:cs="Times New Roman"/>
          <w:noProof/>
          <w:color w:val="000000"/>
          <w:sz w:val="24"/>
          <w:szCs w:val="24"/>
          <w:lang w:val="en-US" w:eastAsia="it-IT"/>
        </w:rPr>
      </w:pPr>
      <w:r w:rsidRPr="00747A9E">
        <w:rPr>
          <w:rFonts w:ascii="Times New Roman" w:hAnsi="Times New Roman" w:cs="Times New Roman"/>
          <w:color w:val="000000"/>
          <w:sz w:val="24"/>
          <w:szCs w:val="24"/>
          <w:lang w:val="en-US"/>
        </w:rPr>
        <w:t>Tests to be performed preliminarily: Blood count, creatinine, transaminase, bilirubin</w:t>
      </w:r>
      <w:r w:rsidRPr="00747A9E">
        <w:rPr>
          <w:rFonts w:ascii="Times New Roman" w:hAnsi="Times New Roman" w:cs="Times New Roman"/>
          <w:noProof/>
          <w:color w:val="000000"/>
          <w:sz w:val="24"/>
          <w:szCs w:val="24"/>
          <w:lang w:val="en-US" w:eastAsia="it-IT"/>
        </w:rPr>
        <w:t xml:space="preserv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noProof/>
          <w:color w:val="000000"/>
          <w:sz w:val="24"/>
          <w:szCs w:val="24"/>
          <w:lang w:val="en-GB" w:eastAsia="en-GB"/>
        </w:rPr>
        <w:drawing>
          <wp:inline distT="0" distB="0" distL="0" distR="0" wp14:anchorId="2E49EF75" wp14:editId="65742947">
            <wp:extent cx="6124575" cy="3933825"/>
            <wp:effectExtent l="19050" t="0" r="952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t="17047" b="10369"/>
                    <a:stretch>
                      <a:fillRect/>
                    </a:stretch>
                  </pic:blipFill>
                  <pic:spPr bwMode="auto">
                    <a:xfrm>
                      <a:off x="0" y="0"/>
                      <a:ext cx="6124575" cy="3933825"/>
                    </a:xfrm>
                    <a:prstGeom prst="rect">
                      <a:avLst/>
                    </a:prstGeom>
                    <a:noFill/>
                    <a:ln>
                      <a:noFill/>
                    </a:ln>
                  </pic:spPr>
                </pic:pic>
              </a:graphicData>
            </a:graphic>
          </wp:inline>
        </w:drawing>
      </w: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Base solution: Saline solution, Bicarbonate 60 mEq/L, KCl 20 mEq/L.</w:t>
      </w:r>
    </w:p>
    <w:p w:rsidR="00683E36" w:rsidRPr="00DB1774"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 xml:space="preserv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administration of VID requires a number of neutrophils ≥ 1000 and platelets ≥ 100,000, transaminase values not exceeding 5 times the upper limit of normal and creatinine values within normal limits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case of vincristine peripheral neuropathy, this should be omitted.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Daily control of Urostix, in case of clear positivity (++ or &gt;) stop the administration of ifosfamide and hydrate the patient.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case of urinary pH &lt; 7, alkaline with 1 mEq of bicarbonate/kg in one hour. In case of severe neurological toxicity from ifosfamide, interrupt the infusion and administer 50 mg of Methylene Blue in 250 cc of physiological solution, repeatable after 4-6 hours.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Once the cumulative dose of Ifosfamide of 45 g/m2 has been exceeded, check creatinine clearance, TmP, urinary excretion of alpha1 microglobulin, glycosuria and proteinuria.</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lastRenderedPageBreak/>
        <w:t xml:space="preserve">Course IE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(Ifosfamide, Etoposide)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Tests to be performed preliminarily: Blood count, creatinine, transaminase, bilirubin</w:t>
      </w:r>
      <w:r w:rsidRPr="00747A9E">
        <w:rPr>
          <w:rFonts w:ascii="Times New Roman" w:hAnsi="Times New Roman" w:cs="Times New Roman"/>
          <w:noProof/>
          <w:color w:val="000000"/>
          <w:sz w:val="24"/>
          <w:szCs w:val="24"/>
          <w:lang w:val="en-GB" w:eastAsia="en-GB"/>
        </w:rPr>
        <w:drawing>
          <wp:inline distT="0" distB="0" distL="0" distR="0" wp14:anchorId="34607777" wp14:editId="73D3CE91">
            <wp:extent cx="6120130" cy="2258558"/>
            <wp:effectExtent l="0" t="0" r="0" b="889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2258558"/>
                    </a:xfrm>
                    <a:prstGeom prst="rect">
                      <a:avLst/>
                    </a:prstGeom>
                    <a:noFill/>
                    <a:ln>
                      <a:noFill/>
                    </a:ln>
                  </pic:spPr>
                </pic:pic>
              </a:graphicData>
            </a:graphic>
          </wp:inline>
        </w:drawing>
      </w:r>
      <w:r w:rsidRPr="00747A9E">
        <w:rPr>
          <w:rFonts w:ascii="Times New Roman" w:hAnsi="Times New Roman" w:cs="Times New Roman"/>
          <w:color w:val="000000"/>
          <w:sz w:val="24"/>
          <w:szCs w:val="24"/>
          <w:lang w:val="en-US"/>
        </w:rPr>
        <w:t xml:space="preserve"> </w:t>
      </w:r>
      <w:r w:rsidRPr="00747A9E">
        <w:rPr>
          <w:rFonts w:ascii="Times New Roman" w:hAnsi="Times New Roman" w:cs="Times New Roman"/>
          <w:noProof/>
          <w:color w:val="000000"/>
          <w:sz w:val="24"/>
          <w:szCs w:val="24"/>
          <w:lang w:val="en-GB" w:eastAsia="en-GB"/>
        </w:rPr>
        <w:drawing>
          <wp:inline distT="0" distB="0" distL="0" distR="0" wp14:anchorId="1FA895AD" wp14:editId="2182D136">
            <wp:extent cx="6120130" cy="3068013"/>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3068013"/>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DB1774" w:rsidRDefault="00683E36" w:rsidP="00683E36">
      <w:pPr>
        <w:spacing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Base solution: Saline solution, Bicarbonate 60 mEq/L, KCl 20 mEq/L.</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administration of IE requires a number of neutrophils ≥ 1000 and platelets ≥ 100,000, transaminase values not exceeding 5 times the upper limit of normal and creatinine values within normal limits</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Daily control of Urostix, in case of clear positivity (++ or &gt;) stop the administration of ifosfamide and hydrate the patient.</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In case of urinary pH &lt; 7, alkaline with 1 mEq of bicarbonate/kg in one hour. In case of severe neurological toxicity from ifosfamide, interrupt the infusion and administer 50 mg of Methylene Blue in 250 cc of physiological solution, repeatable after 4-6 hours.</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Once the cumulative dose of Ifosfamide of 45 g/m2 has been exceeded, check creatinine clearance, TmP, urinary excretion of alpha1 microglobulin, glycosuria and proteinuria.</w:t>
      </w: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lastRenderedPageBreak/>
        <w:t xml:space="preserve">Course VAI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(Vincristine, Doxorubicin, Ifosfamide)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Tests to be performed preliminarily: Blood count, creatinine, transaminase, bilirubin, ECG</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32A0C369" wp14:editId="5C754EDC">
            <wp:extent cx="6120130" cy="3897028"/>
            <wp:effectExtent l="0" t="0" r="0" b="825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3897028"/>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1B5F4536" wp14:editId="30EEE2B0">
            <wp:extent cx="6120130" cy="720639"/>
            <wp:effectExtent l="0" t="0" r="0" b="381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720639"/>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DB1774" w:rsidRDefault="00683E36" w:rsidP="00683E36">
      <w:pPr>
        <w:spacing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Base solution: Saline solution, Bicarbonate 60 mEq/L, KCl 20 mEq/L.</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administration of VAI requires a number of neutrophils ≥ 1000 and platelets ≥ 100,000, bilirubin values not exceeding 1.5 the upper limit of normality and transaminase values not exceeding 5 times the upper normal limit</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case of vincristine peripheral neuropathy, this should be omitted.</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After a cumulative dose of Adriamycin of 240 mg/m2 and 320 mg/m2 an echocardiogram should be performed. In case of reduction in EF &gt;10% compared to baseline values, Adriamycin must be omitted.</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Daily control of Urostix, in case of clear positivity (++ or &gt;) stop the administration of ifosfamide and hydrate the patient.</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In case of urinary pH &lt; 7, alkaline with 1 mEq of bicarbonate/kg in one hour. In case of severe neurological toxicity from ifosfamide, interrupt the infusion and administer 50 mg of Methylene Blue in 250 cc of physiological solution, repeatable after 4-6 hours.</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Once the cumulative dose of Ifosfamide of 45 g/m2 has been exceeded, check creatinine clearance, TmP, urinary excretion of alpha1 microglobulin, glycosuria and proteinuria</w:t>
      </w: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b/>
          <w:bCs/>
          <w:color w:val="000000"/>
          <w:sz w:val="24"/>
          <w:szCs w:val="24"/>
          <w:lang w:val="en-US"/>
        </w:rPr>
        <w:lastRenderedPageBreak/>
        <w:t xml:space="preserve">Course CE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(Cyclophosphamide, Etoposide)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Tests to be performed preliminarily: Blood count, creatinine, transaminase, bilirubin, urine test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577B4B02" wp14:editId="2FF97A19">
            <wp:extent cx="6120130" cy="552548"/>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552548"/>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10CDD9EA" wp14:editId="442DAEC3">
            <wp:extent cx="6120130" cy="4181487"/>
            <wp:effectExtent l="0" t="0" r="0" b="952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4181487"/>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DB1774" w:rsidRDefault="00683E36" w:rsidP="00683E36">
      <w:pPr>
        <w:spacing w:line="360" w:lineRule="auto"/>
        <w:jc w:val="both"/>
        <w:rPr>
          <w:rFonts w:ascii="Times New Roman" w:hAnsi="Times New Roman" w:cs="Times New Roman"/>
          <w:color w:val="000000"/>
          <w:sz w:val="24"/>
          <w:szCs w:val="24"/>
        </w:rPr>
      </w:pPr>
      <w:r w:rsidRPr="00DB1774">
        <w:rPr>
          <w:rFonts w:ascii="Times New Roman" w:hAnsi="Times New Roman" w:cs="Times New Roman"/>
          <w:color w:val="000000"/>
          <w:sz w:val="24"/>
          <w:szCs w:val="24"/>
        </w:rPr>
        <w:t>Base solution: Saline solution, Bicarbonate 60 mEq/L, KCl 20 mEq/L.</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CE administration requires a number of neutrophils ≥ 1000 and platelets ≥ 100,000, bilirubin values not exceeding 1.5 the upper limit of normal and transaminase values not exceeding 5 times the upper limit of normal.</w:t>
      </w:r>
    </w:p>
    <w:p w:rsidR="00683E36" w:rsidRPr="00747A9E" w:rsidRDefault="00683E36" w:rsidP="00683E36">
      <w:pPr>
        <w:spacing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br w:type="page"/>
      </w:r>
    </w:p>
    <w:p w:rsidR="00683E36" w:rsidRPr="00747A9E" w:rsidRDefault="00683E36" w:rsidP="00683E36">
      <w:pPr>
        <w:spacing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Course BuMel</w:t>
      </w:r>
    </w:p>
    <w:p w:rsidR="00683E36" w:rsidRPr="00747A9E" w:rsidRDefault="00683E36" w:rsidP="00683E36">
      <w:pPr>
        <w:spacing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(Busulfan, Melp halan</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noProof/>
          <w:color w:val="000000"/>
          <w:sz w:val="24"/>
          <w:szCs w:val="24"/>
          <w:lang w:val="en-GB" w:eastAsia="en-GB"/>
        </w:rPr>
        <w:drawing>
          <wp:inline distT="0" distB="0" distL="0" distR="0" wp14:anchorId="279656FE" wp14:editId="4D94142E">
            <wp:extent cx="6120130" cy="2935973"/>
            <wp:effectExtent l="19050" t="0" r="0" b="0"/>
            <wp:docPr id="17"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2935973"/>
                    </a:xfrm>
                    <a:prstGeom prst="rect">
                      <a:avLst/>
                    </a:prstGeom>
                    <a:noFill/>
                    <a:ln>
                      <a:noFill/>
                    </a:ln>
                  </pic:spPr>
                </pic:pic>
              </a:graphicData>
            </a:graphic>
          </wp:inline>
        </w:drawing>
      </w:r>
      <w:r w:rsidRPr="00747A9E">
        <w:rPr>
          <w:rFonts w:ascii="Times New Roman" w:hAnsi="Times New Roman" w:cs="Times New Roman"/>
          <w:color w:val="000000"/>
          <w:sz w:val="24"/>
          <w:szCs w:val="24"/>
          <w:lang w:val="en-US"/>
        </w:rPr>
        <w:t xml:space="preserve"> BUSULFAN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this scheme, Busulfan is used in an intravenous formulation (Busilvex) in a 2-hour infusion every 6 hours, for a total of 16 doses. The first dose is administered at 12 pm on day - 7 from the infusion of peripheral HSCs, the last dose at 6 am on day - 3. The times are indicative and at the discretion of the individual Centers. It is important to maintain time intervals between administrations of busulfan and between it and melphalan. The dose depends on body weight, according to the scheme: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44D7149C" wp14:editId="0A3E6DBB">
            <wp:extent cx="6120130" cy="335498"/>
            <wp:effectExtent l="0" t="0" r="0" b="762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335498"/>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1804563C" wp14:editId="796CF138">
            <wp:extent cx="6120130" cy="735513"/>
            <wp:effectExtent l="0" t="0" r="0" b="762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735513"/>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r w:rsidRPr="00747A9E">
        <w:rPr>
          <w:rFonts w:ascii="Times New Roman" w:hAnsi="Times New Roman" w:cs="Times New Roman"/>
          <w:i/>
          <w:iCs/>
          <w:color w:val="000000"/>
          <w:sz w:val="24"/>
          <w:szCs w:val="24"/>
          <w:lang w:val="en-US"/>
        </w:rPr>
        <w:t>It is at the discretion of the individual Centers, where it is possible to carry out the plasma dosage of the drug (busulphanaemia), to use the oral formulation of busulfan (Myleran © tablet 2 mg). In this case the equivalent oral dose is 1 mg/kg every 6 hours x 16 administrations.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i/>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i/>
          <w:iCs/>
          <w:color w:val="000000"/>
          <w:sz w:val="24"/>
          <w:szCs w:val="24"/>
          <w:lang w:val="en-US"/>
        </w:rPr>
      </w:pPr>
      <w:r w:rsidRPr="00747A9E">
        <w:rPr>
          <w:rFonts w:ascii="Times New Roman" w:hAnsi="Times New Roman" w:cs="Times New Roman"/>
          <w:bCs/>
          <w:i/>
          <w:iCs/>
          <w:color w:val="000000"/>
          <w:sz w:val="24"/>
          <w:szCs w:val="24"/>
          <w:lang w:val="en-US"/>
        </w:rPr>
        <w:t>METHOD OF PREPARATION AND ADMINISTRATION OF BUSILVEX©</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iCs/>
          <w:color w:val="000000"/>
          <w:sz w:val="24"/>
          <w:szCs w:val="24"/>
          <w:lang w:val="en-US"/>
        </w:rPr>
      </w:pPr>
      <w:r w:rsidRPr="00747A9E">
        <w:rPr>
          <w:rFonts w:ascii="Times New Roman" w:hAnsi="Times New Roman" w:cs="Times New Roman"/>
          <w:bCs/>
          <w:iCs/>
          <w:color w:val="000000"/>
          <w:sz w:val="24"/>
          <w:szCs w:val="24"/>
          <w:lang w:val="en-US"/>
        </w:rPr>
        <w:t>Busilvex © (60 mg/10 ml vials) must be diluted in physiological solution until a final concentration of 0.5 mg/ml is obtained. In practice, the volume of the diluent (SF) must be equal to 10 times the volume of busilvex.</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iCs/>
          <w:color w:val="000000"/>
          <w:sz w:val="24"/>
          <w:szCs w:val="24"/>
          <w:lang w:val="en-US"/>
        </w:rPr>
      </w:pPr>
      <w:r w:rsidRPr="00747A9E">
        <w:rPr>
          <w:rFonts w:ascii="Times New Roman" w:hAnsi="Times New Roman" w:cs="Times New Roman"/>
          <w:bCs/>
          <w:iCs/>
          <w:color w:val="000000"/>
          <w:sz w:val="24"/>
          <w:szCs w:val="24"/>
          <w:lang w:val="en-US"/>
        </w:rPr>
        <w:t>Example: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iCs/>
          <w:color w:val="000000"/>
          <w:sz w:val="24"/>
          <w:szCs w:val="24"/>
          <w:lang w:val="en-US"/>
        </w:rPr>
      </w:pPr>
      <w:r w:rsidRPr="00747A9E">
        <w:rPr>
          <w:rFonts w:ascii="Times New Roman" w:hAnsi="Times New Roman" w:cs="Times New Roman"/>
          <w:bCs/>
          <w:iCs/>
          <w:color w:val="000000"/>
          <w:sz w:val="24"/>
          <w:szCs w:val="24"/>
          <w:lang w:val="en-US"/>
        </w:rPr>
        <w:lastRenderedPageBreak/>
        <w:t>Patient weighing 45 kg. Dose of Busilvex: 0.8 x 45 = 36 mg</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iCs/>
          <w:color w:val="000000"/>
          <w:sz w:val="24"/>
          <w:szCs w:val="24"/>
          <w:lang w:val="en-US"/>
        </w:rPr>
      </w:pPr>
      <w:r w:rsidRPr="00747A9E">
        <w:rPr>
          <w:rFonts w:ascii="Times New Roman" w:hAnsi="Times New Roman" w:cs="Times New Roman"/>
          <w:bCs/>
          <w:iCs/>
          <w:color w:val="000000"/>
          <w:sz w:val="24"/>
          <w:szCs w:val="24"/>
          <w:lang w:val="en-US"/>
        </w:rPr>
        <w:t>The volume of Busilvex to be used is calculated by dividing the mg obtained by 6 = 36:6 = 6 ml of busilvex. The volume of saline solution to be added is obtained by multiplying the volume of Busilvex by 10 = 10 x 6 = 60 ml.</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iCs/>
          <w:color w:val="000000"/>
          <w:sz w:val="24"/>
          <w:szCs w:val="24"/>
          <w:lang w:val="en-US"/>
        </w:rPr>
      </w:pPr>
      <w:r w:rsidRPr="00747A9E">
        <w:rPr>
          <w:rFonts w:ascii="Times New Roman" w:hAnsi="Times New Roman" w:cs="Times New Roman"/>
          <w:bCs/>
          <w:iCs/>
          <w:color w:val="000000"/>
          <w:sz w:val="24"/>
          <w:szCs w:val="24"/>
          <w:lang w:val="en-US"/>
        </w:rPr>
        <w:t>Therefore 36 mg = 6 ml of Busilvex to be added to 60 ml of saline solution.</w:t>
      </w:r>
      <w:r w:rsidRPr="00747A9E">
        <w:rPr>
          <w:rFonts w:ascii="Times New Roman" w:hAnsi="Times New Roman" w:cs="Times New Roman"/>
          <w:sz w:val="24"/>
          <w:szCs w:val="24"/>
          <w:lang w:val="en-US"/>
        </w:rPr>
        <w:t xml:space="preserve"> </w:t>
      </w:r>
      <w:r w:rsidRPr="00747A9E">
        <w:rPr>
          <w:rFonts w:ascii="Times New Roman" w:hAnsi="Times New Roman" w:cs="Times New Roman"/>
          <w:bCs/>
          <w:iCs/>
          <w:color w:val="000000"/>
          <w:sz w:val="24"/>
          <w:szCs w:val="24"/>
          <w:lang w:val="en-US"/>
        </w:rPr>
        <w:t>Always add busilvex to the diluent and not the other way around.</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i/>
          <w:i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Depending on the dose of Busilvex to be administered, up to a maximum of 3 doses can be prepared at a time, to be used at time 0, after 6 and 12 hours respectively.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Melphalan (Alkeran injectable©) is administered at a single dose of 140 mg/m2 in a 30-minute infusion, at least 24 hours after the end of the last dose of busulfan and 48 hours before the CSEP infusion. The proposed treatment scheme involves infusion at 9 am on day – 2.</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METHOD OF ADMINISTRATION OF 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Melphalan (injectable Alkeran, 50 mg/10 ml vials) must be diluted, bringing the final dose to 50 or 100 ml of physiological solution. Administer IV through CVC over 30 minutes in separate sets.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doses to be used for subsequent administrations must be stored in the refrigerator at a temperature between 2 and 8 degrees for a maximum duration of 13 hours. In the last hour the product can be kept at a temperature of 20° + 5° before being infused. In this way the drug remains stable during the two hours of infusion.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infusion must be done through the CVC, in a separate set, for a duration of 2 hours.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ONGOING SUPPORTIVE THERAPY OF BUSULFAN AND 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rPr>
      </w:pPr>
      <w:r w:rsidRPr="00747A9E">
        <w:rPr>
          <w:rFonts w:ascii="Times New Roman" w:hAnsi="Times New Roman" w:cs="Times New Roman"/>
          <w:bCs/>
          <w:color w:val="000000"/>
          <w:sz w:val="24"/>
          <w:szCs w:val="24"/>
          <w:lang w:val="en-US"/>
        </w:rPr>
        <w:t xml:space="preserve">The method of administration of supportive therapies during treatment with busulfan and melphalan will depend on the choices of the individual Centres. </w:t>
      </w:r>
      <w:r w:rsidRPr="00747A9E">
        <w:rPr>
          <w:rFonts w:ascii="Times New Roman" w:hAnsi="Times New Roman" w:cs="Times New Roman"/>
          <w:bCs/>
          <w:color w:val="000000"/>
          <w:sz w:val="24"/>
          <w:szCs w:val="24"/>
        </w:rPr>
        <w:t>The following table is indicative of possible supportive therapies: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lastRenderedPageBreak/>
        <w:drawing>
          <wp:inline distT="0" distB="0" distL="0" distR="0" wp14:anchorId="636EDEBD" wp14:editId="2F63D9FE">
            <wp:extent cx="6120130" cy="3207507"/>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20130" cy="3207507"/>
                    </a:xfrm>
                    <a:prstGeom prst="rect">
                      <a:avLst/>
                    </a:prstGeom>
                    <a:noFill/>
                    <a:ln>
                      <a:noFill/>
                    </a:ln>
                  </pic:spPr>
                </pic:pic>
              </a:graphicData>
            </a:graphic>
          </wp:inline>
        </w:drawing>
      </w:r>
    </w:p>
    <w:p w:rsidR="00683E36" w:rsidRPr="00747A9E" w:rsidRDefault="00683E36" w:rsidP="00683E36">
      <w:pPr>
        <w:spacing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br w:type="page"/>
      </w:r>
    </w:p>
    <w:p w:rsidR="00683E36" w:rsidRPr="00747A9E" w:rsidRDefault="00683E36" w:rsidP="00683E36">
      <w:pPr>
        <w:spacing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lastRenderedPageBreak/>
        <w:drawing>
          <wp:inline distT="0" distB="0" distL="0" distR="0" wp14:anchorId="24AEBD3E" wp14:editId="5E9EB070">
            <wp:extent cx="3667125" cy="666750"/>
            <wp:effectExtent l="19050" t="0" r="9525" b="0"/>
            <wp:docPr id="3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747A9E" w:rsidRDefault="00683E36" w:rsidP="00683E36">
      <w:pPr>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INFORMATION SHEET (ADULTS)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Mr. ................................................ ................, the investigations carried out have shown that she is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carrier of a tumor called Ewing sarcoma. This disease requires treatment combined surgery, radiotherapy and chemotherapy.</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Surgical or radiotherapy treatment alone allows for a cure rate of approximately 10%.</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of people who find themselves in her clinical situation.</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combination of chemotherapy treatment can bring this percentage to around 70%.</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Medical-scientific research is planned at this Institute ……………………</w:t>
      </w:r>
    </w:p>
    <w:p w:rsidR="00683E36" w:rsidRPr="00501728" w:rsidRDefault="00683E36" w:rsidP="00683E36">
      <w:pPr>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called ISG/AIEOP EW-1.</w:t>
      </w:r>
    </w:p>
    <w:p w:rsidR="00683E36" w:rsidRPr="00501728" w:rsidRDefault="00683E36" w:rsidP="00683E36">
      <w:pPr>
        <w:spacing w:after="0" w:line="360" w:lineRule="auto"/>
        <w:jc w:val="both"/>
        <w:rPr>
          <w:rFonts w:ascii="Times New Roman" w:hAnsi="Times New Roman" w:cs="Times New Roman"/>
          <w:sz w:val="24"/>
          <w:szCs w:val="24"/>
          <w:lang w:val="en-US"/>
        </w:rPr>
      </w:pP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ISG/AIEOP EW-1 is a multi-centre study, i.e. several interested parties are involved</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Hospitals and treatment centers in Italy.</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carry out this study we need the collaboration and availability of people who like</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 satisfy the scientific requirements suitable for the evaluation that will be performed. Anyway, before that you make the decision to accept or decline to participate, please read with</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attention, taking all the time you need, these pages and asking us for clarification</w:t>
      </w:r>
      <w:r>
        <w:rPr>
          <w:rFonts w:ascii="Times New Roman" w:hAnsi="Times New Roman" w:cs="Times New Roman"/>
          <w:sz w:val="24"/>
          <w:szCs w:val="24"/>
          <w:lang w:val="en-US"/>
        </w:rPr>
        <w:t xml:space="preserve"> </w:t>
      </w:r>
      <w:r w:rsidRPr="00747A9E">
        <w:rPr>
          <w:rFonts w:ascii="Times New Roman" w:hAnsi="Times New Roman" w:cs="Times New Roman"/>
          <w:sz w:val="24"/>
          <w:szCs w:val="24"/>
          <w:lang w:val="en-US"/>
        </w:rPr>
        <w:t>ask your family or a trusted doctor for advice.</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clinical experience of the Italian Sarcoma Group in the treatment of Ewing's sarcoma: I</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drugs considered active against Ewing's sarcoma are vincristine, ifosfamide,</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adriamycin, etoposide, cyclophosphamide, dactinomycin.</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Previous experience has shown that patients exhibiting a good response to such chemotherapy have a better prognosis than those who are poorly responders.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a study that we recently concluded (ISG/SSG III) we were able to observe that moles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Poorly responsive patients can achieve the same chances of recovery as those who demonstrate high sensitivity using therapy with high doses of drugs whose names are busulfan and melphalan with bone marrow support obtained with hematopoietic stem cells.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light of this, the standard reference chemotherapy strategy for our group includes the use of 6 drugs (vincristine, ifosfamide, adriamycin, etoposide, cyclophosphamide, dactinomycin) followed by local treatment (surgery and/or radiotherapy) and then the continuation with the use of the same 6 drugs, while it is followed by an intensification with high doses in patients with a poor response.</w:t>
      </w:r>
    </w:p>
    <w:p w:rsidR="00683E36" w:rsidRPr="00747A9E" w:rsidRDefault="00683E36" w:rsidP="00683E36">
      <w:pPr>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does the study propose?</w:t>
      </w:r>
    </w:p>
    <w:p w:rsidR="00683E36" w:rsidRPr="00747A9E" w:rsidRDefault="00683E36" w:rsidP="00683E36">
      <w:pPr>
        <w:spacing w:after="0" w:line="360" w:lineRule="auto"/>
        <w:jc w:val="both"/>
        <w:rPr>
          <w:rFonts w:ascii="Times New Roman" w:hAnsi="Times New Roman" w:cs="Times New Roman"/>
          <w:b/>
          <w:sz w:val="24"/>
          <w:szCs w:val="24"/>
          <w:lang w:val="en-US"/>
        </w:rPr>
      </w:pP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study we propose you to participate in compares two treatment protocols which</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use active drugs in Ewing's sarcoma according to the same treatment strategy, but</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with different methods of administration: one administers the drugs according to our previous ISG/SSG III protocol, the other uses them at a dose intensity (quantity of drug administered in the higher unit of time, i.e. in a shorter period of time.</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ISG/SSG III protocol has a duration of 37 weeks (9 months and one week), that of</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comparison lasts 25 weeks (6 months and one week).</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Our goal is to demonstrate that a shorter, but intensified treatment achieves the same chances of recovery as a longer duration protocol.</w:t>
      </w:r>
    </w:p>
    <w:p w:rsidR="00683E36" w:rsidRPr="00747A9E" w:rsidRDefault="00683E36" w:rsidP="00683E36">
      <w:pPr>
        <w:spacing w:after="0" w:line="360" w:lineRule="auto"/>
        <w:jc w:val="both"/>
        <w:rPr>
          <w:rFonts w:ascii="Times New Roman" w:hAnsi="Times New Roman" w:cs="Times New Roman"/>
          <w:sz w:val="24"/>
          <w:szCs w:val="24"/>
          <w:lang w:val="en-US"/>
        </w:rPr>
      </w:pPr>
    </w:p>
    <w:p w:rsidR="00683E36" w:rsidRPr="00747A9E" w:rsidRDefault="00683E36" w:rsidP="00683E36">
      <w:pPr>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does your participation in the study entail?</w:t>
      </w:r>
    </w:p>
    <w:p w:rsidR="00683E36" w:rsidRPr="00747A9E" w:rsidRDefault="00683E36" w:rsidP="00683E36">
      <w:pPr>
        <w:spacing w:after="0" w:line="360" w:lineRule="auto"/>
        <w:jc w:val="both"/>
        <w:rPr>
          <w:rFonts w:ascii="Times New Roman" w:hAnsi="Times New Roman" w:cs="Times New Roman"/>
          <w:b/>
          <w:sz w:val="24"/>
          <w:szCs w:val="24"/>
          <w:lang w:val="en-US"/>
        </w:rPr>
      </w:pP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decide to participate, the study provides that you will be randomly assigned (process of</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randomization) to one of the two protocols.</w:t>
      </w:r>
    </w:p>
    <w:p w:rsidR="00683E36" w:rsidRPr="00747A9E" w:rsidRDefault="00683E36" w:rsidP="00683E36">
      <w:pPr>
        <w:spacing w:after="0" w:line="360" w:lineRule="auto"/>
        <w:jc w:val="both"/>
        <w:rPr>
          <w:rFonts w:ascii="Times New Roman" w:hAnsi="Times New Roman" w:cs="Times New Roman"/>
          <w:sz w:val="24"/>
          <w:szCs w:val="24"/>
          <w:lang w:val="en-US"/>
        </w:rPr>
      </w:pP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What are the differences between the two treatments:</w:t>
      </w:r>
    </w:p>
    <w:p w:rsidR="00683E36" w:rsidRPr="00747A9E" w:rsidRDefault="00683E36" w:rsidP="00683E36">
      <w:pPr>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Both protocols use the same treatment strategy which involves an initial phase chemotherapy and the evaluation of the changes induced on the tumor by the chemotherapy itself induction by histological or radiological examination. If the disease does not demonstrate a optimal sensitivity to induction treatment you will receive chemotherapy treatment which will first lead to the collection of hematopoietic stem cells (immature cells that constitute the precursors of white blood cells, red blood cells and platelets) which will then be given to you after treatment with high doses of busulfan and melphalan. This procedure is used in as treatment with busulfan and melphalan involves an important and long-lasting effect reduction in white blood cells, red blood cells and platelets. To promote the quicker restoration of normal white blood cell values. of red blood cells and platelets, hematopoietic stem cells are reinfused.</w:t>
      </w:r>
    </w:p>
    <w:p w:rsidR="00683E36" w:rsidRPr="00501728" w:rsidRDefault="00683E36" w:rsidP="00683E36">
      <w:pPr>
        <w:shd w:val="clear" w:color="auto" w:fill="F5F5F5"/>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cumulative dosage of the drugs ifosfamide, adriamycin and etoposide, busulfan and melphalan is everything is identical in the two protocols. In protocol B the dosage of cyclophosphamide and vincristine is minor and dactinomycin is not used. In protocol B the dose intensity of ifosfamide, adriamycin and etoposide is higher. The duration of protocol B is 6 months compared to 9 of that of protocol 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lastRenderedPageBreak/>
        <w:t>For a period of 5 years all people meeting the requirements for entry into the studio will come</w:t>
      </w:r>
    </w:p>
    <w:p w:rsidR="00683E36" w:rsidRPr="005E7394"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processed according to the methods set out above. The minimum number of people who will enter this study will be 220.</w:t>
      </w:r>
    </w:p>
    <w:p w:rsidR="00683E36" w:rsidRPr="00501728" w:rsidRDefault="00683E36" w:rsidP="00683E36">
      <w:pPr>
        <w:spacing w:after="0" w:line="360" w:lineRule="auto"/>
        <w:jc w:val="both"/>
        <w:rPr>
          <w:rFonts w:ascii="Times New Roman" w:eastAsia="Times New Roman" w:hAnsi="Times New Roman" w:cs="Times New Roman"/>
          <w:b/>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b/>
          <w:color w:val="3C4043"/>
          <w:sz w:val="24"/>
          <w:szCs w:val="24"/>
          <w:lang w:val="en-US" w:eastAsia="it-IT"/>
        </w:rPr>
        <w:t>The tests that have been carried out have shown that his conditions meet the requirements required by the study.</w:t>
      </w:r>
      <w:r w:rsidRPr="00501728">
        <w:rPr>
          <w:rFonts w:ascii="Times New Roman" w:eastAsia="Times New Roman" w:hAnsi="Times New Roman" w:cs="Times New Roman"/>
          <w:color w:val="3C4043"/>
          <w:sz w:val="24"/>
          <w:szCs w:val="24"/>
          <w:lang w:val="en-US" w:eastAsia="it-IT"/>
        </w:rPr>
        <w:t xml:space="preserve">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For your part, you are asked to collaborate by following all the instructions, particularly at home they will be provided to you for the management and recording of any toxicities arising outside of the periods in which he will be hospitalized. Participation in the study does not entail any burden on hospitalizations for you expenses which will be borne by this structure.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b/>
          <w:color w:val="3C4043"/>
          <w:sz w:val="24"/>
          <w:szCs w:val="24"/>
          <w:lang w:val="en-US" w:eastAsia="it-IT"/>
        </w:rPr>
        <w:t xml:space="preserve">Investigations to which you will be subjected during the study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The study involves carrying out the following control investigations: X-rays, CT scans and Magnetic resonance imaging of the tumor, skeletal scan, chest CT scan, blood tests for evaluation of renal, hepatic and medullary function. Electrocardiogram, Echocardiogram. What are the benefits you will receive by participating in the study. The following benefits can be expected from participation in the study: You will receive treatment chemotherapy with proven efficacy and will at the same time be subjected to strict control of the possible side effects of the drugs used.</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are the risks of participating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Participation in the study does not expose you to any risks other than those you would face if you came treated with chemotherapy for her disease, outside the criteria established by our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Adriamycin can cause heart damage, even severe stomatitis, and reduction in white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(with risk of infections), reduction of platelets (with risk of bleeding), reduction of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red (with anemia); ifosfamide can cause neurological disorders (confusion, agitation, drowsiness) during drug administration and reversible, kidney damage (generally transient, but sometimes not reversible and with the possibility of causing chronic renal failure), moderate stomatitis, reduction in white blood cells (with risk of infections), reduction of platelets (with risk of haemorrhages), reduction of red blood cells (with anaemia).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Etoposide can cause stomatitis, reduction in white blood cells (with risk of infections),reduction of platelets (with risk of bleeding), reduction of red blood cells (with anemia).Cyclophosphamide can </w:t>
      </w:r>
      <w:r w:rsidRPr="00747A9E">
        <w:rPr>
          <w:rFonts w:ascii="Times New Roman" w:hAnsi="Times New Roman" w:cs="Times New Roman"/>
          <w:sz w:val="24"/>
          <w:szCs w:val="24"/>
          <w:lang w:val="en-US"/>
        </w:rPr>
        <w:lastRenderedPageBreak/>
        <w:t>cause neurological disorders (confusion, agitation, drowsiness) in the course of drug administration and reversible kidney damage, moderate stomatitis, reduction in white blood cells (with risk of infections), reduction in platelets (with risk ofhaemorrhages), reduction of red blood cells (with anaemia).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Vincristine can cause peripheral neurological disorders with alterations in sensitivity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the hands and feet, alterations in intestinal motility with constipation up to a condition of</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transient intestinal paralysis (ileus).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Dactinomycin can cause moderate stomatitis and liver toxicity. slight reduction of white blood cells and platelets. It can accentuate skin lesions from radiotherapy.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were to undergo treatment with high doses of busulfan and melphalan, after the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administration of the drugs, he will remain hospitalized for a few days, from 10 to 14 on average, in one room equipped with special measures in order to reduce the risk of infection on the days in which  the  white blood cell levels will be particularly low. Despite the precautions put in place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however, infectious complications may be possible which will require specific therapies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relation to the cause of the infection (antibiotic or antifungal or antiviral). They will become necessary transfusions of packed red blood cells and platelets. The effect of drugs on the mucous membranes may induce a picture of even very severe mucositis which may require the use of anti-mucositis drugspain of particular intensity (morphine) and nutrition for a short period of time not via oral, but through a venous route (parenteral nutrition). It is possible that, despite the prophylactic therapy to which he will be subjected, he may experience epileptic-type episodes secondary to useof busulfan (in the previous protocol the incidence of this complication was less than 2%).</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These episodes represent an acute event and do not cause them to become chronic. It's possible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that, despite the prophylactic therapy to which he will be subjected, he may experience one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complication which is called venoocclusive disease, with particular alterations of liver function (in the previous protocol the incidence of this complication was lower to 3%). These episodes are usually mild and are fully reversible. If it were to be subjected to this treatment will suffer permanent sterility. No events were recorded in the previous study using the same combination of drugs as the present study serious toxic effects, however it is not possible to exclude the possibility of resulting complications, including fatal ones from this procedure.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Vincristine, dactinomycin and adriamycin, if they leak into the tissues due to rupture of the vein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cause serious damage and it is therefore advisable to infuse them into central venous catheters.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Chemotherapy treatment will also cause hair loss (alopecia) which is reversible upon completion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of chemotherapy. However, some patients undergoing high-dose chemotherapy can experience partial or complete irreversible alopecia. During the administration ofmedications and, sometimes </w:t>
      </w:r>
      <w:r w:rsidRPr="00747A9E">
        <w:rPr>
          <w:rFonts w:ascii="Times New Roman" w:hAnsi="Times New Roman" w:cs="Times New Roman"/>
          <w:sz w:val="24"/>
          <w:szCs w:val="24"/>
          <w:lang w:val="en-US"/>
        </w:rPr>
        <w:lastRenderedPageBreak/>
        <w:t>even a few days later, nausea and vomiting may appear. In the people of male sex who receive such chemotherapy treatment at puberty or later there is a damage to the sperm-producing apparatus with the possibility of even permanent infertility (in the case of administration of high doses, infertility is certain). In female people who receive chemotherapy after menarche, as a rule, no damage occurs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cause infertility unless they are subjected to high-dose treatments. In this last case, especially if in association with radiotherapy on the pelvis, infertility is certain.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males of childbearing age it is possible to carry out before treatment chemotherapy a collection of seminal fluid that can be stored in a sperm bank, as well as in females it is possible to resort to cryopreservation of oocytes. Bot these techniques do not represent a guarantee of being able to procreate and may require their organization a few days and therefore delay the start of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There is no evidence that chemotherapy treatment may increase the risk of having a child with malformations compared to women who did not receive chemotherapy.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females, all precautions must be used to avoid one pregnancy undergoing therapy due to the very serious harmful effects that chemotherapy would have on the fetus.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reduce the length of time when white blood cells are low and the risk of infection is high</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 may be treated with a medicine (called growth factor) that stimulates the bone marrow</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bone to produce white blood cells. The doctors in the Chemotherapy Department will give you instructions specifications as well as informing your doctor in detail.</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the event of a drop in platelets and/or signs of bleeding it will be necessary to perform transfusions of platelet concentrates.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the case of anemia with clinical disorders it will be necessary to perform packed red blood cell transfusions.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If data becomes available that may influence your willingness to continue participate in the study, he will be promptly informed.</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bCs/>
          <w:sz w:val="24"/>
          <w:szCs w:val="24"/>
          <w:lang w:val="en-US"/>
        </w:rPr>
        <w:t>What happens if you decide not to participate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You are free not to participate in the study. In this case you will still receive all the therapies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standards expected for your pathology and doctors will continue to follow you with due attention</w:t>
      </w:r>
    </w:p>
    <w:p w:rsidR="00683E36" w:rsidRPr="00501728"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501728">
        <w:rPr>
          <w:rFonts w:ascii="Times New Roman" w:hAnsi="Times New Roman" w:cs="Times New Roman"/>
          <w:bCs/>
          <w:sz w:val="24"/>
          <w:szCs w:val="24"/>
          <w:lang w:val="en-US"/>
        </w:rPr>
        <w:t>welfare.</w:t>
      </w:r>
    </w:p>
    <w:p w:rsidR="00683E36" w:rsidRPr="00501728"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501728">
        <w:rPr>
          <w:rFonts w:ascii="Times New Roman" w:hAnsi="Times New Roman" w:cs="Times New Roman"/>
          <w:b/>
          <w:bCs/>
          <w:sz w:val="24"/>
          <w:szCs w:val="24"/>
          <w:lang w:val="en-US"/>
        </w:rPr>
        <w:t>Study interruption</w:t>
      </w:r>
    </w:p>
    <w:p w:rsidR="00683E36" w:rsidRPr="00501728"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Cs/>
          <w:sz w:val="24"/>
          <w:szCs w:val="24"/>
          <w:lang w:val="en-US"/>
        </w:rPr>
        <w:lastRenderedPageBreak/>
        <w:t>Your participation in this study is voluntary and you may withdraw at any time.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Confidentiality of personal data</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Pursuant to art. 10 of law no. 675 of 31/12/1996 on the protection of people with respect to</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processing of personal data, we inform you that your personal data will be collected and stored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electronically and will be used anonymously for research purposes only scientific. You have the right to know what information will be stored and to update or modify incorrect data. Access to such data will be protected by the investigator. Regulatory authorities and medical personnel responsible for monitoring and verifying procedures will be able to inspect the archive without however being able to trace his personal identity. By signing the informed consent form you will authorize access to such data.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results of the study in which he participates may be the subject of publications, but his identity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will always remain secret.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It is necessary that your family doctor is informed of the type and nature of the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which you will be subjected. To this end we are available for meetings or telephone conversations.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Information about the results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request it, the results of the study may be communicated to you at the end of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Further information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For further information and communications during the study the following will be available</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staff:......................................................................................................................................</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study protocol proposed to you was drawn up in compliance with Good Clinical Practice standards of the European Union and the current revision of the Declaration of Helsinki and is been approved by the Ethics Committee..................................................................................................................</w:t>
      </w:r>
    </w:p>
    <w:p w:rsidR="00683E36" w:rsidRPr="00493081"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b/>
          <w:bCs/>
          <w:noProof/>
          <w:sz w:val="24"/>
          <w:szCs w:val="24"/>
          <w:lang w:val="en-GB" w:eastAsia="en-GB"/>
        </w:rPr>
        <w:drawing>
          <wp:inline distT="0" distB="0" distL="0" distR="0" wp14:anchorId="08E3AC61" wp14:editId="2158CA19">
            <wp:extent cx="3667125" cy="666750"/>
            <wp:effectExtent l="19050" t="0" r="9525" b="0"/>
            <wp:docPr id="2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bCs/>
          <w:sz w:val="24"/>
          <w:szCs w:val="24"/>
          <w:lang w:val="en-US"/>
        </w:rPr>
        <w:lastRenderedPageBreak/>
        <w:t>DECLARATION OF CONSENT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 the undersigned................................................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 declare that I have received from Dr. ..................................................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comprehensive explanations regarding the request to participate in the experimental study in question, as reported in the information sheet attached here, a copy of which was sent to me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delivered sufficiently in advance (date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 also declare that I was able to discuss these explanations and ask all the questions I considered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necessary and to have received satisfactory answers, as well as to have had the opportunity to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inform me about the details of the study with a person I trust.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 therefore freely accept to participate in the experimentation, having completely understood the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meaning of the request and having understood the risks and benefits involved.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 have also been informed of my right to have free access to the documentation relating to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experimentation (insurance, clinical-scientific, pharmaco-therapeutic) and express evaluation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by the Ethics Committee.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 ................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 xml:space="preserve">Date </w:t>
      </w:r>
      <w:r w:rsidRPr="00747A9E">
        <w:rPr>
          <w:rFonts w:ascii="Times New Roman" w:hAnsi="Times New Roman" w:cs="Times New Roman"/>
          <w:bCs/>
          <w:sz w:val="24"/>
          <w:szCs w:val="24"/>
          <w:lang w:val="en-US"/>
        </w:rPr>
        <w:tab/>
      </w:r>
      <w:r w:rsidRPr="00747A9E">
        <w:rPr>
          <w:rFonts w:ascii="Times New Roman" w:hAnsi="Times New Roman" w:cs="Times New Roman"/>
          <w:bCs/>
          <w:sz w:val="24"/>
          <w:szCs w:val="24"/>
          <w:lang w:val="en-US"/>
        </w:rPr>
        <w:tab/>
      </w:r>
      <w:r w:rsidRPr="00747A9E">
        <w:rPr>
          <w:rFonts w:ascii="Times New Roman" w:hAnsi="Times New Roman" w:cs="Times New Roman"/>
          <w:bCs/>
          <w:sz w:val="24"/>
          <w:szCs w:val="24"/>
          <w:lang w:val="en-US"/>
        </w:rPr>
        <w:tab/>
        <w:t>Patient signature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 ................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Date</w:t>
      </w:r>
      <w:r w:rsidRPr="00747A9E">
        <w:rPr>
          <w:rFonts w:ascii="Times New Roman" w:hAnsi="Times New Roman" w:cs="Times New Roman"/>
          <w:bCs/>
          <w:sz w:val="24"/>
          <w:szCs w:val="24"/>
          <w:lang w:val="en-US"/>
        </w:rPr>
        <w:tab/>
      </w:r>
      <w:r w:rsidRPr="00747A9E">
        <w:rPr>
          <w:rFonts w:ascii="Times New Roman" w:hAnsi="Times New Roman" w:cs="Times New Roman"/>
          <w:bCs/>
          <w:sz w:val="24"/>
          <w:szCs w:val="24"/>
          <w:lang w:val="en-US"/>
        </w:rPr>
        <w:tab/>
      </w:r>
      <w:r w:rsidRPr="00747A9E">
        <w:rPr>
          <w:rFonts w:ascii="Times New Roman" w:hAnsi="Times New Roman" w:cs="Times New Roman"/>
          <w:bCs/>
          <w:sz w:val="24"/>
          <w:szCs w:val="24"/>
          <w:lang w:val="en-US"/>
        </w:rPr>
        <w:tab/>
        <w:t xml:space="preserve"> Doctor's signature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spacing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ISG/AIEOP EW-1 study protocol</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 case the patient cannot read and/or sign)</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 the undersigned................................................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 testify that Dr.................................................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he thoroughly explained to Mr.................................................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characteristics of the experimental study in question, as reported in the information sheet attached here and that the same, having had the opportunity to ask all the questions he has deemed necessary, freely agreed to join the study.</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Date </w:t>
      </w:r>
      <w:r w:rsidRPr="00747A9E">
        <w:rPr>
          <w:rFonts w:ascii="Times New Roman" w:hAnsi="Times New Roman" w:cs="Times New Roman"/>
          <w:sz w:val="24"/>
          <w:szCs w:val="24"/>
          <w:lang w:val="en-US"/>
        </w:rPr>
        <w:tab/>
      </w:r>
      <w:r w:rsidRPr="00747A9E">
        <w:rPr>
          <w:rFonts w:ascii="Times New Roman" w:hAnsi="Times New Roman" w:cs="Times New Roman"/>
          <w:sz w:val="24"/>
          <w:szCs w:val="24"/>
          <w:lang w:val="en-US"/>
        </w:rPr>
        <w:tab/>
      </w:r>
      <w:r w:rsidRPr="00747A9E">
        <w:rPr>
          <w:rFonts w:ascii="Times New Roman" w:hAnsi="Times New Roman" w:cs="Times New Roman"/>
          <w:sz w:val="24"/>
          <w:szCs w:val="24"/>
          <w:lang w:val="en-US"/>
        </w:rPr>
        <w:tab/>
        <w:t>Signature of independent witness</w:t>
      </w:r>
      <w:r w:rsidRPr="00747A9E">
        <w:rPr>
          <w:rFonts w:ascii="Times New Roman" w:hAnsi="Times New Roman" w:cs="Times New Roman"/>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bCs/>
          <w:noProof/>
          <w:sz w:val="24"/>
          <w:szCs w:val="24"/>
          <w:lang w:val="en-GB" w:eastAsia="en-GB"/>
        </w:rPr>
        <w:lastRenderedPageBreak/>
        <w:drawing>
          <wp:inline distT="0" distB="0" distL="0" distR="0" wp14:anchorId="664DF826" wp14:editId="5835A631">
            <wp:extent cx="3667125" cy="666750"/>
            <wp:effectExtent l="19050" t="0" r="9525" b="0"/>
            <wp:docPr id="2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INFORMATION SHEET (MINORS)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Gentlemen. .................................................. .................................................. ........, parents/guardians of……………………………………………… the investigations carried out have shown that Your child (your ward) has a tumor called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This disease requires combined treatment of surgery, radiotherapy and chemotherapy.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Surgical or radiotherapy treatment alone allows for a cure rate of approximately 10%.</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of people who find themselves in his clinical situation.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combination of chemotherapy treatment can bring this percentage to around 70%.</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Medical-scientific research is planned at this Institute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called ISG/AIEOP EW-1.</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ISG/AIEOP EW-1 is a multicentre study, i.e. several interested parties are involved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Hospitals and treatment centers in Italy.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To carry out this study we need the collaboration and availability of people who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satisfy the scientific requirements suitable for the evaluation that will be carried out. Anyway, before that make the decision to accept or decline to participate, please read with attention, taking all the time you need, these pages and asking us for clarification if you don't understand or need further clarification. Furthermore, before deciding, you can ask your family or a trusted doctor for advice.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The clinical experience of the Italian Sarcoma Group in the treatment of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drugs considered active against Ewing's sarcoma are vincristine, ifosfamide,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adriamycin, etoposide, cyclophosphamide, dactinomycin. Previous experience has shown that patients exhibiting a good response to such chemotherapy have a better prognosis than those who are poorly responders.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However, in a study we recently concluded (ISG/SSG III) we could observe that in poorly responding patients it is possible to obtain the same probabilities of healing of those who show high sensitivity, using a therapy with high doses of drugs whose names are busulfan and melphalan.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light of this, the standard reference chemotherapy strategy for our group includes the use of 6 drugs (vincristine, ifosfamide, adriamycin, etoposide, cyclophosphamide, dactinomycin) followed by local treatment (surgery and/or radiotherapy) and then the continuation with the use of the same 6 drugs, while it is followed by an intensification with high doses in patients with a poor response.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lastRenderedPageBreak/>
        <w:t>What does the study propose?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study in which we propose to participate compares two treatment protocols which</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they use active drugs in Ewing's sarcoma, but with different methods of administration: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one administers the drugs according to our previous ISG/SSG III protocol (protocol A), the other uses them at a dose intensity (amount of drug administered per unit of time) higher, i.e. in a shorter period of time (Protocol B).</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ISG/SSG III protocol has a duration of 37 weeks (9 months and one week), that of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comparison lasts 25 weeks (6 months and one week).</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Our goal is to demonstrate that a shorter, but intensified treatment achieves the same chances of recovery as a longer duration protocol.</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bCs/>
          <w:sz w:val="24"/>
          <w:szCs w:val="24"/>
          <w:lang w:val="en-US"/>
        </w:rPr>
        <w:t>What does participation in the study entail?</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If you decide to participate, the study requires that your child (your protected child) will be</w:t>
      </w:r>
    </w:p>
    <w:p w:rsidR="00683E36" w:rsidRPr="00501728"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501728">
        <w:rPr>
          <w:rFonts w:ascii="Times New Roman" w:hAnsi="Times New Roman" w:cs="Times New Roman"/>
          <w:bCs/>
          <w:sz w:val="24"/>
          <w:szCs w:val="24"/>
          <w:lang w:val="en-US"/>
        </w:rPr>
        <w:t>randomly assigned (randomization process) to one of the two protocols.</w:t>
      </w:r>
    </w:p>
    <w:p w:rsidR="00683E36" w:rsidRPr="00501728"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bCs/>
          <w:sz w:val="24"/>
          <w:szCs w:val="24"/>
          <w:lang w:val="en-US"/>
        </w:rPr>
        <w:t>What are the differences between the two treatments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Both protocols use the same treatment strategy which involves an initial phase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chemotherapy and the evaluation of the changes induced on the tumor by the chemotherapy itself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induction by histological or radiological examination. If the disease does not demonstrate 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optimal sensitivity to induction treatment your child (your ward) will receive a chemotherapy treatment which will first lead to the collection of hematopoietic stem cells (immature cells that constitute the precursors of white blood cells, red blood cells and platelets) which will then be administered to you after treatment with high doses of busulfan e melphalan. This procedure is used as treatment with busulfan and melphalan involves a significant and prolonged reduction in white blood cells, red blood cells and platelets. To promote the most rapid restoration of normal values of white blood cells, red blood cells and platelets, hematopoietic stem cells are reinfused.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cumulative dosage of the drugs ifosfamide, adriamycin and etoposide, busulfan and melphalan is everything is identical in the two protocols. In protocol B the dosage of cyclophosphamide and vincristine is minor dactinomycin is not used. In protocol B the dose intensity of ifosfamide,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adriamycin and etoposide is higher. The duration of protocol B is 6 months compared to 9 of that of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protocol 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lastRenderedPageBreak/>
        <w:t>For a period of 5 years all people meeting the requirements for entry into the studio will come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processed according to the methods set out above. The minimum number of people who will enter this stud will be 220.</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investigations that have been carried out have shown that your son/daughter's condition</w:t>
      </w: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(your ward) meet the requirements of the firm.</w:t>
      </w:r>
    </w:p>
    <w:p w:rsidR="00683E36" w:rsidRPr="00747A9E" w:rsidRDefault="00683E36" w:rsidP="00683E36">
      <w:pPr>
        <w:spacing w:line="360" w:lineRule="auto"/>
        <w:jc w:val="both"/>
        <w:rPr>
          <w:rFonts w:ascii="Times New Roman" w:hAnsi="Times New Roman" w:cs="Times New Roman"/>
          <w:bCs/>
          <w:sz w:val="24"/>
          <w:szCs w:val="24"/>
          <w:lang w:val="en-US"/>
        </w:rPr>
      </w:pP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On your part, you are asked to collaborate by following all the instructions, particularly at home</w:t>
      </w: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which will be provided for the management and recording of any toxicities arising outside</w:t>
      </w: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periods in which your child (your ward) will be admitted to hospital.</w:t>
      </w:r>
    </w:p>
    <w:p w:rsidR="00683E36" w:rsidRPr="00747A9E" w:rsidRDefault="00683E36" w:rsidP="00683E36">
      <w:pPr>
        <w:spacing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Participation in the study does not entail hospitalizations for your child (your protected) any increase in expenses which will be borne by this structure.</w:t>
      </w:r>
    </w:p>
    <w:p w:rsidR="00683E36" w:rsidRPr="00747A9E" w:rsidRDefault="00683E36" w:rsidP="00683E36">
      <w:pPr>
        <w:spacing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Investigations to which your child (your ward) will be subjected during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study involves carrying out the following control investigations: X-rays, CT scans and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Magnetic resonance imaging of the tumor, skeletal scan, chest CT scan, blood tests for</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evaluation of renal, hepatic and medullary function. Electrocardiogram, Echocardiogram.</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are the benefits that your child (your ward) will be able to receive by participating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following benefits can be expected from participation in the study: your child (your</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protected person) will receive a chemotherapy treatment of proven effectiveness and will be at the same time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subjected to strict control of the possible side effects of the drugs used.</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are the risks of participating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Participation in the study does not expose your child (your ward) to risks other than those he would face if he were treated with chemotherapy for his disease, outside of criteria envisaged by our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Adriamycin can cause heart damage, even severe stomatitis, and reduction in white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(with risk of infections), reduction of platelets (with risk of bleeding), reduction of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red (with anemia); ifosfamide can cause neurological disorders (confusion, agitation, drowsiness) during drug administration and reversible, kidney damage (generally transient, but sometimes not reversible and with the possibility of causing chronic renal failure), moderate stomatitis, reduction in white blood cells (with risk of infections), reduction in platelets (with risk of bleeding), reduction in red blood cells (with anemia).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Etoposide can cause stomatitis, reduction in white blood cells (with risk of infections), reduction of platelets (with risk of bleeding), reduction of red blood cells (with anemia).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Cyclophosphamide can cause neurological disorders (confusion, agitation, drowsiness) in the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course of drug administration and reversible renal damage, moderate stomatitis, reduction in white blood cells (with risk of infections), reduction in platelets (with risk of haemorrhages), reduction of red blood cells (with anaemia).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Vincristine can cause peripheral neurological disorders with alterations in sensitivity to the hands and feet, alterations in intestinal motility with constipation up to a condition of</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transient intestinal paralysis (ileus).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Dactinomycin can cause moderate stomatitis, liver toxicity, slight reduction of white blood cells and platelets. It can accentuate skin lesions from radiotherapy.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your child (your ward) were to be treated with high doses of busulfan and melphalan, after the administration of the drugs, he will remain hospitalized for a few days, from 7 to 14 on average, in a room equipped with special measures to reduce the risk infectious on days when white blood cell levels will be particularly low. Despite the precautions put in place, infectious complications may still be possible will require specific therapies in relation to the cause of the infection (antibiotic or antifungal or antiviral). Transfusions of concentrated red blood cells and platelets will be necessary. The effect of drugs on the mucous membranes may induce a picture of even very severe mucositis which may require the use of pain medications of particular intensity (morphine) and nutrition for 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short period of time not orally, but through a venous route (parenteral nutrition).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It is possible that, despite the prophylactic therapy to which he will be subjected, he may experience episodes of epileptic type secondary to the use of busulfan (in the previous protocol the incidence of such complication was less than 2%). These episodes represent an acute and non-acute event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lead to their becoming chronic. It is possible that, despite the prophylactic therapy that will come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subjected, may encounter a complication called venoocclusive disease, with alterations in particular affecting liver function (in the previous protocol the incidence of this complication was less than 3%). These episodes are usually mild and are fully reversible. If your child (your ward) should be subjected </w:t>
      </w:r>
      <w:r w:rsidRPr="00747A9E">
        <w:rPr>
          <w:rFonts w:ascii="Times New Roman" w:hAnsi="Times New Roman" w:cs="Times New Roman"/>
          <w:sz w:val="24"/>
          <w:szCs w:val="24"/>
          <w:lang w:val="en-US"/>
        </w:rPr>
        <w:lastRenderedPageBreak/>
        <w:t>to such treatment will result in permanent sterility. In the previous study that used the same combination of drugs in the present study no serious toxic events were recorded, however</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it is not possible to exclude the possibility of even fatal complications resulting from this procedure.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Vincristine, dactinomycin and adriamycin, if they leak into the tissues due to rupture of the vein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cause serious damage and it is therefore advisable to infuse them into central venous catheters.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Chemotherapy treatment will also cause hair loss (alopecia) which is reversible upon completion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of chemotherapy. During the course of drug administration and sometimes even for a few days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Nausea and vomiting may then appear. In male people who receive such chemotherapy treatment during puberty or later there is damage to the blood-producing apparatus spermatozoa with the possibility of even permanent infertility (in case of administration of high doses infertility is certain). In female people receiving chemotherapy in the era following menarche, damage that causes infertility does not normally occur unless are subjected to high-dose treatments. In the latter case, especially if in association with radiotherapy on the pelvis, infertility is certain.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males of fertile age, it is possible to collect seminal fluid before chemotherapy treatment which can be stored in a sperm bank, as well as in females it is possible to resort to cryopreservation of oocytes. Bot these techniques do not represent a guarantee of being able to procreate and may require their organization a few days and therefore delay the start of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There is no evidence that chemotherapy treatment may increase the risk of having a child with malformations compared to women who did not receive chemotherapy.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females, all precautions must be used to avoid one pregnancy undergoing therapy due to the very serious harmful effects that chemotherapy would have on the fetus.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reduce the length of time when white blood cells are low and the risk of infection is high</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 may be treated with a medicine (called growth factor) that stimulates the bone marrow</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bone to produce white blood cells. The doctors in the Chemotherapy Department will give you specific instructions as well as informing your doctor in detail.</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the event of a drop in platelets and/or signs of bleeding it will be necessary to perform transfusions of platelet concentrates.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 the case of anemia with clinical disorders it will be necessary to perform packed red blood cell transfusions.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data becomes available that may influence your desire to continue participate in the study, you will be promptly informed.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sidRPr="00747A9E">
        <w:rPr>
          <w:rFonts w:ascii="Times New Roman" w:hAnsi="Times New Roman" w:cs="Times New Roman"/>
          <w:b/>
          <w:sz w:val="24"/>
          <w:szCs w:val="24"/>
          <w:lang w:val="en-US"/>
        </w:rPr>
        <w:t>What happens if you decide not to participate in the study</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You are free not to participate in the study. In this case your child (your ward)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 will still receive all the standard therapies provided for your pathology and the doctors will continue to follow it with due attention.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Study interruption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Your participation in this study is voluntary and you may withdraw at any time.</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Confidentiality of personal data.</w:t>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Pursuant to art. 10 of law no. 675 of 31/12/1996 on the protection of people with respect to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processing of personal data, we inform you that the personal data and diagnostic material of</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your child (your ward/guardian) will be collected and archived and will be used appropriately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anonymous exclusively for scientific research purposes. You have the right to know which ones information will be stored and to update or modify erroneous data. Access to such data and to such materials will be protected by the investigator. Regulatory authorities and medical personnel responsible for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monitoring and verification of the procedures will be able to inspect the archive without there being possibility of tracing the personal identity of your child (your protected child). By signing the informed consent form you will authorize access to such data.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results of the study in which your child (your ward) participates may be subject to</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of publications, but her identity will always remain secret.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It is necessary that the family doctor of your child (your ward) is informed of the type and nature of the processing to which he will be subjected. To this end we are available for meetings or telephone interviews.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spacing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Information about the results of the study</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request it, the results of the study may be communicated to you at the end of the study.</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Further information</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For further information and communications during the study the following will be available</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staff:</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The study protocol proposed to you was drawn up in compliance with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Good Clinical Practice standards of the European Union and the current revision of the Declaration of Helsinki and is been approved by the Ethics Committee</w:t>
      </w:r>
    </w:p>
    <w:p w:rsidR="00683E36" w:rsidRPr="00747A9E" w:rsidRDefault="00683E36" w:rsidP="00683E36">
      <w:pPr>
        <w:spacing w:line="360" w:lineRule="auto"/>
        <w:jc w:val="both"/>
        <w:rPr>
          <w:rFonts w:ascii="Times New Roman" w:hAnsi="Times New Roman" w:cs="Times New Roman"/>
          <w:sz w:val="24"/>
          <w:szCs w:val="24"/>
        </w:rPr>
      </w:pPr>
      <w:r w:rsidRPr="00747A9E">
        <w:rPr>
          <w:rFonts w:ascii="Times New Roman" w:hAnsi="Times New Roman" w:cs="Times New Roman"/>
          <w:sz w:val="24"/>
          <w:szCs w:val="24"/>
        </w:rPr>
        <w:t>.................................................. .................................................. ..............</w:t>
      </w:r>
      <w:r w:rsidRPr="00747A9E">
        <w:rPr>
          <w:rFonts w:ascii="Times New Roman" w:hAnsi="Times New Roman" w:cs="Times New Roman"/>
          <w:sz w:val="24"/>
          <w:szCs w:val="24"/>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rPr>
      </w:pPr>
      <w:r w:rsidRPr="00747A9E">
        <w:rPr>
          <w:rFonts w:ascii="Times New Roman" w:hAnsi="Times New Roman" w:cs="Times New Roman"/>
          <w:b/>
          <w:bCs/>
          <w:noProof/>
          <w:sz w:val="24"/>
          <w:szCs w:val="24"/>
          <w:lang w:val="en-GB" w:eastAsia="en-GB"/>
        </w:rPr>
        <w:lastRenderedPageBreak/>
        <w:drawing>
          <wp:inline distT="0" distB="0" distL="0" distR="0" wp14:anchorId="1D357E38" wp14:editId="2837EAB5">
            <wp:extent cx="3667125" cy="666750"/>
            <wp:effectExtent l="19050" t="0" r="9525" b="0"/>
            <wp:docPr id="2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DECLARATION OF CONSENT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 the undersigned................................................ ....................................</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 declare that we have received from Dr. .................................................. ..</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comprehensive explanations regarding the request to participate in the experimental study in question, as reported in the information sheet attached here, a copy of which was available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delivered sufficiently in advance (date ................................).</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 also declare that we have been able to discuss these explanations and ask all the questions we have deemed necessary and to have received satisfactory answers, as well as to have had the opportunity to inform us about the details of the study with a person we trust.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 therefore freely accept to participate in the study, having completely understood the meaning of the request and having understood the risks and benefits involved.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 have also been informed of our right to have free access to the relevant documentation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the study (insurance, clinical-scientific, pharmaco-therapeutic) and to the evaluation expressed by the Ethics Committee.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 ................................................</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 xml:space="preserve">Date </w:t>
      </w:r>
      <w:r w:rsidRPr="00501728">
        <w:rPr>
          <w:rFonts w:ascii="Times New Roman" w:hAnsi="Times New Roman" w:cs="Times New Roman"/>
          <w:sz w:val="24"/>
          <w:szCs w:val="24"/>
          <w:lang w:val="en-US"/>
        </w:rPr>
        <w:tab/>
      </w:r>
      <w:r w:rsidRPr="00501728">
        <w:rPr>
          <w:rFonts w:ascii="Times New Roman" w:hAnsi="Times New Roman" w:cs="Times New Roman"/>
          <w:sz w:val="24"/>
          <w:szCs w:val="24"/>
          <w:lang w:val="en-US"/>
        </w:rPr>
        <w:tab/>
      </w:r>
      <w:r w:rsidRPr="00501728">
        <w:rPr>
          <w:rFonts w:ascii="Times New Roman" w:hAnsi="Times New Roman" w:cs="Times New Roman"/>
          <w:sz w:val="24"/>
          <w:szCs w:val="24"/>
          <w:lang w:val="en-US"/>
        </w:rPr>
        <w:tab/>
        <w:t>Signatures</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 ................ ................................................</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 xml:space="preserve">Date </w:t>
      </w:r>
      <w:r w:rsidRPr="00501728">
        <w:rPr>
          <w:rFonts w:ascii="Times New Roman" w:hAnsi="Times New Roman" w:cs="Times New Roman"/>
          <w:sz w:val="24"/>
          <w:szCs w:val="24"/>
          <w:lang w:val="en-US"/>
        </w:rPr>
        <w:tab/>
      </w:r>
      <w:r w:rsidRPr="00501728">
        <w:rPr>
          <w:rFonts w:ascii="Times New Roman" w:hAnsi="Times New Roman" w:cs="Times New Roman"/>
          <w:sz w:val="24"/>
          <w:szCs w:val="24"/>
          <w:lang w:val="en-US"/>
        </w:rPr>
        <w:tab/>
      </w:r>
      <w:r w:rsidRPr="00501728">
        <w:rPr>
          <w:rFonts w:ascii="Times New Roman" w:hAnsi="Times New Roman" w:cs="Times New Roman"/>
          <w:sz w:val="24"/>
          <w:szCs w:val="24"/>
          <w:lang w:val="en-US"/>
        </w:rPr>
        <w:tab/>
        <w:t>Doctor's signature</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 .................................................. ..............</w:t>
      </w:r>
    </w:p>
    <w:p w:rsidR="00683E36" w:rsidRPr="00501728"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w:t>
      </w:r>
    </w:p>
    <w:p w:rsidR="00683E36" w:rsidRPr="00747A9E" w:rsidRDefault="00683E36" w:rsidP="00683E36">
      <w:pPr>
        <w:spacing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ISG/AIEOP EW-1 study protocol</w:t>
      </w:r>
    </w:p>
    <w:p w:rsidR="00683E36" w:rsidRPr="00747A9E" w:rsidRDefault="00683E36" w:rsidP="00683E36">
      <w:pPr>
        <w:spacing w:line="360" w:lineRule="auto"/>
        <w:jc w:val="both"/>
        <w:rPr>
          <w:rFonts w:ascii="Times New Roman" w:hAnsi="Times New Roman" w:cs="Times New Roman"/>
          <w:i/>
          <w:sz w:val="24"/>
          <w:szCs w:val="24"/>
          <w:lang w:val="en-US"/>
        </w:rPr>
      </w:pPr>
      <w:r w:rsidRPr="00747A9E">
        <w:rPr>
          <w:rFonts w:ascii="Times New Roman" w:hAnsi="Times New Roman" w:cs="Times New Roman"/>
          <w:i/>
          <w:sz w:val="24"/>
          <w:szCs w:val="24"/>
          <w:lang w:val="en-US"/>
        </w:rPr>
        <w:t>(In case interested parties cannot read and/or sign)</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 the undersigned................................................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I testify that Dr.................................................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he thoroughly explained to Mr.................................................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characteristics of the experimental study in question, as reported in the sheet</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information attached here and that the same, having had the opportunity to ask all the questions you have</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deemed necessary, freely agreed to join the study.</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501728" w:rsidRDefault="00683E36" w:rsidP="00683E36">
      <w:pPr>
        <w:spacing w:line="360" w:lineRule="auto"/>
        <w:jc w:val="both"/>
        <w:rPr>
          <w:rFonts w:ascii="Times New Roman" w:hAnsi="Times New Roman" w:cs="Times New Roman"/>
          <w:sz w:val="24"/>
          <w:szCs w:val="24"/>
          <w:lang w:val="en-US"/>
        </w:rPr>
      </w:pPr>
      <w:r w:rsidRPr="00501728">
        <w:rPr>
          <w:rFonts w:ascii="Times New Roman" w:hAnsi="Times New Roman" w:cs="Times New Roman"/>
          <w:sz w:val="24"/>
          <w:szCs w:val="24"/>
          <w:lang w:val="en-US"/>
        </w:rPr>
        <w:t>................................. ................ ................................................</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Date </w:t>
      </w:r>
      <w:r w:rsidRPr="00747A9E">
        <w:rPr>
          <w:rFonts w:ascii="Times New Roman" w:hAnsi="Times New Roman" w:cs="Times New Roman"/>
          <w:sz w:val="24"/>
          <w:szCs w:val="24"/>
          <w:lang w:val="en-US"/>
        </w:rPr>
        <w:tab/>
      </w:r>
      <w:r w:rsidRPr="00747A9E">
        <w:rPr>
          <w:rFonts w:ascii="Times New Roman" w:hAnsi="Times New Roman" w:cs="Times New Roman"/>
          <w:sz w:val="24"/>
          <w:szCs w:val="24"/>
          <w:lang w:val="en-US"/>
        </w:rPr>
        <w:tab/>
      </w:r>
      <w:r w:rsidRPr="00747A9E">
        <w:rPr>
          <w:rFonts w:ascii="Times New Roman" w:hAnsi="Times New Roman" w:cs="Times New Roman"/>
          <w:sz w:val="24"/>
          <w:szCs w:val="24"/>
          <w:lang w:val="en-US"/>
        </w:rPr>
        <w:tab/>
        <w:t>Signature of independent witness</w:t>
      </w:r>
      <w:r w:rsidRPr="00747A9E">
        <w:rPr>
          <w:rFonts w:ascii="Times New Roman" w:hAnsi="Times New Roman" w:cs="Times New Roman"/>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rPr>
      </w:pPr>
      <w:r w:rsidRPr="00747A9E">
        <w:rPr>
          <w:rFonts w:ascii="Times New Roman" w:hAnsi="Times New Roman" w:cs="Times New Roman"/>
          <w:b/>
          <w:bCs/>
          <w:noProof/>
          <w:sz w:val="24"/>
          <w:szCs w:val="24"/>
          <w:lang w:val="en-GB" w:eastAsia="en-GB"/>
        </w:rPr>
        <w:lastRenderedPageBreak/>
        <w:drawing>
          <wp:inline distT="0" distB="0" distL="0" distR="0" wp14:anchorId="0433FCB9" wp14:editId="5972E5F3">
            <wp:extent cx="3667125" cy="666750"/>
            <wp:effectExtent l="19050" t="0" r="9525" b="0"/>
            <wp:docPr id="2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INFORMATIONS</w:t>
      </w:r>
      <w:r w:rsidRPr="00747A9E">
        <w:rPr>
          <w:rFonts w:ascii="Times New Roman" w:hAnsi="Times New Roman" w:cs="Times New Roman"/>
          <w:b/>
          <w:bCs/>
          <w:sz w:val="24"/>
          <w:szCs w:val="24"/>
          <w:lang w:val="en-US"/>
        </w:rPr>
        <w:t xml:space="preserve"> FOR THE</w:t>
      </w:r>
      <w:r>
        <w:rPr>
          <w:rFonts w:ascii="Times New Roman" w:hAnsi="Times New Roman" w:cs="Times New Roman"/>
          <w:b/>
          <w:bCs/>
          <w:sz w:val="24"/>
          <w:szCs w:val="24"/>
          <w:lang w:val="en-US"/>
        </w:rPr>
        <w:t xml:space="preserve"> GENERAL PRACTITIONER </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Dear Doctor,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Experimenters are available at a meeting with you to evaluate together the ways in which your patient will be monitored and the possibility of using other drugs.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At each check-up, your patient will be provided with a brief summary of the visit to inform you of the course and the outcome of any scheduled tests.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If necessary, you can contact us at the following number.........................................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from hours....................... to hours..........................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The patient will be informed by us that we are working together for this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r w:rsidRPr="00747A9E">
        <w:rPr>
          <w:rFonts w:ascii="Times New Roman" w:hAnsi="Times New Roman" w:cs="Times New Roman"/>
          <w:bCs/>
          <w:sz w:val="24"/>
          <w:szCs w:val="24"/>
          <w:lang w:val="en-US"/>
        </w:rPr>
        <w:t>If you are not interested in co-managing the case, please inform us.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rPr>
      </w:pPr>
      <w:r w:rsidRPr="00747A9E">
        <w:rPr>
          <w:rFonts w:ascii="Times New Roman" w:hAnsi="Times New Roman" w:cs="Times New Roman"/>
          <w:bCs/>
          <w:sz w:val="24"/>
          <w:szCs w:val="24"/>
        </w:rPr>
        <w:t xml:space="preserve">The responsible </w:t>
      </w:r>
      <w:r>
        <w:rPr>
          <w:rFonts w:ascii="Times New Roman" w:hAnsi="Times New Roman" w:cs="Times New Roman"/>
          <w:bCs/>
          <w:sz w:val="24"/>
          <w:szCs w:val="24"/>
        </w:rPr>
        <w:t>Doctor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sz w:val="24"/>
          <w:szCs w:val="24"/>
        </w:rPr>
      </w:pPr>
      <w:r w:rsidRPr="00747A9E">
        <w:rPr>
          <w:rFonts w:ascii="Times New Roman" w:hAnsi="Times New Roman" w:cs="Times New Roman"/>
          <w:bCs/>
          <w:sz w:val="24"/>
          <w:szCs w:val="24"/>
        </w:rPr>
        <w:t>date.......................................</w:t>
      </w:r>
    </w:p>
    <w:p w:rsidR="00683E36" w:rsidRPr="00747A9E" w:rsidRDefault="00683E36" w:rsidP="00683E36">
      <w:pPr>
        <w:spacing w:line="360" w:lineRule="auto"/>
        <w:jc w:val="both"/>
        <w:rPr>
          <w:rFonts w:ascii="Times New Roman" w:hAnsi="Times New Roman" w:cs="Times New Roman"/>
          <w:b/>
          <w:bCs/>
          <w:sz w:val="24"/>
          <w:szCs w:val="24"/>
        </w:rPr>
      </w:pPr>
      <w:r w:rsidRPr="00747A9E">
        <w:rPr>
          <w:rFonts w:ascii="Times New Roman" w:hAnsi="Times New Roman" w:cs="Times New Roman"/>
          <w:b/>
          <w:bCs/>
          <w:sz w:val="24"/>
          <w:szCs w:val="24"/>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rPr>
      </w:pPr>
      <w:r w:rsidRPr="00747A9E">
        <w:rPr>
          <w:rFonts w:ascii="Times New Roman" w:hAnsi="Times New Roman" w:cs="Times New Roman"/>
          <w:b/>
          <w:bCs/>
          <w:noProof/>
          <w:sz w:val="24"/>
          <w:szCs w:val="24"/>
          <w:lang w:val="en-GB" w:eastAsia="en-GB"/>
        </w:rPr>
        <w:drawing>
          <wp:inline distT="0" distB="0" distL="0" distR="0" wp14:anchorId="27EC8394" wp14:editId="3780989C">
            <wp:extent cx="3667125" cy="666750"/>
            <wp:effectExtent l="19050" t="0" r="9525" b="0"/>
            <wp:docPr id="2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565244" w:rsidRDefault="00683E36" w:rsidP="00683E36">
      <w:pPr>
        <w:spacing w:after="0" w:line="360" w:lineRule="auto"/>
        <w:jc w:val="both"/>
        <w:rPr>
          <w:rFonts w:ascii="Times New Roman" w:eastAsia="Times New Roman" w:hAnsi="Times New Roman" w:cs="Times New Roman"/>
          <w:sz w:val="24"/>
          <w:szCs w:val="24"/>
          <w:lang w:eastAsia="it-IT"/>
        </w:rPr>
      </w:pPr>
    </w:p>
    <w:p w:rsidR="00683E36" w:rsidRPr="000C71C4" w:rsidRDefault="00683E36" w:rsidP="00683E36">
      <w:pPr>
        <w:spacing w:after="0" w:line="360" w:lineRule="auto"/>
        <w:jc w:val="both"/>
        <w:rPr>
          <w:rFonts w:ascii="Times New Roman" w:eastAsia="Times New Roman" w:hAnsi="Times New Roman" w:cs="Times New Roman"/>
          <w:b/>
          <w:sz w:val="24"/>
          <w:szCs w:val="24"/>
          <w:lang w:val="en-US" w:eastAsia="it-IT"/>
        </w:rPr>
      </w:pPr>
      <w:r w:rsidRPr="000C71C4">
        <w:rPr>
          <w:rFonts w:ascii="Times New Roman" w:eastAsia="Times New Roman" w:hAnsi="Times New Roman" w:cs="Times New Roman"/>
          <w:b/>
          <w:sz w:val="24"/>
          <w:szCs w:val="24"/>
          <w:lang w:val="en-US" w:eastAsia="it-IT"/>
        </w:rPr>
        <w:t xml:space="preserve">INFORMATION SHEET FOR ADOLESCENTS&lt;18 years </w:t>
      </w:r>
    </w:p>
    <w:p w:rsidR="00683E36" w:rsidRPr="000C71C4" w:rsidRDefault="00683E36" w:rsidP="00683E36">
      <w:pPr>
        <w:spacing w:after="0" w:line="360" w:lineRule="auto"/>
        <w:jc w:val="both"/>
        <w:rPr>
          <w:rFonts w:ascii="Times New Roman" w:eastAsia="Times New Roman" w:hAnsi="Times New Roman" w:cs="Times New Roman"/>
          <w:sz w:val="24"/>
          <w:szCs w:val="24"/>
          <w:lang w:val="en-US" w:eastAsia="it-IT"/>
        </w:rPr>
      </w:pPr>
    </w:p>
    <w:p w:rsidR="00683E36" w:rsidRPr="000C71C4" w:rsidRDefault="00683E36" w:rsidP="00683E36">
      <w:pPr>
        <w:spacing w:after="0" w:line="360" w:lineRule="auto"/>
        <w:jc w:val="both"/>
        <w:rPr>
          <w:rFonts w:ascii="Times New Roman" w:eastAsia="Times New Roman" w:hAnsi="Times New Roman" w:cs="Times New Roman"/>
          <w:sz w:val="24"/>
          <w:szCs w:val="24"/>
          <w:lang w:val="en-US" w:eastAsia="it-IT"/>
        </w:rPr>
      </w:pPr>
      <w:r w:rsidRPr="000C71C4">
        <w:rPr>
          <w:rFonts w:ascii="Times New Roman" w:eastAsia="Times New Roman" w:hAnsi="Times New Roman" w:cs="Times New Roman"/>
          <w:sz w:val="24"/>
          <w:szCs w:val="24"/>
          <w:lang w:val="en-US" w:eastAsia="it-IT"/>
        </w:rPr>
        <w:t>Dear.................................................. .............. the tests carried out have shown that you have a disease called Ewing's sarcoma. This disease requires combined therapy of surgery, radiotherapy and chemotherapy, with which there is a good chance of recovery. Research is being planned at this Institute ………………………………………… medical-scientific called ISG/EW-1. ISG/AIEOP EW-1 is a multicentre study, i.e. in which several are interested Hospitals and treatment centers in Italy. To carry out this study we need the collaboration and availability of people like you have the characteristics suitable for the assessments that will be performed. However, before you make the decision to accept or decline to participate, we ask you to read carefully these pages, taking all the time necessary, and to ask us for clarification if something is wrong clear or if you need further clarification. Furthermore, before deciding, you can ask your family or a trusted doctor for advice. Thank you for agreeing to read this document.</w:t>
      </w:r>
    </w:p>
    <w:p w:rsidR="00683E36" w:rsidRPr="00501728"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The clinical experience of the Italian Sarcoma Group in the treatment of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drugs considered active against Ewing's sarcoma are vincristine, ifosfamide, adriamycin, etoposide, cyclophosphamide, dactinomycin. Previous experience they have demonstrated that patients who have a good response to such chemotherapy have a better prognosis than those who respond less well. However, in one study we have recently concluded (ISG/SSG III), we were able to observe that in patients who respond less well, you can get the same chance of recovery as those who have good response, using therapy with high doses of drugs whose names are busulfan and melphalan. In light of this, the standard reference chemotherapy strategy includes the use of the 6 drugs (vincristine, ifosfamide, adriamycin, etoposide, cyclophosphamide, dactinomycin) followed by a local treatment (surgery and/or radiotherapy) and then continuation with the use of the same 6 drugs, or an intensification of chemotherapy with high doses of busulfan and melphalan patients with a poor response.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501728">
        <w:rPr>
          <w:rFonts w:ascii="Times New Roman" w:hAnsi="Times New Roman" w:cs="Times New Roman"/>
          <w:b/>
          <w:sz w:val="24"/>
          <w:szCs w:val="24"/>
          <w:lang w:val="en-US"/>
        </w:rPr>
        <w:t>What does the study propose?</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The study we propose you to participate in compares two treatment protocols that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use active drugs in Ewing's sarcoma, but with different methods of administration: one administers the drugs according to our previous ISG/SSG III protocol (protocol A), the other uses them at a dose intensity (amount of drug administered in a unit of time) higher, i.e. in a shorter period of time (protocol B). The ISG/SSG III protocol has a lasts 37 weeks (9 months and one week), the comparison lasts 25 weeks (6 months and one week). Our goal is to demonstrate that a shorter but intensified treatment obtains the same chances of recovery as a protocol of longer duration.</w:t>
      </w: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501728">
        <w:rPr>
          <w:rFonts w:ascii="Times New Roman" w:hAnsi="Times New Roman" w:cs="Times New Roman"/>
          <w:b/>
          <w:sz w:val="24"/>
          <w:szCs w:val="24"/>
          <w:lang w:val="en-US"/>
        </w:rPr>
        <w:t>What your participation in the study entails</w:t>
      </w: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decide to participate, the study involves you being randomly assigned (process of</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randomization) to one of the two protocols.</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501728">
        <w:rPr>
          <w:rFonts w:ascii="Times New Roman" w:hAnsi="Times New Roman" w:cs="Times New Roman"/>
          <w:b/>
          <w:sz w:val="24"/>
          <w:szCs w:val="24"/>
          <w:lang w:val="en-US"/>
        </w:rPr>
        <w:t>What are the differences between the two treatments</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A301E0"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Both protocols use the same treatment strategy, which involves an initial phase chemotherapy and the evaluation of the response of diseased cells to this therapy. If the disease does not demonstrate an optimal response to this first phase of chemotherapy, called “induction”, you will receive chemotherapy treatment which will lead to harvest first of hematopoietic stem cells (immature cells that constitute the precursors of blood cells white blood cells, red blood cells and platelets), which will then be given to you after chemotherapy with high doses of busulfan and melphalan. This procedure is used since the treatment with busulfan and melphalan leads to a significant and prolonged reduction in white blood cells and blood cells red blood cells and platelets: to promote the more rapid restoration of normal values of white blood cells, of red blood cells and platelets are reinfused into your hematopoietic stem cells. The cumulative, i.e. total, dosage of the drugs ifosfamide, adriamycin and etoposide, busulfan and melphalan is completely identical in the two protocols. In protocol B the dosage of cyclophosphamide e vincristine is minor and dactinomycin is not used. In protocol B the dose intensity of ifosfamide, adriamycin and etoposide is higher. The duration of protocol B is 6 months compared to 9 than that of protocol A. For a period of 5 years all people who have the characteristics to participate in the study will be handled according to the methods set out above. The minimum number of people who will enter this study will be 220. The tests that have been carried out have shown that your conditions meet the characteristics required by the study. On your part, you are asked to collaborate, following all the instructions, particularly at home will be provided to you for management and recording of any side effects that may occur manifest outside the periods in which you will be hospitalized.</w:t>
      </w:r>
    </w:p>
    <w:p w:rsidR="00683E36" w:rsidRPr="00501728" w:rsidRDefault="00683E36" w:rsidP="00683E36">
      <w:pPr>
        <w:spacing w:after="0" w:line="360" w:lineRule="auto"/>
        <w:jc w:val="both"/>
        <w:rPr>
          <w:rFonts w:ascii="Times New Roman" w:eastAsia="Times New Roman" w:hAnsi="Times New Roman" w:cs="Times New Roman"/>
          <w:b/>
          <w:bCs/>
          <w:sz w:val="24"/>
          <w:szCs w:val="24"/>
          <w:lang w:val="en-US" w:eastAsia="it-IT"/>
        </w:rPr>
      </w:pPr>
      <w:r w:rsidRPr="00501728">
        <w:rPr>
          <w:rFonts w:ascii="Times New Roman" w:eastAsia="Times New Roman" w:hAnsi="Times New Roman" w:cs="Times New Roman"/>
          <w:spacing w:val="2"/>
          <w:sz w:val="24"/>
          <w:szCs w:val="24"/>
          <w:lang w:val="en-US" w:eastAsia="it-IT"/>
        </w:rPr>
        <w:lastRenderedPageBreak/>
        <w:br/>
      </w:r>
    </w:p>
    <w:p w:rsidR="00683E36" w:rsidRPr="00501728" w:rsidRDefault="00683E36" w:rsidP="00683E36">
      <w:pPr>
        <w:spacing w:after="0" w:line="360" w:lineRule="auto"/>
        <w:jc w:val="both"/>
        <w:rPr>
          <w:rFonts w:ascii="Times New Roman" w:eastAsia="Times New Roman" w:hAnsi="Times New Roman" w:cs="Times New Roman"/>
          <w:b/>
          <w:color w:val="3C4043"/>
          <w:sz w:val="24"/>
          <w:szCs w:val="24"/>
          <w:lang w:val="en-US" w:eastAsia="it-IT"/>
        </w:rPr>
      </w:pPr>
      <w:r w:rsidRPr="00501728">
        <w:rPr>
          <w:rFonts w:ascii="Times New Roman" w:eastAsia="Times New Roman" w:hAnsi="Times New Roman" w:cs="Times New Roman"/>
          <w:b/>
          <w:color w:val="3C4043"/>
          <w:sz w:val="24"/>
          <w:szCs w:val="24"/>
          <w:lang w:val="en-US" w:eastAsia="it-IT"/>
        </w:rPr>
        <w:t xml:space="preserve">Investigations you will be subjected to during the study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 xml:space="preserve">The study involves carrying out the following control investigations: Radiographs, CT and MRI magnetic resonance imaging, skeletal scintigraphy, chest CT, blood samples to evaluate function renal, hepatic, medullary, electrocardiogram, echocardiogram.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b/>
          <w:color w:val="3C4043"/>
          <w:sz w:val="24"/>
          <w:szCs w:val="24"/>
          <w:lang w:val="en-US" w:eastAsia="it-IT"/>
        </w:rPr>
      </w:pPr>
      <w:r w:rsidRPr="00501728">
        <w:rPr>
          <w:rFonts w:ascii="Times New Roman" w:eastAsia="Times New Roman" w:hAnsi="Times New Roman" w:cs="Times New Roman"/>
          <w:b/>
          <w:color w:val="3C4043"/>
          <w:sz w:val="24"/>
          <w:szCs w:val="24"/>
          <w:lang w:val="en-US" w:eastAsia="it-IT"/>
        </w:rPr>
        <w:t xml:space="preserve">What are the benefits you will receive by participating in the study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 xml:space="preserve">The following benefits are expected from participation in the study: You will receive treatment proven effective chemotherapy and at the same time you will be subjected to close monitoring of the possible side effects of the drugs used.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A301E0" w:rsidRDefault="00683E36" w:rsidP="00683E36">
      <w:pPr>
        <w:spacing w:after="0" w:line="360" w:lineRule="auto"/>
        <w:jc w:val="both"/>
        <w:rPr>
          <w:rFonts w:ascii="Times New Roman" w:eastAsia="Times New Roman" w:hAnsi="Times New Roman" w:cs="Times New Roman"/>
          <w:b/>
          <w:color w:val="3C4043"/>
          <w:sz w:val="24"/>
          <w:szCs w:val="24"/>
          <w:lang w:val="en-US" w:eastAsia="it-IT"/>
        </w:rPr>
      </w:pPr>
      <w:r w:rsidRPr="00747A9E">
        <w:rPr>
          <w:rFonts w:ascii="Times New Roman" w:eastAsia="Times New Roman" w:hAnsi="Times New Roman" w:cs="Times New Roman"/>
          <w:b/>
          <w:color w:val="3C4043"/>
          <w:sz w:val="24"/>
          <w:szCs w:val="24"/>
          <w:lang w:val="en-US" w:eastAsia="it-IT"/>
        </w:rPr>
        <w:t>What are the risks of participating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Participating in the study does not expose you to any risks other than those you would face if you came treated with chemotherapy, outside of our study. Adriamycin can cause heart problems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heart, stomatitis, reduction in white blood cells with risk of infections, reduction in platelets with</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risk of bleeding, reduction of red blood cells with anemia. Ifosfamide can cause disorders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neurological (confusion, agitation, drowsiness) during administration, kidney damage,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stomatitis, reduction in white blood cells, reduction in platelets, reduction in red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Etoposide can cause stomatitis, reduction of white blood cells, reduction of platelets,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reduction of red blood cells. Cyclophosphamide can cause neurological disorders (confusion,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agitation, drowsiness) during drug administration, kidney damage, stomatitis, reduction of white blood cells, reduction of platelets, reduction of red blood cells. </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Vincristine can determine peripheral neurological disorders with alterations in sensitivity to the hands and feet, alterations of intestinal motility with constipation. </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 xml:space="preserve">Dactinomycin can cause stomatitis, liver toxicity, slight reduction in white blood cells and platelets. It can accentuate lesions skin from radiotherapy. If I were to undergo therapy with high doses of busulfan and melphalan, after administration of the drugs, you will remain hospitalized for a few days, from 10 to 14 on average, in a room equipped with particular measures in order to reduce the risk of infection on days when white blood cell levels will be particularly low. Despite the precautions, however, infectious complications may be possible which will require specific therapies relation to </w:t>
      </w:r>
      <w:r w:rsidRPr="00747A9E">
        <w:rPr>
          <w:rFonts w:ascii="Times New Roman" w:hAnsi="Times New Roman" w:cs="Times New Roman"/>
          <w:sz w:val="24"/>
          <w:szCs w:val="24"/>
          <w:lang w:val="en-US"/>
        </w:rPr>
        <w:lastRenderedPageBreak/>
        <w:t>the cause of the infection (antibiotic or antifungal or antiviral). They will become necessary transfusions of red blood cells and platelets. The effect of the drugs on the mucous membranes may induce a picture of even severe mucositis, which may require the use of particular pain medications intensity (morphine) and nutrition for a short period of time not orally, but venously (parenteral nutrition). It is possible that, despite prophylactic therapy, you may present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convulsive episodes secondary to the use of busulfan (in the previous protocol the incidence of this complication was less than 2%). These episodes represent an acute and non-acute event lead to their becoming chronic. It is possible that, despite prophylactic therapy, it could encounter a complication called veno-occlusive disease, with alterations in particular affecting liver function (in the previous protocol the incidence of this complication was less than 3%). Such episodes are usually mild and are fully reversible. In the previous study using the same combination of drugs were not serious toxic events have been recorded, however the possibility of complications cannot be excluded.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Vincristine, dactinomycin and adriamycin, if they leak into the tissues due to rupture of the vein,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they cause serious damage and it is therefore advisable to infuse them into central venous catheters.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Chemotherapy treatment will also cause hair loss (alopecia) which is reversible upon completion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of chemotherapy. Over the course of drug administration, and sometimes even a few days afterwards, nausea and vomiting may appear. In male people who receive such chemotherapy treatment during puberty or later, damage to the system may occur sperm producer with the possibility of even permanent infertility. In people of sex women who receive chemotherapy after menarche do not normally develop damage that causes infertility unless subjected to high-dose treatments. In the children of childbearing age it is possible to carry out a collection of blood before chemotherapy treatment seminal fluid, which can be stored in a sperm bank, just as in females it is possible to resort to cryopreservation of oocytes. Both of these techniques do not they also represent a guarantee of being able to procreate, and they can request for theirs organization a few days and therefore delay the start of treatment. To reduce the duration of the period in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whose white blood cells are low and the risk of infection is high you will be able to undergo treatment with a medicine (called growth factor), which stimulates the bone marrow to produce white blood cells.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doctors in the department will give you specific instructions. In case of decrease in platelets and/or signs of bleeding you will need platelet transfusions. In the case of anemia with clinical disorders it will be necessary to perform red blood cell transfusions.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there is new data that may influence your willingness to continue to participate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to the study, you will be immediately informed.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What happens if you decide not to participate in the study</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 are free not to participate in the study. In this case you will still receive all standard therapies</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foreseen for your pathology and the doctors will continue to follow you with due attention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welfare.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Study interruption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Your participation in this study is voluntary and you can withdraw at any time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501728">
        <w:rPr>
          <w:rFonts w:ascii="Times New Roman" w:hAnsi="Times New Roman" w:cs="Times New Roman"/>
          <w:b/>
          <w:sz w:val="24"/>
          <w:szCs w:val="24"/>
          <w:lang w:val="en-US"/>
        </w:rPr>
        <w:t>Confidentiality of personal data</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Pursuant to art. 10 of law no. 675 of 31/12/1996 on the protection of people with respect to</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processing of personal data, we inform you that your personal data will be collected and stored</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electronically and will be used anonymously for research purposes only scientific. You have the right to know what information will be stored and to update or</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modify incorrect data. Access to such data will be protected by the investigator. Regulatory authorities and medical personnel responsible for monitoring and verifying procedures will be able to inspect the archive without however being able to trace your personal identity. By signing the</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informed consent form you will authorize access to such data.</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results of the study in which you participate may be the subject of publications, but your identity will always remain secret.</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It is necessary that your family doctor is informed of the type and nature of the therapy you are receiving you will be subjected. To this end we are available for meetings or telephone conversations.</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501728" w:rsidRDefault="00683E36" w:rsidP="00683E36">
      <w:pPr>
        <w:autoSpaceDE w:val="0"/>
        <w:autoSpaceDN w:val="0"/>
        <w:adjustRightInd w:val="0"/>
        <w:spacing w:after="0" w:line="360" w:lineRule="auto"/>
        <w:jc w:val="both"/>
        <w:rPr>
          <w:rFonts w:ascii="Times New Roman" w:hAnsi="Times New Roman" w:cs="Times New Roman"/>
          <w:b/>
          <w:sz w:val="24"/>
          <w:szCs w:val="24"/>
          <w:lang w:val="en-US"/>
        </w:rPr>
      </w:pPr>
      <w:r w:rsidRPr="00501728">
        <w:rPr>
          <w:rFonts w:ascii="Times New Roman" w:hAnsi="Times New Roman" w:cs="Times New Roman"/>
          <w:b/>
          <w:sz w:val="24"/>
          <w:szCs w:val="24"/>
          <w:lang w:val="en-US"/>
        </w:rPr>
        <w:t>Information about the results of the study</w:t>
      </w:r>
    </w:p>
    <w:p w:rsidR="00683E36" w:rsidRPr="00501728"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If you request it, the results of the study may be communicated to you at the end of the study.</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b/>
          <w:sz w:val="24"/>
          <w:szCs w:val="24"/>
          <w:lang w:val="en-US"/>
        </w:rPr>
      </w:pPr>
      <w:r w:rsidRPr="00747A9E">
        <w:rPr>
          <w:rFonts w:ascii="Times New Roman" w:hAnsi="Times New Roman" w:cs="Times New Roman"/>
          <w:b/>
          <w:sz w:val="24"/>
          <w:szCs w:val="24"/>
          <w:lang w:val="en-US"/>
        </w:rPr>
        <w:t>Further information</w:t>
      </w:r>
    </w:p>
    <w:p w:rsidR="00683E36" w:rsidRPr="00747A9E" w:rsidRDefault="00683E36" w:rsidP="00683E36">
      <w:pPr>
        <w:spacing w:line="360" w:lineRule="auto"/>
        <w:jc w:val="both"/>
        <w:rPr>
          <w:rFonts w:ascii="Times New Roman" w:hAnsi="Times New Roman" w:cs="Times New Roman"/>
          <w:sz w:val="24"/>
          <w:szCs w:val="24"/>
          <w:lang w:val="en-US"/>
        </w:rPr>
      </w:pP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For further information and communications during the study the following will be available</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lastRenderedPageBreak/>
        <w:t>staff:</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The study protocol proposed to you was drawn up in compliance with Good Clinical Practice standards of the European Union and the current revision of the Declaration of Helsinki and is</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been approved by the Local Ethics Committee.</w:t>
      </w:r>
      <w:r w:rsidRPr="00747A9E">
        <w:rPr>
          <w:rFonts w:ascii="Times New Roman" w:hAnsi="Times New Roman" w:cs="Times New Roman"/>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sz w:val="24"/>
          <w:szCs w:val="24"/>
        </w:rPr>
      </w:pPr>
      <w:r w:rsidRPr="00747A9E">
        <w:rPr>
          <w:rFonts w:ascii="Times New Roman" w:hAnsi="Times New Roman" w:cs="Times New Roman"/>
          <w:b/>
          <w:bCs/>
          <w:noProof/>
          <w:sz w:val="24"/>
          <w:szCs w:val="24"/>
          <w:lang w:val="en-GB" w:eastAsia="en-GB"/>
        </w:rPr>
        <w:lastRenderedPageBreak/>
        <w:drawing>
          <wp:inline distT="0" distB="0" distL="0" distR="0" wp14:anchorId="5B6B7C53" wp14:editId="458D6C52">
            <wp:extent cx="3667125" cy="666750"/>
            <wp:effectExtent l="19050" t="0" r="9525" b="0"/>
            <wp:docPr id="2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667125" cy="666750"/>
                    </a:xfrm>
                    <a:prstGeom prst="rect">
                      <a:avLst/>
                    </a:prstGeom>
                    <a:noFill/>
                    <a:ln w="9525">
                      <a:noFill/>
                      <a:miter lim="800000"/>
                      <a:headEnd/>
                      <a:tailEnd/>
                    </a:ln>
                  </pic:spPr>
                </pic:pic>
              </a:graphicData>
            </a:graphic>
          </wp:inline>
        </w:drawing>
      </w:r>
    </w:p>
    <w:p w:rsidR="00683E36" w:rsidRPr="0068403A" w:rsidRDefault="00683E36" w:rsidP="00683E36">
      <w:pPr>
        <w:spacing w:after="0" w:line="360" w:lineRule="auto"/>
        <w:jc w:val="both"/>
        <w:rPr>
          <w:rFonts w:ascii="Times New Roman" w:eastAsia="Times New Roman" w:hAnsi="Times New Roman" w:cs="Times New Roman"/>
          <w:sz w:val="24"/>
          <w:szCs w:val="24"/>
          <w:lang w:eastAsia="it-IT"/>
        </w:rPr>
      </w:pPr>
    </w:p>
    <w:p w:rsidR="00683E36" w:rsidRPr="00501728" w:rsidRDefault="00683E36" w:rsidP="00683E36">
      <w:pPr>
        <w:spacing w:after="0" w:line="360" w:lineRule="auto"/>
        <w:jc w:val="both"/>
        <w:rPr>
          <w:rFonts w:ascii="Times New Roman" w:eastAsia="Times New Roman" w:hAnsi="Times New Roman" w:cs="Times New Roman"/>
          <w:b/>
          <w:color w:val="3C4043"/>
          <w:sz w:val="24"/>
          <w:szCs w:val="24"/>
          <w:lang w:val="en-US" w:eastAsia="it-IT"/>
        </w:rPr>
      </w:pPr>
      <w:r w:rsidRPr="00501728">
        <w:rPr>
          <w:rFonts w:ascii="Times New Roman" w:eastAsia="Times New Roman" w:hAnsi="Times New Roman" w:cs="Times New Roman"/>
          <w:b/>
          <w:color w:val="3C4043"/>
          <w:sz w:val="24"/>
          <w:szCs w:val="24"/>
          <w:lang w:val="en-US" w:eastAsia="it-IT"/>
        </w:rPr>
        <w:t xml:space="preserve">DECLARATION OF CONSENT </w:t>
      </w: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p>
    <w:p w:rsidR="00683E36" w:rsidRPr="00501728" w:rsidRDefault="00683E36" w:rsidP="00683E36">
      <w:pPr>
        <w:spacing w:after="0" w:line="360" w:lineRule="auto"/>
        <w:jc w:val="both"/>
        <w:rPr>
          <w:rFonts w:ascii="Times New Roman" w:eastAsia="Times New Roman" w:hAnsi="Times New Roman" w:cs="Times New Roman"/>
          <w:color w:val="3C4043"/>
          <w:sz w:val="24"/>
          <w:szCs w:val="24"/>
          <w:lang w:val="en-US" w:eastAsia="it-IT"/>
        </w:rPr>
      </w:pPr>
      <w:r w:rsidRPr="00501728">
        <w:rPr>
          <w:rFonts w:ascii="Times New Roman" w:eastAsia="Times New Roman" w:hAnsi="Times New Roman" w:cs="Times New Roman"/>
          <w:color w:val="3C4043"/>
          <w:sz w:val="24"/>
          <w:szCs w:val="24"/>
          <w:lang w:val="en-US" w:eastAsia="it-IT"/>
        </w:rPr>
        <w:t xml:space="preserve">I, the undersigned................................................ .................................................. ......................................, I declare that I have received from Dr. .................................................. .................................................. .... comprehensive explanations regarding the request to participate in the ISG/EW-1 study, second as reported in the information sheet attached here, a copy of which was delivered to me with sufficient advance notice (date ................................). I also declare that I have been able to discuss these explanations and ask all the questions I have deemed necessary and to have received satisfactory answers, as well as to have had the opportunity to inform me about the details of the study with a person I trust. I therefore freely accept to participate in the experimentation, having understood completely understand the meaning of the request and have understood the risks and benefits implicated. I was also informed of my right to have free access to the documentation relating to experimentation (insurance, clinical-scientific, pharmaco-therapeutic) and to evaluation expressed by the Ethics Committee. </w:t>
      </w:r>
    </w:p>
    <w:p w:rsidR="00683E36" w:rsidRPr="00536727" w:rsidRDefault="00683E36" w:rsidP="00683E36">
      <w:pPr>
        <w:spacing w:after="0" w:line="360" w:lineRule="auto"/>
        <w:jc w:val="both"/>
        <w:rPr>
          <w:rFonts w:ascii="Times New Roman" w:eastAsia="Times New Roman" w:hAnsi="Times New Roman" w:cs="Times New Roman"/>
          <w:color w:val="3C4043"/>
          <w:sz w:val="24"/>
          <w:szCs w:val="24"/>
          <w:lang w:val="en-GB" w:eastAsia="it-IT"/>
        </w:rPr>
      </w:pPr>
      <w:r w:rsidRPr="00536727">
        <w:rPr>
          <w:rFonts w:ascii="Times New Roman" w:eastAsia="Times New Roman" w:hAnsi="Times New Roman" w:cs="Times New Roman"/>
          <w:color w:val="3C4043"/>
          <w:sz w:val="24"/>
          <w:szCs w:val="24"/>
          <w:lang w:val="en-GB" w:eastAsia="it-IT"/>
        </w:rPr>
        <w:t xml:space="preserve">................................. ................ ................................................ </w:t>
      </w:r>
    </w:p>
    <w:p w:rsidR="00683E36" w:rsidRPr="00536727" w:rsidRDefault="00683E36" w:rsidP="00683E36">
      <w:pPr>
        <w:spacing w:after="0" w:line="360" w:lineRule="auto"/>
        <w:jc w:val="both"/>
        <w:rPr>
          <w:rFonts w:ascii="Times New Roman" w:eastAsia="Times New Roman" w:hAnsi="Times New Roman" w:cs="Times New Roman"/>
          <w:color w:val="3C4043"/>
          <w:sz w:val="24"/>
          <w:szCs w:val="24"/>
          <w:lang w:val="en-GB" w:eastAsia="it-IT"/>
        </w:rPr>
      </w:pPr>
      <w:r w:rsidRPr="00536727">
        <w:rPr>
          <w:rFonts w:ascii="Times New Roman" w:eastAsia="Times New Roman" w:hAnsi="Times New Roman" w:cs="Times New Roman"/>
          <w:color w:val="3C4043"/>
          <w:sz w:val="24"/>
          <w:szCs w:val="24"/>
          <w:lang w:val="en-GB" w:eastAsia="it-IT"/>
        </w:rPr>
        <w:t xml:space="preserve">Date </w:t>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t xml:space="preserve">Patient signature </w:t>
      </w:r>
    </w:p>
    <w:p w:rsidR="00683E36" w:rsidRPr="00536727" w:rsidRDefault="00683E36" w:rsidP="00683E36">
      <w:pPr>
        <w:spacing w:after="0" w:line="360" w:lineRule="auto"/>
        <w:jc w:val="both"/>
        <w:rPr>
          <w:rFonts w:ascii="Times New Roman" w:eastAsia="Times New Roman" w:hAnsi="Times New Roman" w:cs="Times New Roman"/>
          <w:color w:val="3C4043"/>
          <w:sz w:val="24"/>
          <w:szCs w:val="24"/>
          <w:lang w:val="en-GB" w:eastAsia="it-IT"/>
        </w:rPr>
      </w:pPr>
      <w:r w:rsidRPr="00536727">
        <w:rPr>
          <w:rFonts w:ascii="Times New Roman" w:eastAsia="Times New Roman" w:hAnsi="Times New Roman" w:cs="Times New Roman"/>
          <w:color w:val="3C4043"/>
          <w:sz w:val="24"/>
          <w:szCs w:val="24"/>
          <w:lang w:val="en-GB" w:eastAsia="it-IT"/>
        </w:rPr>
        <w:t>................................. ................. ................................................</w:t>
      </w:r>
    </w:p>
    <w:p w:rsidR="00683E36" w:rsidRPr="00536727" w:rsidRDefault="00683E36" w:rsidP="00683E36">
      <w:pPr>
        <w:spacing w:after="0" w:line="360" w:lineRule="auto"/>
        <w:jc w:val="both"/>
        <w:rPr>
          <w:rFonts w:ascii="Times New Roman" w:eastAsia="Times New Roman" w:hAnsi="Times New Roman" w:cs="Times New Roman"/>
          <w:color w:val="3C4043"/>
          <w:sz w:val="24"/>
          <w:szCs w:val="24"/>
          <w:lang w:val="en-GB" w:eastAsia="it-IT"/>
        </w:rPr>
      </w:pPr>
      <w:r w:rsidRPr="00536727">
        <w:rPr>
          <w:rFonts w:ascii="Times New Roman" w:eastAsia="Times New Roman" w:hAnsi="Times New Roman" w:cs="Times New Roman"/>
          <w:color w:val="3C4043"/>
          <w:sz w:val="24"/>
          <w:szCs w:val="24"/>
          <w:lang w:val="en-GB" w:eastAsia="it-IT"/>
        </w:rPr>
        <w:t xml:space="preserve"> Date </w:t>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r>
      <w:r w:rsidRPr="00536727">
        <w:rPr>
          <w:rFonts w:ascii="Times New Roman" w:eastAsia="Times New Roman" w:hAnsi="Times New Roman" w:cs="Times New Roman"/>
          <w:color w:val="3C4043"/>
          <w:sz w:val="24"/>
          <w:szCs w:val="24"/>
          <w:lang w:val="en-GB" w:eastAsia="it-IT"/>
        </w:rPr>
        <w:tab/>
        <w:t xml:space="preserve">Parent's signature </w:t>
      </w:r>
    </w:p>
    <w:p w:rsidR="00683E36" w:rsidRPr="00747A9E" w:rsidRDefault="00683E36" w:rsidP="00683E36">
      <w:pPr>
        <w:spacing w:after="0" w:line="360" w:lineRule="auto"/>
        <w:jc w:val="both"/>
        <w:rPr>
          <w:rFonts w:ascii="Times New Roman" w:eastAsia="Times New Roman" w:hAnsi="Times New Roman" w:cs="Times New Roman"/>
          <w:color w:val="3C4043"/>
          <w:sz w:val="24"/>
          <w:szCs w:val="24"/>
          <w:lang w:eastAsia="it-IT"/>
        </w:rPr>
      </w:pPr>
      <w:r w:rsidRPr="00747A9E">
        <w:rPr>
          <w:rFonts w:ascii="Times New Roman" w:eastAsia="Times New Roman" w:hAnsi="Times New Roman" w:cs="Times New Roman"/>
          <w:color w:val="3C4043"/>
          <w:sz w:val="24"/>
          <w:szCs w:val="24"/>
          <w:lang w:eastAsia="it-IT"/>
        </w:rPr>
        <w:t>................................. ................ ................................................</w:t>
      </w:r>
    </w:p>
    <w:p w:rsidR="00683E36" w:rsidRDefault="00683E36" w:rsidP="00683E36">
      <w:pPr>
        <w:spacing w:after="0" w:line="360" w:lineRule="auto"/>
        <w:jc w:val="both"/>
        <w:rPr>
          <w:rFonts w:ascii="Times New Roman" w:eastAsia="Times New Roman" w:hAnsi="Times New Roman" w:cs="Times New Roman"/>
          <w:color w:val="3C4043"/>
          <w:sz w:val="24"/>
          <w:szCs w:val="24"/>
          <w:lang w:eastAsia="it-IT"/>
        </w:rPr>
      </w:pPr>
      <w:r w:rsidRPr="00747A9E">
        <w:rPr>
          <w:rFonts w:ascii="Times New Roman" w:eastAsia="Times New Roman" w:hAnsi="Times New Roman" w:cs="Times New Roman"/>
          <w:color w:val="3C4043"/>
          <w:sz w:val="24"/>
          <w:szCs w:val="24"/>
          <w:lang w:eastAsia="it-IT"/>
        </w:rPr>
        <w:t xml:space="preserve"> Date </w:t>
      </w:r>
      <w:r w:rsidRPr="00747A9E">
        <w:rPr>
          <w:rFonts w:ascii="Times New Roman" w:eastAsia="Times New Roman" w:hAnsi="Times New Roman" w:cs="Times New Roman"/>
          <w:color w:val="3C4043"/>
          <w:sz w:val="24"/>
          <w:szCs w:val="24"/>
          <w:lang w:eastAsia="it-IT"/>
        </w:rPr>
        <w:tab/>
      </w:r>
      <w:r w:rsidRPr="00747A9E">
        <w:rPr>
          <w:rFonts w:ascii="Times New Roman" w:eastAsia="Times New Roman" w:hAnsi="Times New Roman" w:cs="Times New Roman"/>
          <w:color w:val="3C4043"/>
          <w:sz w:val="24"/>
          <w:szCs w:val="24"/>
          <w:lang w:eastAsia="it-IT"/>
        </w:rPr>
        <w:tab/>
      </w:r>
      <w:r w:rsidRPr="00747A9E">
        <w:rPr>
          <w:rFonts w:ascii="Times New Roman" w:eastAsia="Times New Roman" w:hAnsi="Times New Roman" w:cs="Times New Roman"/>
          <w:color w:val="3C4043"/>
          <w:sz w:val="24"/>
          <w:szCs w:val="24"/>
          <w:lang w:eastAsia="it-IT"/>
        </w:rPr>
        <w:tab/>
      </w:r>
      <w:r w:rsidRPr="00747A9E">
        <w:rPr>
          <w:rFonts w:ascii="Times New Roman" w:eastAsia="Times New Roman" w:hAnsi="Times New Roman" w:cs="Times New Roman"/>
          <w:color w:val="3C4043"/>
          <w:sz w:val="24"/>
          <w:szCs w:val="24"/>
          <w:lang w:eastAsia="it-IT"/>
        </w:rPr>
        <w:tab/>
        <w:t>Doctor's signature</w:t>
      </w:r>
    </w:p>
    <w:p w:rsidR="00683E36" w:rsidRDefault="00683E36" w:rsidP="00683E36">
      <w:pPr>
        <w:spacing w:after="0" w:line="360" w:lineRule="auto"/>
        <w:jc w:val="both"/>
        <w:rPr>
          <w:rFonts w:ascii="Times New Roman" w:eastAsia="Times New Roman" w:hAnsi="Times New Roman" w:cs="Times New Roman"/>
          <w:color w:val="3C4043"/>
          <w:sz w:val="24"/>
          <w:szCs w:val="24"/>
          <w:lang w:eastAsia="it-IT"/>
        </w:rPr>
      </w:pPr>
    </w:p>
    <w:p w:rsidR="00683E36" w:rsidRDefault="00683E36" w:rsidP="00683E36">
      <w:pPr>
        <w:rPr>
          <w:rFonts w:ascii="Times New Roman" w:eastAsia="Times New Roman" w:hAnsi="Times New Roman" w:cs="Times New Roman"/>
          <w:color w:val="3C4043"/>
          <w:sz w:val="24"/>
          <w:szCs w:val="24"/>
          <w:lang w:eastAsia="it-IT"/>
        </w:rPr>
      </w:pPr>
      <w:r>
        <w:rPr>
          <w:rFonts w:ascii="Times New Roman" w:eastAsia="Times New Roman" w:hAnsi="Times New Roman" w:cs="Times New Roman"/>
          <w:color w:val="3C4043"/>
          <w:sz w:val="24"/>
          <w:szCs w:val="24"/>
          <w:lang w:eastAsia="it-IT"/>
        </w:rPr>
        <w:br w:type="page"/>
      </w:r>
    </w:p>
    <w:p w:rsidR="00683E36" w:rsidRPr="0068403A" w:rsidRDefault="00683E36" w:rsidP="00683E36">
      <w:pPr>
        <w:spacing w:after="0" w:line="360" w:lineRule="auto"/>
        <w:jc w:val="both"/>
        <w:rPr>
          <w:rFonts w:ascii="Times New Roman" w:eastAsia="Times New Roman" w:hAnsi="Times New Roman" w:cs="Times New Roman"/>
          <w:color w:val="3C4043"/>
          <w:sz w:val="24"/>
          <w:szCs w:val="24"/>
          <w:lang w:eastAsia="it-IT"/>
        </w:rPr>
      </w:pPr>
      <w:r>
        <w:rPr>
          <w:rFonts w:ascii="Times New Roman" w:eastAsia="Times New Roman" w:hAnsi="Times New Roman" w:cs="Times New Roman"/>
          <w:color w:val="3C4043"/>
          <w:sz w:val="24"/>
          <w:szCs w:val="24"/>
          <w:lang w:eastAsia="it-IT"/>
        </w:rPr>
        <w:lastRenderedPageBreak/>
        <w:t>RANDOMIZATION FORMS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noProof/>
          <w:color w:val="000000"/>
          <w:sz w:val="24"/>
          <w:szCs w:val="24"/>
          <w:lang w:val="en-GB" w:eastAsia="en-GB"/>
        </w:rPr>
        <w:drawing>
          <wp:inline distT="0" distB="0" distL="0" distR="0" wp14:anchorId="5D815C68" wp14:editId="46C2DAB9">
            <wp:extent cx="4714875" cy="3515303"/>
            <wp:effectExtent l="19050" t="0" r="9525"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15448" cy="3515730"/>
                    </a:xfrm>
                    <a:prstGeom prst="rect">
                      <a:avLst/>
                    </a:prstGeom>
                    <a:noFill/>
                    <a:ln>
                      <a:noFill/>
                    </a:ln>
                  </pic:spPr>
                </pic:pic>
              </a:graphicData>
            </a:graphic>
          </wp:inline>
        </w:drawing>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noProof/>
          <w:color w:val="000000"/>
          <w:sz w:val="24"/>
          <w:szCs w:val="24"/>
          <w:lang w:val="en-GB" w:eastAsia="en-GB"/>
        </w:rPr>
        <w:drawing>
          <wp:inline distT="0" distB="0" distL="0" distR="0" wp14:anchorId="3C4DB5FC" wp14:editId="0C4B6907">
            <wp:extent cx="4810125" cy="2048528"/>
            <wp:effectExtent l="19050" t="0" r="9525"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10847" cy="2048835"/>
                    </a:xfrm>
                    <a:prstGeom prst="rect">
                      <a:avLst/>
                    </a:prstGeom>
                    <a:noFill/>
                    <a:ln>
                      <a:noFill/>
                    </a:ln>
                  </pic:spPr>
                </pic:pic>
              </a:graphicData>
            </a:graphic>
          </wp:inline>
        </w:drawing>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lastRenderedPageBreak/>
        <w:t>GUIDELINES FOR THE HISTOPATHOLOGICAL DIAGNOSIS OF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Document drawn up by the panel of pathologists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Method of performing the biopsy.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optimal material to use for diagnostic purposes can be obtained through an incisional biopsy, a large needle biopsy (8 G) or a fine needle biopsy (FNA).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fine needle biopsy technique can be used to remove the extraosseous component of the tumor, but should be avoided in the case of an intraosseous tumor.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Fresh tissue should be sent immediately to the Anatomic Pathology laboratory. Part of the tissue, when possible, must be used for electron microscopy investigations and for genetic analyzes (karyotyping, FISH and/or RT-PCR). Cytological samples (imprints, touch) can be prepared for quick diagnoses from fresh samples arriving in the laboratory .</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Diagnosis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cytological and histological diagnosis is based on preparations prepared and stained with standard methods (hematoxylin-eosin, PAP, MGG).</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Ancillary methods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following antibodies should be included in the immunohistochemical diagnostic panel of Ewing's sarcoma: vimentin, CD 99, Fli 1, caveolin 1, desmin, CD 45, chromogranin, synaptophysin, S100, TdT.</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Cytogenetic analysis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Research of the most frequent translocations present in Ewing's sarcoma using FISH and RT-PCR.</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Electron microscopy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Small samples of fresh tissue (1 cubic millimeter) are immediately fixed in 2% glutaraldehyde and subsequently examined.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Final diagnosis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layout of the final diagnosis should follow the following scheme: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lastRenderedPageBreak/>
        <w:t>examination of routine histological or cytological preparations plus the following combinations: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 cytogenetic analysis + electron microscopy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b) electron microscopy + immunohistochemical positivity of CD 99</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 immunohistochemical execution of the entire panel of antibodies listed above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These guidelines are based on our experience in reevaluating the SSG IV and IX protocols and on the following articles: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Llombart-Bosch A,et al.Histology, immunohistochemistry, and electron microscopy of small round cell tumors of bone.Diagnostic Pathology,1996;13:153-170</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Meis-Kindblom J M.,et al.Differential diagnosis of small round cell tumors.Seminars in diagnostic pathology, 1996;13:213-241</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Two pathologists/cytologists with experience in the histopathological diagnosis of Ewing sarcomas should independently confirm the diagnosis in each case.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Macroscopic evaluation of the surgical piece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Macroscopic examination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Ideally the surgeon and pathologist should examine the specimen together or at least discuss issues related to orientation and resection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Copies of x-rays and imaging in general (CT, RNM, scintigraphy) should be sent to Pathological Anatomy together with the piece to be examined.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tumor volume is indicated in three dimensions in the macro description.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closest resection margin should be measured.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It is recommended to photographically document the macroscopic appearance of the surgical specimen.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Histopathological examination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 number of samples corresponding to the largest extension in cm of the tumor must be taken, e.g. no less than 6 samples for a 6 cm tumor.</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Experience shows that the following areas are particularly useful for sampling:</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1) areas of hemorrhage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lastRenderedPageBreak/>
        <w:t>2) areas of newly formed subperiosteal reactive bone tissue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3) medullary canal</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4) the soft tissues that surround the tumor, as it has been demonstrated that, in the face of complete necrosis of the endosseous component, vital microareas easily persist in the soft parts.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Guidelines for the evaluation of histological response to chemotherapy in the Ewing family of tumors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Based on the experience of the Rizzoli Institute and the reevaluation of the SSG IX protocol, the use of the grading system proposed by Dr. Picci et al., instead of the Huvos system, currently used in osteosarcoma, is strongly recommended.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Furthermore, all institutions that are involved in the protocol should use the same grading system.</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Picci's system is based on the microscopic evaluation of the amount of viable residual tumor after chemotherapy and is divided into three grades: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
          <w:bCs/>
          <w:color w:val="000000"/>
          <w:sz w:val="24"/>
          <w:szCs w:val="24"/>
          <w:lang w:val="en-US"/>
        </w:rPr>
        <w:t xml:space="preserve">-Grade 1: </w:t>
      </w:r>
      <w:r w:rsidRPr="00747A9E">
        <w:rPr>
          <w:rFonts w:ascii="Times New Roman" w:hAnsi="Times New Roman" w:cs="Times New Roman"/>
          <w:bCs/>
          <w:color w:val="000000"/>
          <w:sz w:val="24"/>
          <w:szCs w:val="24"/>
          <w:lang w:val="en-US"/>
        </w:rPr>
        <w:t>the surgical specimen contains at least one macroscopic nodule of viable tumor.</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A macroscopic nodule is defined as an area larger than a microscopic field at 10X magnification, or numerous viable nodules that are individually smaller but in aggregate exceed a 10X microscopic field.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
          <w:bCs/>
          <w:color w:val="000000"/>
          <w:sz w:val="24"/>
          <w:szCs w:val="24"/>
          <w:lang w:val="en-US"/>
        </w:rPr>
        <w:t xml:space="preserve">-Grade 2: </w:t>
      </w:r>
      <w:r w:rsidRPr="00747A9E">
        <w:rPr>
          <w:rFonts w:ascii="Times New Roman" w:hAnsi="Times New Roman" w:cs="Times New Roman"/>
          <w:bCs/>
          <w:color w:val="000000"/>
          <w:sz w:val="24"/>
          <w:szCs w:val="24"/>
          <w:lang w:val="en-US"/>
        </w:rPr>
        <w:t>the surgical piece contains areas smaller than a 10X microscopic field</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 xml:space="preserve">-Grade 3: </w:t>
      </w:r>
      <w:r w:rsidRPr="00747A9E">
        <w:rPr>
          <w:rFonts w:ascii="Times New Roman" w:hAnsi="Times New Roman" w:cs="Times New Roman"/>
          <w:bCs/>
          <w:color w:val="000000"/>
          <w:sz w:val="24"/>
          <w:szCs w:val="24"/>
          <w:lang w:val="en-US"/>
        </w:rPr>
        <w:t>the surgical piece contains no viable residual tumor (total necrosis).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r w:rsidRPr="00747A9E">
        <w:rPr>
          <w:rFonts w:ascii="Times New Roman" w:hAnsi="Times New Roman" w:cs="Times New Roman"/>
          <w:b/>
          <w:bCs/>
          <w:color w:val="000000"/>
          <w:sz w:val="24"/>
          <w:szCs w:val="24"/>
          <w:lang w:val="en-US"/>
        </w:rPr>
        <w:t>References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Picci P.,et al.Prognostic significance of histopatological response to chemotherapy in nonmetastatic Ewing's sarcoma of the extremities.J Clin Oncol 1993;11:1763-9.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Picci P.,et al.Chemotherapy-induced tumor necrosis as a prognostic factor in localized Ewing's sarcoma of the extremities.J.Clin Oncol 1997 ;15: 1553-9.</w:t>
      </w:r>
    </w:p>
    <w:p w:rsidR="00683E36" w:rsidRPr="00747A9E" w:rsidRDefault="00683E36" w:rsidP="00683E36">
      <w:pPr>
        <w:autoSpaceDE w:val="0"/>
        <w:autoSpaceDN w:val="0"/>
        <w:adjustRightInd w:val="0"/>
        <w:spacing w:after="0"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t>Akerman M., Stenwig E. A critical re-examination of Ewing's sarcoma trial SSG IX primary diagnosis and histological response grading. Acta Oryhop Scand 1998; (Suppl.282):32.</w:t>
      </w:r>
    </w:p>
    <w:p w:rsidR="00683E36" w:rsidRPr="00747A9E" w:rsidRDefault="00683E36" w:rsidP="00683E36">
      <w:pPr>
        <w:spacing w:line="360" w:lineRule="auto"/>
        <w:jc w:val="both"/>
        <w:rPr>
          <w:rFonts w:ascii="Times New Roman" w:hAnsi="Times New Roman" w:cs="Times New Roman"/>
          <w:sz w:val="24"/>
          <w:szCs w:val="24"/>
          <w:lang w:val="en-US"/>
        </w:rPr>
      </w:pPr>
      <w:r w:rsidRPr="00747A9E">
        <w:rPr>
          <w:rFonts w:ascii="Times New Roman" w:hAnsi="Times New Roman" w:cs="Times New Roman"/>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RADIOTHERAPY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Document drawn up by the panel of radiation oncologists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Radiotherapy will be administered according to twice-daily fractionation methods in order to reduce treatment time, make concomitant chemotherapy easier and reduce late sequelae from radiotherapy.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total dose and the individual fractions are calculated according to the linear equation modified by Dale (1) which considers the tumor repopulation factor as a function of time.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extrapolated dose/response for tumor (ERD T) and for late effects (ERD LE) is calculated with an alpha/beta ratio equal to 10 Gy for tumor and equal to 3 Gy for late effects. The following table compares ERD T and ERD LE of a conventional and a hyperfractional schedule.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4408FB46" wp14:editId="279C7C15">
            <wp:extent cx="6120130" cy="2501722"/>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130" cy="2501722"/>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hyperfractionated regimen at the cumulative dose of 42 Gy and 54 Gy gives a potential advantage in terms of reduction of late effects with the same therapeutic efficacy.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Radiotherapy guidelines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radiotherapist actively participates right from the initial evaluation phase in defining the local treatment strategy.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Radiotherapy is mandatory: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-After marginal resection associated with a Grade I or II histological response according to Picci (2)</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-After intralesional resection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-If the patient is judged not amenable to surgery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-In some selected situations with surgery deferred at the end of the entire therapeutic program, radiotherapy can precede surgical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Radiotherapy is not associated: in case of marginal margins, but histological response Grade III (complete necrosis) in case of wide or radical surgical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poor responder patients based on clinical judgment and after collegial evaluation in a reference centre, radiotherapy may be associated even in the case of resection with wide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Target volume and irradiation techniques.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target volume must be defined by spiral CT with acquisition at 3-5mm intervals and similar thicknesses of each acquisition to allow a more accurate 3D reconstruction of the target and the critical organs adjacent to it. The absorbed target dose is referred to the center of the tumor volume, if present, or to the point of the tumor volume that best represents it.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This point is generally found at the intersection of the central axes of the radiation beams. The location of these points must be well defined.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target volume refers to the tumor volume present at the time of diagnosis and the tumor volume after induction chemotherapy.</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doses used have a range from 42 Gy in treatments combined with surgery and to 54 Gy when radiotherapy is the only usable modality or the intervention was intralesional.</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In exclusive radiotherapy treatments, the irradiation fields are reduced once the cumulative dose of 42 Gy is reached.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dose variation within the target volume must not exceed 5% of the expected dose (Target dose – absorbed dose).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treatment involves a hyperfractionated modality with two daily fractions of 1.5 Gy each administered at an interval of no less than 6 hours.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Radiotherapy is administered after evaluation of the local response in conjunction with the subsequent chemotherapy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Chemotherapy is not normally interrupted by concurrent radiotherapy unless excess toxicity is recorded.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Radiotherapy is administered continuously up to the programmed doses (42 or 54 Gy). Radiotherapy is administered as a divided dose of 1.5 Gy twice daily for 5 days a week.</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lastRenderedPageBreak/>
        <w:t>The standard irradiation technique is 3D conformal. Intensity modulated treatments (IMRT) can be considered for irregular target volumes and in close proximity to critical organs.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treatment is performed with multiple beams of high-energy photons. In selected cases and in the presence of very superficial lesions, electrons can be used.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Target volume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Target volume I</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target volume consists of the initial tumor volume with a margin of 2 cm.</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An exception to this rule is: tumors adjacent to the epiphyseal region (the opposite epiphysis must not be included).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Tumors located in the center of the bone segment: both epiphyses must be excluded</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Target dose I: 42 Gy in 28 fractions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i/>
          <w:color w:val="000000"/>
          <w:sz w:val="24"/>
          <w:szCs w:val="24"/>
          <w:lang w:val="en-US"/>
        </w:rPr>
      </w:pPr>
      <w:r w:rsidRPr="00747A9E">
        <w:rPr>
          <w:rFonts w:ascii="Times New Roman" w:hAnsi="Times New Roman" w:cs="Times New Roman"/>
          <w:i/>
          <w:color w:val="000000"/>
          <w:sz w:val="24"/>
          <w:szCs w:val="24"/>
          <w:lang w:val="en-US"/>
        </w:rPr>
        <w:t>Target volume II</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Tumor clinically and radiographically evident at the beginning of radiotherapy with a margin of 2 cm.</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Target cumulative dose II 54 Gy in 36 fractions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Tumors that expand into cavities such as the pelvis or thorax do not usually infiltrate the organs they contain and the soft tissue component of the tumor usually responds well to chemotherapy. For these tumors the target volume must be calculated on the residual mass after chemotherapy with a margin of 2 cm while the entire initial volume of the affected bone segment must be included in the treatment plan.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Spinal localizations impose a limitation of the total dose with respect to the tolerance dose of the spinal cord (45 Gy) when the latter cannot be excluded from exposure in the boost phase.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spacing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Critical organs</w:t>
      </w:r>
    </w:p>
    <w:p w:rsidR="00683E36" w:rsidRPr="00747A9E" w:rsidRDefault="00683E36" w:rsidP="00683E36">
      <w:pPr>
        <w:spacing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dose administered to the kidneys, heart, liver, lung and spinal cord must be calculated. In the case of critical organs, the relative doses must not exceed the following values:</w:t>
      </w:r>
      <w:r w:rsidRPr="00747A9E">
        <w:rPr>
          <w:rFonts w:ascii="Times New Roman" w:hAnsi="Times New Roman" w:cs="Times New Roman"/>
          <w:color w:val="000000"/>
          <w:sz w:val="24"/>
          <w:szCs w:val="24"/>
          <w:lang w:val="en-US"/>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lastRenderedPageBreak/>
        <w:drawing>
          <wp:inline distT="0" distB="0" distL="0" distR="0" wp14:anchorId="3950E854" wp14:editId="6FEDA8EB">
            <wp:extent cx="6120130" cy="4662956"/>
            <wp:effectExtent l="0" t="0" r="0" b="444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20130" cy="4662956"/>
                    </a:xfrm>
                    <a:prstGeom prst="rect">
                      <a:avLst/>
                    </a:prstGeom>
                    <a:noFill/>
                    <a:ln>
                      <a:noFill/>
                    </a:ln>
                  </pic:spPr>
                </pic:pic>
              </a:graphicData>
            </a:graphic>
          </wp:inline>
        </w:drawing>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rPr>
      </w:pPr>
      <w:r w:rsidRPr="00747A9E">
        <w:rPr>
          <w:rFonts w:ascii="Times New Roman" w:hAnsi="Times New Roman" w:cs="Times New Roman"/>
          <w:noProof/>
          <w:color w:val="000000"/>
          <w:sz w:val="24"/>
          <w:szCs w:val="24"/>
          <w:lang w:val="en-GB" w:eastAsia="en-GB"/>
        </w:rPr>
        <w:drawing>
          <wp:inline distT="0" distB="0" distL="0" distR="0" wp14:anchorId="0B762760" wp14:editId="4ED145D9">
            <wp:extent cx="6120130" cy="1210344"/>
            <wp:effectExtent l="0" t="0" r="0" b="889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20130" cy="1210344"/>
                    </a:xfrm>
                    <a:prstGeom prst="rect">
                      <a:avLst/>
                    </a:prstGeom>
                    <a:noFill/>
                    <a:ln>
                      <a:noFill/>
                    </a:ln>
                  </pic:spPr>
                </pic:pic>
              </a:graphicData>
            </a:graphic>
          </wp:inline>
        </w:drawing>
      </w:r>
    </w:p>
    <w:p w:rsidR="00683E36" w:rsidRPr="00747A9E" w:rsidRDefault="00683E36" w:rsidP="00683E36">
      <w:pPr>
        <w:spacing w:line="360" w:lineRule="auto"/>
        <w:jc w:val="both"/>
        <w:rPr>
          <w:rFonts w:ascii="Times New Roman" w:hAnsi="Times New Roman" w:cs="Times New Roman"/>
          <w:color w:val="000000"/>
          <w:sz w:val="24"/>
          <w:szCs w:val="24"/>
        </w:rPr>
      </w:pPr>
      <w:r w:rsidRPr="00747A9E">
        <w:rPr>
          <w:rFonts w:ascii="Times New Roman" w:hAnsi="Times New Roman" w:cs="Times New Roman"/>
          <w:color w:val="000000"/>
          <w:sz w:val="24"/>
          <w:szCs w:val="24"/>
        </w:rPr>
        <w:br w:type="page"/>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lastRenderedPageBreak/>
        <w:t>GUIDELINE FOR THE ORTHOPEDIC SURGEON IN THE TREATMENT OF EWING'S SARCOMA</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Document drawn up by the panel of surgeons of the reference centers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BIOPSY</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Biopsy is an important surgical procedure which, if performed incorrectly, can have an unfavorable effect on the patient. There are different types of biopsy: incisional, trocar needle biopsy and fine needle aspiration. All must guarantee the collection of adequate material, which allows a diagnosis to be made and also to carry out cytological and biological studies.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i/>
          <w:color w:val="000000"/>
          <w:sz w:val="24"/>
          <w:szCs w:val="24"/>
          <w:lang w:val="en-US"/>
        </w:rPr>
        <w:t>Incisional biopsy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 It is indicated in "difficult" tumors, such as Ewing's Sarcoma, where a complete and accurate histological study (microscope, immunohistology and cytogenetics) is necessary. The incision must be made small and longitudinal, in a site that can be excised en bloc with the tumor at the time of definitive surgery. A dissection of the anatomical planes must not be performed, but must pass through the muscle, to avoid contamination of multiple compartments. It is important not to contaminate the vascular-nervous bundles and joint cavities. Accurate hemostasis must be achieved, carefully suturing the tumor pseudocapsule and fascia, avoiding applying a drain.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i/>
          <w:color w:val="000000"/>
          <w:sz w:val="24"/>
          <w:szCs w:val="24"/>
          <w:lang w:val="en-US"/>
        </w:rPr>
        <w:t>Needle biopsy</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It has the advantage of being easy to perform, less traumatizing, with less risk of bleeding and dissemination of tumor cells. It can be performed under local anesthesia, on an outpatient or day surgery basis. Excision of the biopsy path, in continuity with the underlying tumor, is simpler than an incisional biopsy. Particularly useful, under CT guidance, in vertebral and pelvic lesions, where an incisional biopsy would be too invasive. It is performed with a "trocar" (large needle, 5-6 mm in diameter) for bone lesions and with a "Trucut" for the shape of soft tissues.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disadvantage is that the sampling is of a modest quantity and when performed "blindly" in deep sites it may not be significant. It is always better to use fluoroscopy or CT for bone lesions and ultrasound for soft tissue lesions.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i/>
          <w:color w:val="000000"/>
          <w:sz w:val="24"/>
          <w:szCs w:val="24"/>
          <w:lang w:val="en-US"/>
        </w:rPr>
        <w:t>Fine needle aspiration.</w:t>
      </w:r>
      <w:r w:rsidRPr="00747A9E">
        <w:rPr>
          <w:rFonts w:ascii="Times New Roman" w:hAnsi="Times New Roman" w:cs="Times New Roman"/>
          <w:color w:val="000000"/>
          <w:sz w:val="24"/>
          <w:szCs w:val="24"/>
          <w:lang w:val="en-US"/>
        </w:rPr>
        <w:t xml:space="preserve"> </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 xml:space="preserve">Several centers have reported that fine needle aspiration is effective for diagnosing these tumors and that even cytogenetics can be performed. However, the scarcity of aspirated material makes the pathologist's work difficult. The effective use of this technique requires close collaboration between </w:t>
      </w:r>
      <w:r w:rsidRPr="00747A9E">
        <w:rPr>
          <w:rFonts w:ascii="Times New Roman" w:hAnsi="Times New Roman" w:cs="Times New Roman"/>
          <w:color w:val="000000"/>
          <w:sz w:val="24"/>
          <w:szCs w:val="24"/>
          <w:lang w:val="en-US"/>
        </w:rPr>
        <w:lastRenderedPageBreak/>
        <w:t>surgeon, pathologist and radiologist expert in the treatment of sarcomas, hence the need to perform this procedure only in reference centers.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SURGICAL TREATMENT.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In recent years, greater emphasis has been placed on surgical excision in the treatment of SE. In tumors treated surgically, compared to those treated only with radiotherapy, a reduced rate of local recurrence was found. However, radiotherapy continues to have a role, especially in lesions in which it has not been possible to obtain adequate surgical margins or in particular locations such as the pelvis and spine.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 of local recurrence is closely related to the resection margins. Surgery must be performed to remove the tumor with wide or radical, uncontaminated surgical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surgical intervention can be conservative (resection/excision) or demolitive (amputation). The type of surgery depends on the following factors: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-from the site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-by the extension of the tumor:</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
        <w:t>-intra- or extracompartmental</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
        <w:t>- involvement or otherwise of main vessels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
        <w:t>-involvement or not of nerves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
        <w:t>-invasion or not of the joint space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b/>
        <w:t>-presence of “skip” metastasis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Amputation is indicated in those patients where wide excision of the tumor is not possible and when the removal of the tumor with adequate margins involves the sacrifice of multiple compartments with the consequence of a functionally unusable limb. It must be taken into consideration in case of local recurrence and in cases of pathological fracture.</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A particular method of amputation is gyroplasty. It is indicated in children under 8 years of age, with an SE localized to the distal femur or proximal tibia.</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In the case of conservative surgery, resection of long bones and pelvis, the choice of the type of reconstruction of the resected bone segment depends on several factors: the location, the residual muscle and bone tissue (extension of the lesion), age of the patient, patient expectations , psycho-</w:t>
      </w:r>
      <w:r w:rsidRPr="00747A9E">
        <w:rPr>
          <w:rFonts w:ascii="Times New Roman" w:hAnsi="Times New Roman" w:cs="Times New Roman"/>
          <w:bCs/>
          <w:color w:val="000000"/>
          <w:sz w:val="24"/>
          <w:szCs w:val="24"/>
          <w:lang w:val="en-US"/>
        </w:rPr>
        <w:lastRenderedPageBreak/>
        <w:t>physical conditions and lifestyle of the patient, from the need to perform adjuvant therapy. It must always be remembered that tumor removal must be performed with oncologically adequate surgical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The most used reconstruction options are:</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1. Special modular resection prostheses (HMRS-GMRS type in the lower limb and MRS, IOR in the shoulder. Indicated for the reconstruction of an articular segment or rarely of an entire skeletal segment).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2. Massive osteo-articular homoplastic graft (reconstruction of an articular segment: especially indicated in the proximal humerus and distal radius).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3. Composite prosthesis (combination of massive graft and prosthesis: especially indicated in the proximal femur and pelvis).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4. Massive intercalary homoplastic graft (indicated in all patients with SE located in the diaphysis of the long bones)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5. Vascularized autoplastic graft during growth (vascularized fibula taken with the epiphysis and growth cartilage: indicated in growing patients for the reconstruction of the distal radius and proximal humerus)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6.Massive homoplastic graft associated with vascularized autoplastic graft (vascularized diaphyseal fibula + massive bone graft: indicated in very long diaphyseal reconstructions, especially of the lower limbs).</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7. Arthrodesis (Kuntscher and cement, graft or modular prosthesis: operation performed less and less and in selected cases mainly in the knee and ankle, occasionally in the wrist).</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r w:rsidRPr="00747A9E">
        <w:rPr>
          <w:rFonts w:ascii="Times New Roman" w:hAnsi="Times New Roman" w:cs="Times New Roman"/>
          <w:bCs/>
          <w:color w:val="000000"/>
          <w:sz w:val="24"/>
          <w:szCs w:val="24"/>
          <w:lang w:val="en-US"/>
        </w:rPr>
        <w:t>N.B. The type of resection and reconstruction must always be evaluated on a case-by-case basis and in particular circumstances particular and personalized techniques can be used.</w:t>
      </w:r>
    </w:p>
    <w:p w:rsidR="00683E36" w:rsidRPr="00747A9E" w:rsidRDefault="00683E36" w:rsidP="00683E36">
      <w:pPr>
        <w:autoSpaceDE w:val="0"/>
        <w:autoSpaceDN w:val="0"/>
        <w:adjustRightInd w:val="0"/>
        <w:spacing w:after="0" w:line="360" w:lineRule="auto"/>
        <w:jc w:val="both"/>
        <w:rPr>
          <w:rFonts w:ascii="Times New Roman" w:hAnsi="Times New Roman" w:cs="Times New Roman"/>
          <w:bCs/>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r w:rsidRPr="00747A9E">
        <w:rPr>
          <w:rFonts w:ascii="Times New Roman" w:hAnsi="Times New Roman" w:cs="Times New Roman"/>
          <w:b/>
          <w:color w:val="000000"/>
          <w:sz w:val="24"/>
          <w:szCs w:val="24"/>
          <w:lang w:val="en-US"/>
        </w:rPr>
        <w:t>Ewing's sarcoma of the spine</w:t>
      </w:r>
    </w:p>
    <w:p w:rsidR="00683E36" w:rsidRPr="00747A9E" w:rsidRDefault="00683E36" w:rsidP="00683E36">
      <w:pPr>
        <w:autoSpaceDE w:val="0"/>
        <w:autoSpaceDN w:val="0"/>
        <w:adjustRightInd w:val="0"/>
        <w:spacing w:after="0" w:line="360" w:lineRule="auto"/>
        <w:jc w:val="both"/>
        <w:rPr>
          <w:rFonts w:ascii="Times New Roman" w:hAnsi="Times New Roman" w:cs="Times New Roman"/>
          <w:b/>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The association between adjuvant therapy and extensive anterior and/or posterior resection improved local control, neurological function and survival. However, the prognosis of these patients remains severe, as in several patients with vertebral neoplasia it is not possible to obtain a wide excision of the tumor.</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lastRenderedPageBreak/>
        <w:t>Local treatment of the vertebral SE can be curative ("en bloc" resection of the tumor with wide-marginal margins) or symptomatic (decompression and/or stabilization).</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Partial or total resection of one or more vertebrae must be taken into consideration whenever it is possible to obtain oncologically adequate surgical margins.</w:t>
      </w: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p>
    <w:p w:rsidR="00683E36" w:rsidRPr="00747A9E" w:rsidRDefault="00683E36" w:rsidP="00683E36">
      <w:pPr>
        <w:autoSpaceDE w:val="0"/>
        <w:autoSpaceDN w:val="0"/>
        <w:adjustRightInd w:val="0"/>
        <w:spacing w:after="0" w:line="360" w:lineRule="auto"/>
        <w:jc w:val="both"/>
        <w:rPr>
          <w:rFonts w:ascii="Times New Roman" w:hAnsi="Times New Roman" w:cs="Times New Roman"/>
          <w:color w:val="000000"/>
          <w:sz w:val="24"/>
          <w:szCs w:val="24"/>
          <w:lang w:val="en-US"/>
        </w:rPr>
      </w:pPr>
      <w:r w:rsidRPr="00747A9E">
        <w:rPr>
          <w:rFonts w:ascii="Times New Roman" w:hAnsi="Times New Roman" w:cs="Times New Roman"/>
          <w:color w:val="000000"/>
          <w:sz w:val="24"/>
          <w:szCs w:val="24"/>
          <w:lang w:val="en-US"/>
        </w:rPr>
        <w:t>When it is not possible to remove the tumor in a large-marginal way and significant neurological symptoms appear, radiotherapy may be indicated alone or in association with surgical decompression.</w:t>
      </w:r>
    </w:p>
    <w:p w:rsidR="00683E36" w:rsidRPr="00536727" w:rsidRDefault="00683E36" w:rsidP="00683E36">
      <w:pPr>
        <w:spacing w:after="0"/>
        <w:rPr>
          <w:rFonts w:ascii="Arial" w:hAnsi="Arial" w:cs="Arial"/>
          <w:sz w:val="24"/>
          <w:szCs w:val="24"/>
          <w:lang w:val="en-US"/>
        </w:rPr>
      </w:pPr>
    </w:p>
    <w:p w:rsidR="00683E36" w:rsidRPr="00536727" w:rsidRDefault="00683E36" w:rsidP="00683E36">
      <w:pPr>
        <w:spacing w:after="0"/>
        <w:rPr>
          <w:rFonts w:ascii="Arial" w:hAnsi="Arial" w:cs="Arial"/>
          <w:b/>
          <w:sz w:val="24"/>
          <w:szCs w:val="24"/>
          <w:lang w:val="en-GB"/>
        </w:rPr>
      </w:pPr>
    </w:p>
    <w:p w:rsidR="00B44C54" w:rsidRPr="00683E36" w:rsidRDefault="00CE642C">
      <w:pPr>
        <w:rPr>
          <w:lang w:val="en-GB"/>
        </w:rPr>
      </w:pPr>
    </w:p>
    <w:sectPr w:rsidR="00B44C54" w:rsidRPr="00683E36" w:rsidSect="00F02A2F">
      <w:footerReference w:type="default" r:id="rId31"/>
      <w:pgSz w:w="11906" w:h="16838"/>
      <w:pgMar w:top="1276" w:right="1134" w:bottom="1134" w:left="1134" w:header="0"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E642C">
      <w:pPr>
        <w:spacing w:after="0" w:line="240" w:lineRule="auto"/>
      </w:pPr>
      <w:r>
        <w:separator/>
      </w:r>
    </w:p>
  </w:endnote>
  <w:endnote w:type="continuationSeparator" w:id="0">
    <w:p w:rsidR="00000000" w:rsidRDefault="00CE64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NOAAL E+ Adv O T 1ef 757c 0">
    <w:altName w:val="Times New Roman"/>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4075887"/>
      <w:docPartObj>
        <w:docPartGallery w:val="Page Numbers (Bottom of Page)"/>
        <w:docPartUnique/>
      </w:docPartObj>
    </w:sdtPr>
    <w:sdtEndPr/>
    <w:sdtContent>
      <w:p w:rsidR="004D0A9B" w:rsidRDefault="00683E36">
        <w:pPr>
          <w:pStyle w:val="Pidipagina"/>
          <w:jc w:val="center"/>
        </w:pPr>
        <w:r>
          <w:fldChar w:fldCharType="begin"/>
        </w:r>
        <w:r>
          <w:instrText>PAGE</w:instrText>
        </w:r>
        <w:r>
          <w:fldChar w:fldCharType="separate"/>
        </w:r>
        <w:r w:rsidR="00CE642C">
          <w:rPr>
            <w:noProof/>
          </w:rPr>
          <w:t>1</w:t>
        </w:r>
        <w:r>
          <w:rPr>
            <w:noProof/>
          </w:rPr>
          <w:fldChar w:fldCharType="end"/>
        </w:r>
      </w:p>
      <w:p w:rsidR="004D0A9B" w:rsidRDefault="00CE642C">
        <w:pPr>
          <w:pStyle w:val="Pidipagin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E642C">
      <w:pPr>
        <w:spacing w:after="0" w:line="240" w:lineRule="auto"/>
      </w:pPr>
      <w:r>
        <w:separator/>
      </w:r>
    </w:p>
  </w:footnote>
  <w:footnote w:type="continuationSeparator" w:id="0">
    <w:p w:rsidR="00000000" w:rsidRDefault="00CE64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083C133"/>
    <w:multiLevelType w:val="hybridMultilevel"/>
    <w:tmpl w:val="CECC397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CE7C5A"/>
    <w:multiLevelType w:val="hybridMultilevel"/>
    <w:tmpl w:val="61C66F49"/>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A72292"/>
    <w:multiLevelType w:val="hybridMultilevel"/>
    <w:tmpl w:val="340F87E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8A92EFF"/>
    <w:multiLevelType w:val="hybridMultilevel"/>
    <w:tmpl w:val="280551B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449F430"/>
    <w:multiLevelType w:val="hybridMultilevel"/>
    <w:tmpl w:val="2D6ECF9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D48E280"/>
    <w:multiLevelType w:val="hybridMultilevel"/>
    <w:tmpl w:val="978151BD"/>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EDAB1C69"/>
    <w:multiLevelType w:val="hybridMultilevel"/>
    <w:tmpl w:val="A03FE629"/>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4124A62"/>
    <w:multiLevelType w:val="hybridMultilevel"/>
    <w:tmpl w:val="C3EEFA96"/>
    <w:lvl w:ilvl="0" w:tplc="069E5AB0">
      <w:start w:val="1"/>
      <w:numFmt w:val="bullet"/>
      <w:lvlText w:val="-"/>
      <w:lvlJc w:val="left"/>
      <w:pPr>
        <w:tabs>
          <w:tab w:val="num" w:pos="720"/>
        </w:tabs>
        <w:ind w:left="720" w:hanging="360"/>
      </w:pPr>
      <w:rPr>
        <w:rFonts w:ascii="Times New Roman" w:hAnsi="Times New Roman" w:hint="default"/>
      </w:rPr>
    </w:lvl>
    <w:lvl w:ilvl="1" w:tplc="9E1ABF1E" w:tentative="1">
      <w:start w:val="1"/>
      <w:numFmt w:val="bullet"/>
      <w:lvlText w:val="-"/>
      <w:lvlJc w:val="left"/>
      <w:pPr>
        <w:tabs>
          <w:tab w:val="num" w:pos="1440"/>
        </w:tabs>
        <w:ind w:left="1440" w:hanging="360"/>
      </w:pPr>
      <w:rPr>
        <w:rFonts w:ascii="Times New Roman" w:hAnsi="Times New Roman" w:hint="default"/>
      </w:rPr>
    </w:lvl>
    <w:lvl w:ilvl="2" w:tplc="94E80046" w:tentative="1">
      <w:start w:val="1"/>
      <w:numFmt w:val="bullet"/>
      <w:lvlText w:val="-"/>
      <w:lvlJc w:val="left"/>
      <w:pPr>
        <w:tabs>
          <w:tab w:val="num" w:pos="2160"/>
        </w:tabs>
        <w:ind w:left="2160" w:hanging="360"/>
      </w:pPr>
      <w:rPr>
        <w:rFonts w:ascii="Times New Roman" w:hAnsi="Times New Roman" w:hint="default"/>
      </w:rPr>
    </w:lvl>
    <w:lvl w:ilvl="3" w:tplc="E6BA2D1E" w:tentative="1">
      <w:start w:val="1"/>
      <w:numFmt w:val="bullet"/>
      <w:lvlText w:val="-"/>
      <w:lvlJc w:val="left"/>
      <w:pPr>
        <w:tabs>
          <w:tab w:val="num" w:pos="2880"/>
        </w:tabs>
        <w:ind w:left="2880" w:hanging="360"/>
      </w:pPr>
      <w:rPr>
        <w:rFonts w:ascii="Times New Roman" w:hAnsi="Times New Roman" w:hint="default"/>
      </w:rPr>
    </w:lvl>
    <w:lvl w:ilvl="4" w:tplc="3A02B118" w:tentative="1">
      <w:start w:val="1"/>
      <w:numFmt w:val="bullet"/>
      <w:lvlText w:val="-"/>
      <w:lvlJc w:val="left"/>
      <w:pPr>
        <w:tabs>
          <w:tab w:val="num" w:pos="3600"/>
        </w:tabs>
        <w:ind w:left="3600" w:hanging="360"/>
      </w:pPr>
      <w:rPr>
        <w:rFonts w:ascii="Times New Roman" w:hAnsi="Times New Roman" w:hint="default"/>
      </w:rPr>
    </w:lvl>
    <w:lvl w:ilvl="5" w:tplc="512A1F36" w:tentative="1">
      <w:start w:val="1"/>
      <w:numFmt w:val="bullet"/>
      <w:lvlText w:val="-"/>
      <w:lvlJc w:val="left"/>
      <w:pPr>
        <w:tabs>
          <w:tab w:val="num" w:pos="4320"/>
        </w:tabs>
        <w:ind w:left="4320" w:hanging="360"/>
      </w:pPr>
      <w:rPr>
        <w:rFonts w:ascii="Times New Roman" w:hAnsi="Times New Roman" w:hint="default"/>
      </w:rPr>
    </w:lvl>
    <w:lvl w:ilvl="6" w:tplc="B0C614A0" w:tentative="1">
      <w:start w:val="1"/>
      <w:numFmt w:val="bullet"/>
      <w:lvlText w:val="-"/>
      <w:lvlJc w:val="left"/>
      <w:pPr>
        <w:tabs>
          <w:tab w:val="num" w:pos="5040"/>
        </w:tabs>
        <w:ind w:left="5040" w:hanging="360"/>
      </w:pPr>
      <w:rPr>
        <w:rFonts w:ascii="Times New Roman" w:hAnsi="Times New Roman" w:hint="default"/>
      </w:rPr>
    </w:lvl>
    <w:lvl w:ilvl="7" w:tplc="7C5A2BCE" w:tentative="1">
      <w:start w:val="1"/>
      <w:numFmt w:val="bullet"/>
      <w:lvlText w:val="-"/>
      <w:lvlJc w:val="left"/>
      <w:pPr>
        <w:tabs>
          <w:tab w:val="num" w:pos="5760"/>
        </w:tabs>
        <w:ind w:left="5760" w:hanging="360"/>
      </w:pPr>
      <w:rPr>
        <w:rFonts w:ascii="Times New Roman" w:hAnsi="Times New Roman" w:hint="default"/>
      </w:rPr>
    </w:lvl>
    <w:lvl w:ilvl="8" w:tplc="E3EA4BB8"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08345E55"/>
    <w:multiLevelType w:val="hybridMultilevel"/>
    <w:tmpl w:val="5E347D3A"/>
    <w:lvl w:ilvl="0" w:tplc="C0DA0464">
      <w:start w:val="1"/>
      <w:numFmt w:val="bullet"/>
      <w:lvlText w:val="-"/>
      <w:lvlJc w:val="left"/>
      <w:pPr>
        <w:tabs>
          <w:tab w:val="num" w:pos="720"/>
        </w:tabs>
        <w:ind w:left="720" w:hanging="360"/>
      </w:pPr>
      <w:rPr>
        <w:rFonts w:ascii="Times New Roman" w:hAnsi="Times New Roman" w:hint="default"/>
      </w:rPr>
    </w:lvl>
    <w:lvl w:ilvl="1" w:tplc="DE4A5924" w:tentative="1">
      <w:start w:val="1"/>
      <w:numFmt w:val="bullet"/>
      <w:lvlText w:val="-"/>
      <w:lvlJc w:val="left"/>
      <w:pPr>
        <w:tabs>
          <w:tab w:val="num" w:pos="1440"/>
        </w:tabs>
        <w:ind w:left="1440" w:hanging="360"/>
      </w:pPr>
      <w:rPr>
        <w:rFonts w:ascii="Times New Roman" w:hAnsi="Times New Roman" w:hint="default"/>
      </w:rPr>
    </w:lvl>
    <w:lvl w:ilvl="2" w:tplc="1C28A1BC" w:tentative="1">
      <w:start w:val="1"/>
      <w:numFmt w:val="bullet"/>
      <w:lvlText w:val="-"/>
      <w:lvlJc w:val="left"/>
      <w:pPr>
        <w:tabs>
          <w:tab w:val="num" w:pos="2160"/>
        </w:tabs>
        <w:ind w:left="2160" w:hanging="360"/>
      </w:pPr>
      <w:rPr>
        <w:rFonts w:ascii="Times New Roman" w:hAnsi="Times New Roman" w:hint="default"/>
      </w:rPr>
    </w:lvl>
    <w:lvl w:ilvl="3" w:tplc="2DB49C3C" w:tentative="1">
      <w:start w:val="1"/>
      <w:numFmt w:val="bullet"/>
      <w:lvlText w:val="-"/>
      <w:lvlJc w:val="left"/>
      <w:pPr>
        <w:tabs>
          <w:tab w:val="num" w:pos="2880"/>
        </w:tabs>
        <w:ind w:left="2880" w:hanging="360"/>
      </w:pPr>
      <w:rPr>
        <w:rFonts w:ascii="Times New Roman" w:hAnsi="Times New Roman" w:hint="default"/>
      </w:rPr>
    </w:lvl>
    <w:lvl w:ilvl="4" w:tplc="1ACA196E" w:tentative="1">
      <w:start w:val="1"/>
      <w:numFmt w:val="bullet"/>
      <w:lvlText w:val="-"/>
      <w:lvlJc w:val="left"/>
      <w:pPr>
        <w:tabs>
          <w:tab w:val="num" w:pos="3600"/>
        </w:tabs>
        <w:ind w:left="3600" w:hanging="360"/>
      </w:pPr>
      <w:rPr>
        <w:rFonts w:ascii="Times New Roman" w:hAnsi="Times New Roman" w:hint="default"/>
      </w:rPr>
    </w:lvl>
    <w:lvl w:ilvl="5" w:tplc="1944AED0" w:tentative="1">
      <w:start w:val="1"/>
      <w:numFmt w:val="bullet"/>
      <w:lvlText w:val="-"/>
      <w:lvlJc w:val="left"/>
      <w:pPr>
        <w:tabs>
          <w:tab w:val="num" w:pos="4320"/>
        </w:tabs>
        <w:ind w:left="4320" w:hanging="360"/>
      </w:pPr>
      <w:rPr>
        <w:rFonts w:ascii="Times New Roman" w:hAnsi="Times New Roman" w:hint="default"/>
      </w:rPr>
    </w:lvl>
    <w:lvl w:ilvl="6" w:tplc="FAD20566" w:tentative="1">
      <w:start w:val="1"/>
      <w:numFmt w:val="bullet"/>
      <w:lvlText w:val="-"/>
      <w:lvlJc w:val="left"/>
      <w:pPr>
        <w:tabs>
          <w:tab w:val="num" w:pos="5040"/>
        </w:tabs>
        <w:ind w:left="5040" w:hanging="360"/>
      </w:pPr>
      <w:rPr>
        <w:rFonts w:ascii="Times New Roman" w:hAnsi="Times New Roman" w:hint="default"/>
      </w:rPr>
    </w:lvl>
    <w:lvl w:ilvl="7" w:tplc="8C9E23D8" w:tentative="1">
      <w:start w:val="1"/>
      <w:numFmt w:val="bullet"/>
      <w:lvlText w:val="-"/>
      <w:lvlJc w:val="left"/>
      <w:pPr>
        <w:tabs>
          <w:tab w:val="num" w:pos="5760"/>
        </w:tabs>
        <w:ind w:left="5760" w:hanging="360"/>
      </w:pPr>
      <w:rPr>
        <w:rFonts w:ascii="Times New Roman" w:hAnsi="Times New Roman" w:hint="default"/>
      </w:rPr>
    </w:lvl>
    <w:lvl w:ilvl="8" w:tplc="8EE8E6FE"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17F7BF5D"/>
    <w:multiLevelType w:val="hybridMultilevel"/>
    <w:tmpl w:val="4FC6F360"/>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2F32AC9"/>
    <w:multiLevelType w:val="hybridMultilevel"/>
    <w:tmpl w:val="8A22E28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36CC57E"/>
    <w:multiLevelType w:val="hybridMultilevel"/>
    <w:tmpl w:val="A97BA3C8"/>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2A78BC57"/>
    <w:multiLevelType w:val="hybridMultilevel"/>
    <w:tmpl w:val="591EDAA9"/>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3B6506CC"/>
    <w:multiLevelType w:val="hybridMultilevel"/>
    <w:tmpl w:val="5822A34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4139772F"/>
    <w:multiLevelType w:val="hybridMultilevel"/>
    <w:tmpl w:val="978151BD"/>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67791DC9"/>
    <w:multiLevelType w:val="hybridMultilevel"/>
    <w:tmpl w:val="90902279"/>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6BF31E6D"/>
    <w:multiLevelType w:val="hybridMultilevel"/>
    <w:tmpl w:val="0A1ADDF2"/>
    <w:lvl w:ilvl="0" w:tplc="25A47954">
      <w:start w:val="1"/>
      <w:numFmt w:val="bullet"/>
      <w:lvlText w:val="-"/>
      <w:lvlJc w:val="left"/>
      <w:pPr>
        <w:tabs>
          <w:tab w:val="num" w:pos="720"/>
        </w:tabs>
        <w:ind w:left="720" w:hanging="360"/>
      </w:pPr>
      <w:rPr>
        <w:rFonts w:ascii="Times New Roman" w:hAnsi="Times New Roman" w:hint="default"/>
      </w:rPr>
    </w:lvl>
    <w:lvl w:ilvl="1" w:tplc="E71E273C" w:tentative="1">
      <w:start w:val="1"/>
      <w:numFmt w:val="bullet"/>
      <w:lvlText w:val="-"/>
      <w:lvlJc w:val="left"/>
      <w:pPr>
        <w:tabs>
          <w:tab w:val="num" w:pos="1440"/>
        </w:tabs>
        <w:ind w:left="1440" w:hanging="360"/>
      </w:pPr>
      <w:rPr>
        <w:rFonts w:ascii="Times New Roman" w:hAnsi="Times New Roman" w:hint="default"/>
      </w:rPr>
    </w:lvl>
    <w:lvl w:ilvl="2" w:tplc="6BCCE7F4" w:tentative="1">
      <w:start w:val="1"/>
      <w:numFmt w:val="bullet"/>
      <w:lvlText w:val="-"/>
      <w:lvlJc w:val="left"/>
      <w:pPr>
        <w:tabs>
          <w:tab w:val="num" w:pos="2160"/>
        </w:tabs>
        <w:ind w:left="2160" w:hanging="360"/>
      </w:pPr>
      <w:rPr>
        <w:rFonts w:ascii="Times New Roman" w:hAnsi="Times New Roman" w:hint="default"/>
      </w:rPr>
    </w:lvl>
    <w:lvl w:ilvl="3" w:tplc="27BEEE14" w:tentative="1">
      <w:start w:val="1"/>
      <w:numFmt w:val="bullet"/>
      <w:lvlText w:val="-"/>
      <w:lvlJc w:val="left"/>
      <w:pPr>
        <w:tabs>
          <w:tab w:val="num" w:pos="2880"/>
        </w:tabs>
        <w:ind w:left="2880" w:hanging="360"/>
      </w:pPr>
      <w:rPr>
        <w:rFonts w:ascii="Times New Roman" w:hAnsi="Times New Roman" w:hint="default"/>
      </w:rPr>
    </w:lvl>
    <w:lvl w:ilvl="4" w:tplc="1CFC2E76" w:tentative="1">
      <w:start w:val="1"/>
      <w:numFmt w:val="bullet"/>
      <w:lvlText w:val="-"/>
      <w:lvlJc w:val="left"/>
      <w:pPr>
        <w:tabs>
          <w:tab w:val="num" w:pos="3600"/>
        </w:tabs>
        <w:ind w:left="3600" w:hanging="360"/>
      </w:pPr>
      <w:rPr>
        <w:rFonts w:ascii="Times New Roman" w:hAnsi="Times New Roman" w:hint="default"/>
      </w:rPr>
    </w:lvl>
    <w:lvl w:ilvl="5" w:tplc="F264A0A4" w:tentative="1">
      <w:start w:val="1"/>
      <w:numFmt w:val="bullet"/>
      <w:lvlText w:val="-"/>
      <w:lvlJc w:val="left"/>
      <w:pPr>
        <w:tabs>
          <w:tab w:val="num" w:pos="4320"/>
        </w:tabs>
        <w:ind w:left="4320" w:hanging="360"/>
      </w:pPr>
      <w:rPr>
        <w:rFonts w:ascii="Times New Roman" w:hAnsi="Times New Roman" w:hint="default"/>
      </w:rPr>
    </w:lvl>
    <w:lvl w:ilvl="6" w:tplc="533EF202" w:tentative="1">
      <w:start w:val="1"/>
      <w:numFmt w:val="bullet"/>
      <w:lvlText w:val="-"/>
      <w:lvlJc w:val="left"/>
      <w:pPr>
        <w:tabs>
          <w:tab w:val="num" w:pos="5040"/>
        </w:tabs>
        <w:ind w:left="5040" w:hanging="360"/>
      </w:pPr>
      <w:rPr>
        <w:rFonts w:ascii="Times New Roman" w:hAnsi="Times New Roman" w:hint="default"/>
      </w:rPr>
    </w:lvl>
    <w:lvl w:ilvl="7" w:tplc="E3061024" w:tentative="1">
      <w:start w:val="1"/>
      <w:numFmt w:val="bullet"/>
      <w:lvlText w:val="-"/>
      <w:lvlJc w:val="left"/>
      <w:pPr>
        <w:tabs>
          <w:tab w:val="num" w:pos="5760"/>
        </w:tabs>
        <w:ind w:left="5760" w:hanging="360"/>
      </w:pPr>
      <w:rPr>
        <w:rFonts w:ascii="Times New Roman" w:hAnsi="Times New Roman" w:hint="default"/>
      </w:rPr>
    </w:lvl>
    <w:lvl w:ilvl="8" w:tplc="7C2636FA" w:tentative="1">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16"/>
  </w:num>
  <w:num w:numId="3">
    <w:abstractNumId w:val="8"/>
  </w:num>
  <w:num w:numId="4">
    <w:abstractNumId w:val="15"/>
  </w:num>
  <w:num w:numId="5">
    <w:abstractNumId w:val="6"/>
  </w:num>
  <w:num w:numId="6">
    <w:abstractNumId w:val="12"/>
  </w:num>
  <w:num w:numId="7">
    <w:abstractNumId w:val="1"/>
  </w:num>
  <w:num w:numId="8">
    <w:abstractNumId w:val="5"/>
  </w:num>
  <w:num w:numId="9">
    <w:abstractNumId w:val="14"/>
  </w:num>
  <w:num w:numId="10">
    <w:abstractNumId w:val="11"/>
  </w:num>
  <w:num w:numId="11">
    <w:abstractNumId w:val="9"/>
  </w:num>
  <w:num w:numId="12">
    <w:abstractNumId w:val="3"/>
  </w:num>
  <w:num w:numId="13">
    <w:abstractNumId w:val="10"/>
  </w:num>
  <w:num w:numId="14">
    <w:abstractNumId w:val="0"/>
  </w:num>
  <w:num w:numId="15">
    <w:abstractNumId w:val="13"/>
  </w:num>
  <w:num w:numId="16">
    <w:abstractNumId w:val="4"/>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3"/>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E36"/>
    <w:rsid w:val="0004498B"/>
    <w:rsid w:val="001A7E67"/>
    <w:rsid w:val="003148BE"/>
    <w:rsid w:val="003C1229"/>
    <w:rsid w:val="00486D7B"/>
    <w:rsid w:val="005227AF"/>
    <w:rsid w:val="00683E36"/>
    <w:rsid w:val="006A71F7"/>
    <w:rsid w:val="00895142"/>
    <w:rsid w:val="00CE642C"/>
    <w:rsid w:val="00EE225E"/>
    <w:rsid w:val="00EF3F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BE9CE"/>
  <w15:chartTrackingRefBased/>
  <w15:docId w15:val="{885D429F-DCB4-44A7-97CB-FD901FCEE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83E36"/>
    <w:pPr>
      <w:spacing w:after="160" w:line="259" w:lineRule="auto"/>
    </w:pPr>
  </w:style>
  <w:style w:type="paragraph" w:styleId="Titolo1">
    <w:name w:val="heading 1"/>
    <w:basedOn w:val="Normale"/>
    <w:link w:val="Titolo1Carattere"/>
    <w:uiPriority w:val="9"/>
    <w:qFormat/>
    <w:rsid w:val="00683E36"/>
    <w:pPr>
      <w:spacing w:beforeAutospacing="1" w:afterAutospacing="1" w:line="240" w:lineRule="auto"/>
      <w:outlineLvl w:val="0"/>
    </w:pPr>
    <w:rPr>
      <w:rFonts w:ascii="Times New Roman" w:eastAsia="Times New Roman" w:hAnsi="Times New Roman" w:cs="Times New Roman"/>
      <w:b/>
      <w:bCs/>
      <w:kern w:val="2"/>
      <w:sz w:val="48"/>
      <w:szCs w:val="48"/>
      <w:lang w:val="en-GB" w:eastAsia="en-GB"/>
    </w:rPr>
  </w:style>
  <w:style w:type="paragraph" w:styleId="Titolo2">
    <w:name w:val="heading 2"/>
    <w:basedOn w:val="Normale"/>
    <w:next w:val="Normale"/>
    <w:link w:val="Titolo2Carattere"/>
    <w:uiPriority w:val="9"/>
    <w:unhideWhenUsed/>
    <w:qFormat/>
    <w:rsid w:val="00683E3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uiPriority w:val="9"/>
    <w:unhideWhenUsed/>
    <w:qFormat/>
    <w:rsid w:val="00683E3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683E36"/>
    <w:rPr>
      <w:rFonts w:ascii="Times New Roman" w:eastAsia="Times New Roman" w:hAnsi="Times New Roman" w:cs="Times New Roman"/>
      <w:b/>
      <w:bCs/>
      <w:kern w:val="2"/>
      <w:sz w:val="48"/>
      <w:szCs w:val="48"/>
      <w:lang w:val="en-GB" w:eastAsia="en-GB"/>
    </w:rPr>
  </w:style>
  <w:style w:type="character" w:customStyle="1" w:styleId="Titolo2Carattere">
    <w:name w:val="Titolo 2 Carattere"/>
    <w:basedOn w:val="Carpredefinitoparagrafo"/>
    <w:link w:val="Titolo2"/>
    <w:uiPriority w:val="9"/>
    <w:qFormat/>
    <w:rsid w:val="00683E36"/>
    <w:rPr>
      <w:rFonts w:asciiTheme="majorHAnsi" w:eastAsiaTheme="majorEastAsia" w:hAnsiTheme="majorHAnsi" w:cstheme="majorBidi"/>
      <w:color w:val="365F91" w:themeColor="accent1" w:themeShade="BF"/>
      <w:sz w:val="26"/>
      <w:szCs w:val="26"/>
    </w:rPr>
  </w:style>
  <w:style w:type="character" w:customStyle="1" w:styleId="Titolo3Carattere">
    <w:name w:val="Titolo 3 Carattere"/>
    <w:basedOn w:val="Carpredefinitoparagrafo"/>
    <w:link w:val="Titolo3"/>
    <w:uiPriority w:val="9"/>
    <w:rsid w:val="00683E36"/>
    <w:rPr>
      <w:rFonts w:asciiTheme="majorHAnsi" w:eastAsiaTheme="majorEastAsia" w:hAnsiTheme="majorHAnsi" w:cstheme="majorBidi"/>
      <w:color w:val="243F60" w:themeColor="accent1" w:themeShade="7F"/>
      <w:sz w:val="24"/>
      <w:szCs w:val="24"/>
    </w:rPr>
  </w:style>
  <w:style w:type="character" w:customStyle="1" w:styleId="ref-title">
    <w:name w:val="ref-title"/>
    <w:basedOn w:val="Carpredefinitoparagrafo"/>
    <w:qFormat/>
    <w:rsid w:val="00683E36"/>
  </w:style>
  <w:style w:type="character" w:customStyle="1" w:styleId="ref-journal">
    <w:name w:val="ref-journal"/>
    <w:basedOn w:val="Carpredefinitoparagrafo"/>
    <w:qFormat/>
    <w:rsid w:val="00683E36"/>
  </w:style>
  <w:style w:type="character" w:customStyle="1" w:styleId="ref-vol">
    <w:name w:val="ref-vol"/>
    <w:basedOn w:val="Carpredefinitoparagrafo"/>
    <w:qFormat/>
    <w:rsid w:val="00683E36"/>
  </w:style>
  <w:style w:type="character" w:styleId="Rimandocommento">
    <w:name w:val="annotation reference"/>
    <w:basedOn w:val="Carpredefinitoparagrafo"/>
    <w:uiPriority w:val="99"/>
    <w:unhideWhenUsed/>
    <w:qFormat/>
    <w:rsid w:val="00683E36"/>
    <w:rPr>
      <w:sz w:val="16"/>
      <w:szCs w:val="16"/>
    </w:rPr>
  </w:style>
  <w:style w:type="character" w:customStyle="1" w:styleId="TestocommentoCarattere">
    <w:name w:val="Testo commento Carattere"/>
    <w:basedOn w:val="Carpredefinitoparagrafo"/>
    <w:link w:val="Testocommento"/>
    <w:uiPriority w:val="99"/>
    <w:qFormat/>
    <w:rsid w:val="00683E36"/>
    <w:rPr>
      <w:sz w:val="20"/>
      <w:szCs w:val="20"/>
    </w:rPr>
  </w:style>
  <w:style w:type="character" w:customStyle="1" w:styleId="SoggettocommentoCarattere">
    <w:name w:val="Soggetto commento Carattere"/>
    <w:basedOn w:val="TestocommentoCarattere"/>
    <w:link w:val="Soggettocommento"/>
    <w:uiPriority w:val="99"/>
    <w:semiHidden/>
    <w:qFormat/>
    <w:rsid w:val="00683E36"/>
    <w:rPr>
      <w:b/>
      <w:bCs/>
      <w:sz w:val="20"/>
      <w:szCs w:val="20"/>
    </w:rPr>
  </w:style>
  <w:style w:type="character" w:customStyle="1" w:styleId="TestofumettoCarattere">
    <w:name w:val="Testo fumetto Carattere"/>
    <w:basedOn w:val="Carpredefinitoparagrafo"/>
    <w:link w:val="Testofumetto"/>
    <w:uiPriority w:val="99"/>
    <w:semiHidden/>
    <w:qFormat/>
    <w:rsid w:val="00683E36"/>
    <w:rPr>
      <w:rFonts w:ascii="Segoe UI" w:hAnsi="Segoe UI" w:cs="Segoe UI"/>
      <w:sz w:val="18"/>
      <w:szCs w:val="18"/>
    </w:rPr>
  </w:style>
  <w:style w:type="character" w:customStyle="1" w:styleId="CollegamentoInternet">
    <w:name w:val="Collegamento Internet"/>
    <w:basedOn w:val="Carpredefinitoparagrafo"/>
    <w:uiPriority w:val="99"/>
    <w:unhideWhenUsed/>
    <w:rsid w:val="00683E36"/>
    <w:rPr>
      <w:color w:val="0000FF"/>
      <w:u w:val="single"/>
    </w:rPr>
  </w:style>
  <w:style w:type="character" w:customStyle="1" w:styleId="docsum-authors">
    <w:name w:val="docsum-authors"/>
    <w:basedOn w:val="Carpredefinitoparagrafo"/>
    <w:qFormat/>
    <w:rsid w:val="00683E36"/>
  </w:style>
  <w:style w:type="character" w:customStyle="1" w:styleId="docsum-journal-citation">
    <w:name w:val="docsum-journal-citation"/>
    <w:basedOn w:val="Carpredefinitoparagrafo"/>
    <w:qFormat/>
    <w:rsid w:val="00683E36"/>
  </w:style>
  <w:style w:type="character" w:customStyle="1" w:styleId="PreformattatoHTMLCarattere">
    <w:name w:val="Preformattato HTML Carattere"/>
    <w:basedOn w:val="Carpredefinitoparagrafo"/>
    <w:link w:val="PreformattatoHTML"/>
    <w:uiPriority w:val="99"/>
    <w:qFormat/>
    <w:rsid w:val="00683E36"/>
    <w:rPr>
      <w:rFonts w:ascii="Courier New" w:eastAsia="Times New Roman" w:hAnsi="Courier New" w:cs="Courier New"/>
      <w:sz w:val="20"/>
      <w:szCs w:val="20"/>
      <w:lang w:eastAsia="it-IT"/>
    </w:rPr>
  </w:style>
  <w:style w:type="character" w:customStyle="1" w:styleId="y2iqfc">
    <w:name w:val="y2iqfc"/>
    <w:basedOn w:val="Carpredefinitoparagrafo"/>
    <w:qFormat/>
    <w:rsid w:val="00683E36"/>
  </w:style>
  <w:style w:type="character" w:customStyle="1" w:styleId="doi">
    <w:name w:val="doi"/>
    <w:basedOn w:val="Carpredefinitoparagrafo"/>
    <w:qFormat/>
    <w:rsid w:val="00683E36"/>
  </w:style>
  <w:style w:type="character" w:customStyle="1" w:styleId="citation-publication-date">
    <w:name w:val="citation-publication-date"/>
    <w:basedOn w:val="Carpredefinitoparagrafo"/>
    <w:qFormat/>
    <w:rsid w:val="00683E36"/>
  </w:style>
  <w:style w:type="character" w:customStyle="1" w:styleId="period">
    <w:name w:val="period"/>
    <w:basedOn w:val="Carpredefinitoparagrafo"/>
    <w:qFormat/>
    <w:rsid w:val="00683E36"/>
  </w:style>
  <w:style w:type="character" w:customStyle="1" w:styleId="cit">
    <w:name w:val="cit"/>
    <w:basedOn w:val="Carpredefinitoparagrafo"/>
    <w:qFormat/>
    <w:rsid w:val="00683E36"/>
  </w:style>
  <w:style w:type="character" w:customStyle="1" w:styleId="citation-doi">
    <w:name w:val="citation-doi"/>
    <w:basedOn w:val="Carpredefinitoparagrafo"/>
    <w:qFormat/>
    <w:rsid w:val="00683E36"/>
  </w:style>
  <w:style w:type="character" w:customStyle="1" w:styleId="secondary-date">
    <w:name w:val="secondary-date"/>
    <w:basedOn w:val="Carpredefinitoparagrafo"/>
    <w:qFormat/>
    <w:rsid w:val="00683E36"/>
  </w:style>
  <w:style w:type="character" w:customStyle="1" w:styleId="citation-part">
    <w:name w:val="citation-part"/>
    <w:basedOn w:val="Carpredefinitoparagrafo"/>
    <w:qFormat/>
    <w:rsid w:val="00683E36"/>
  </w:style>
  <w:style w:type="character" w:customStyle="1" w:styleId="docsum-pmid">
    <w:name w:val="docsum-pmid"/>
    <w:basedOn w:val="Carpredefinitoparagrafo"/>
    <w:qFormat/>
    <w:rsid w:val="00683E36"/>
  </w:style>
  <w:style w:type="character" w:customStyle="1" w:styleId="underline">
    <w:name w:val="underline"/>
    <w:basedOn w:val="Carpredefinitoparagrafo"/>
    <w:qFormat/>
    <w:rsid w:val="00683E36"/>
  </w:style>
  <w:style w:type="character" w:customStyle="1" w:styleId="IntestazioneCarattere">
    <w:name w:val="Intestazione Carattere"/>
    <w:basedOn w:val="Carpredefinitoparagrafo"/>
    <w:link w:val="Intestazione"/>
    <w:uiPriority w:val="99"/>
    <w:qFormat/>
    <w:rsid w:val="00683E36"/>
  </w:style>
  <w:style w:type="character" w:customStyle="1" w:styleId="PidipaginaCarattere">
    <w:name w:val="Piè di pagina Carattere"/>
    <w:basedOn w:val="Carpredefinitoparagrafo"/>
    <w:link w:val="Pidipagina"/>
    <w:uiPriority w:val="99"/>
    <w:qFormat/>
    <w:rsid w:val="00683E36"/>
  </w:style>
  <w:style w:type="character" w:customStyle="1" w:styleId="TestonotadichiusuraCarattere">
    <w:name w:val="Testo nota di chiusura Carattere"/>
    <w:basedOn w:val="Carpredefinitoparagrafo"/>
    <w:link w:val="Testonotadichiusura"/>
    <w:uiPriority w:val="99"/>
    <w:semiHidden/>
    <w:qFormat/>
    <w:rsid w:val="00683E36"/>
    <w:rPr>
      <w:sz w:val="20"/>
      <w:szCs w:val="20"/>
    </w:rPr>
  </w:style>
  <w:style w:type="character" w:customStyle="1" w:styleId="Richiamoallanotadichiusura">
    <w:name w:val="Richiamo alla nota di chiusura"/>
    <w:rsid w:val="00683E36"/>
    <w:rPr>
      <w:vertAlign w:val="superscript"/>
    </w:rPr>
  </w:style>
  <w:style w:type="character" w:customStyle="1" w:styleId="EndnoteCharacters">
    <w:name w:val="Endnote Characters"/>
    <w:basedOn w:val="Carpredefinitoparagrafo"/>
    <w:uiPriority w:val="99"/>
    <w:semiHidden/>
    <w:unhideWhenUsed/>
    <w:qFormat/>
    <w:rsid w:val="00683E36"/>
    <w:rPr>
      <w:vertAlign w:val="superscript"/>
    </w:rPr>
  </w:style>
  <w:style w:type="character" w:customStyle="1" w:styleId="TestonotaapidipaginaCarattere">
    <w:name w:val="Testo nota a piè di pagina Carattere"/>
    <w:basedOn w:val="Carpredefinitoparagrafo"/>
    <w:link w:val="Testonotaapidipagina"/>
    <w:uiPriority w:val="99"/>
    <w:semiHidden/>
    <w:qFormat/>
    <w:rsid w:val="00683E36"/>
    <w:rPr>
      <w:sz w:val="20"/>
      <w:szCs w:val="20"/>
    </w:rPr>
  </w:style>
  <w:style w:type="character" w:customStyle="1" w:styleId="Richiamoallanotaapidipagina">
    <w:name w:val="Richiamo alla nota a piè di pagina"/>
    <w:rsid w:val="00683E36"/>
    <w:rPr>
      <w:vertAlign w:val="superscript"/>
    </w:rPr>
  </w:style>
  <w:style w:type="character" w:customStyle="1" w:styleId="FootnoteCharacters">
    <w:name w:val="Footnote Characters"/>
    <w:basedOn w:val="Carpredefinitoparagrafo"/>
    <w:uiPriority w:val="99"/>
    <w:semiHidden/>
    <w:unhideWhenUsed/>
    <w:qFormat/>
    <w:rsid w:val="00683E36"/>
    <w:rPr>
      <w:vertAlign w:val="superscript"/>
    </w:rPr>
  </w:style>
  <w:style w:type="character" w:customStyle="1" w:styleId="rynqvb">
    <w:name w:val="rynqvb"/>
    <w:basedOn w:val="Carpredefinitoparagrafo"/>
    <w:qFormat/>
    <w:rsid w:val="00683E36"/>
  </w:style>
  <w:style w:type="character" w:customStyle="1" w:styleId="TestonormaleCarattere">
    <w:name w:val="Testo normale Carattere"/>
    <w:basedOn w:val="Carpredefinitoparagrafo"/>
    <w:link w:val="Testonormale"/>
    <w:uiPriority w:val="99"/>
    <w:semiHidden/>
    <w:qFormat/>
    <w:rsid w:val="00683E36"/>
    <w:rPr>
      <w:rFonts w:ascii="Calibri" w:hAnsi="Calibri"/>
      <w:szCs w:val="21"/>
    </w:rPr>
  </w:style>
  <w:style w:type="character" w:customStyle="1" w:styleId="authors-list-item">
    <w:name w:val="authors-list-item"/>
    <w:basedOn w:val="Carpredefinitoparagrafo"/>
    <w:qFormat/>
    <w:rsid w:val="00683E36"/>
  </w:style>
  <w:style w:type="character" w:customStyle="1" w:styleId="author-sup-separator">
    <w:name w:val="author-sup-separator"/>
    <w:basedOn w:val="Carpredefinitoparagrafo"/>
    <w:qFormat/>
    <w:rsid w:val="00683E36"/>
  </w:style>
  <w:style w:type="character" w:customStyle="1" w:styleId="comma">
    <w:name w:val="comma"/>
    <w:basedOn w:val="Carpredefinitoparagrafo"/>
    <w:qFormat/>
    <w:rsid w:val="00683E36"/>
  </w:style>
  <w:style w:type="character" w:customStyle="1" w:styleId="ListLabel1">
    <w:name w:val="ListLabel 1"/>
    <w:qFormat/>
    <w:rsid w:val="00683E36"/>
    <w:rPr>
      <w:sz w:val="20"/>
    </w:rPr>
  </w:style>
  <w:style w:type="character" w:customStyle="1" w:styleId="ListLabel2">
    <w:name w:val="ListLabel 2"/>
    <w:qFormat/>
    <w:rsid w:val="00683E36"/>
    <w:rPr>
      <w:sz w:val="20"/>
    </w:rPr>
  </w:style>
  <w:style w:type="character" w:customStyle="1" w:styleId="ListLabel3">
    <w:name w:val="ListLabel 3"/>
    <w:qFormat/>
    <w:rsid w:val="00683E36"/>
    <w:rPr>
      <w:sz w:val="20"/>
    </w:rPr>
  </w:style>
  <w:style w:type="character" w:customStyle="1" w:styleId="ListLabel4">
    <w:name w:val="ListLabel 4"/>
    <w:qFormat/>
    <w:rsid w:val="00683E36"/>
    <w:rPr>
      <w:sz w:val="20"/>
    </w:rPr>
  </w:style>
  <w:style w:type="character" w:customStyle="1" w:styleId="ListLabel5">
    <w:name w:val="ListLabel 5"/>
    <w:qFormat/>
    <w:rsid w:val="00683E36"/>
    <w:rPr>
      <w:sz w:val="20"/>
    </w:rPr>
  </w:style>
  <w:style w:type="character" w:customStyle="1" w:styleId="ListLabel6">
    <w:name w:val="ListLabel 6"/>
    <w:qFormat/>
    <w:rsid w:val="00683E36"/>
    <w:rPr>
      <w:sz w:val="20"/>
    </w:rPr>
  </w:style>
  <w:style w:type="character" w:customStyle="1" w:styleId="ListLabel7">
    <w:name w:val="ListLabel 7"/>
    <w:qFormat/>
    <w:rsid w:val="00683E36"/>
    <w:rPr>
      <w:sz w:val="20"/>
    </w:rPr>
  </w:style>
  <w:style w:type="character" w:customStyle="1" w:styleId="ListLabel8">
    <w:name w:val="ListLabel 8"/>
    <w:qFormat/>
    <w:rsid w:val="00683E36"/>
    <w:rPr>
      <w:sz w:val="20"/>
    </w:rPr>
  </w:style>
  <w:style w:type="character" w:customStyle="1" w:styleId="ListLabel9">
    <w:name w:val="ListLabel 9"/>
    <w:qFormat/>
    <w:rsid w:val="00683E36"/>
    <w:rPr>
      <w:sz w:val="20"/>
    </w:rPr>
  </w:style>
  <w:style w:type="character" w:customStyle="1" w:styleId="ListLabel10">
    <w:name w:val="ListLabel 10"/>
    <w:qFormat/>
    <w:rsid w:val="00683E36"/>
    <w:rPr>
      <w:rFonts w:ascii="Arial" w:hAnsi="Arial" w:cs="Arial"/>
      <w:color w:val="auto"/>
      <w:sz w:val="24"/>
      <w:szCs w:val="24"/>
      <w:u w:val="none"/>
      <w:shd w:val="clear" w:color="auto" w:fill="FFFFFF"/>
      <w:lang w:val="en-US"/>
    </w:rPr>
  </w:style>
  <w:style w:type="character" w:customStyle="1" w:styleId="ListLabel11">
    <w:name w:val="ListLabel 11"/>
    <w:qFormat/>
    <w:rsid w:val="00683E36"/>
    <w:rPr>
      <w:rFonts w:ascii="Arial" w:hAnsi="Arial" w:cs="Arial"/>
      <w:bCs/>
      <w:color w:val="auto"/>
      <w:sz w:val="24"/>
      <w:szCs w:val="24"/>
      <w:u w:val="none"/>
      <w:shd w:val="clear" w:color="auto" w:fill="FFFFFF"/>
      <w:lang w:val="en-US"/>
    </w:rPr>
  </w:style>
  <w:style w:type="character" w:customStyle="1" w:styleId="ListLabel12">
    <w:name w:val="ListLabel 12"/>
    <w:qFormat/>
    <w:rsid w:val="00683E36"/>
    <w:rPr>
      <w:rFonts w:ascii="Arial" w:eastAsia="Times New Roman" w:hAnsi="Arial" w:cs="Arial"/>
      <w:sz w:val="24"/>
      <w:szCs w:val="24"/>
      <w:shd w:val="clear" w:color="auto" w:fill="FFFFFF"/>
      <w:lang w:val="en-US" w:eastAsia="it-IT"/>
    </w:rPr>
  </w:style>
  <w:style w:type="character" w:customStyle="1" w:styleId="ListLabel13">
    <w:name w:val="ListLabel 13"/>
    <w:qFormat/>
    <w:rsid w:val="00683E36"/>
    <w:rPr>
      <w:rFonts w:ascii="Arial" w:hAnsi="Arial" w:cs="Arial"/>
      <w:b w:val="0"/>
      <w:color w:val="auto"/>
      <w:sz w:val="24"/>
      <w:szCs w:val="24"/>
      <w:u w:val="none"/>
      <w:lang w:val="en-US"/>
    </w:rPr>
  </w:style>
  <w:style w:type="character" w:customStyle="1" w:styleId="Caratterinotadichiusura">
    <w:name w:val="Caratteri nota di chiusura"/>
    <w:qFormat/>
    <w:rsid w:val="00683E36"/>
  </w:style>
  <w:style w:type="paragraph" w:styleId="Titolo">
    <w:name w:val="Title"/>
    <w:basedOn w:val="Normale"/>
    <w:next w:val="Corpotesto"/>
    <w:link w:val="TitoloCarattere"/>
    <w:qFormat/>
    <w:rsid w:val="00683E36"/>
    <w:pPr>
      <w:keepNext/>
      <w:spacing w:before="240" w:after="120"/>
    </w:pPr>
    <w:rPr>
      <w:rFonts w:ascii="Liberation Sans" w:eastAsia="Microsoft YaHei" w:hAnsi="Liberation Sans" w:cs="Lucida Sans"/>
      <w:sz w:val="28"/>
      <w:szCs w:val="28"/>
    </w:rPr>
  </w:style>
  <w:style w:type="character" w:customStyle="1" w:styleId="TitoloCarattere">
    <w:name w:val="Titolo Carattere"/>
    <w:basedOn w:val="Carpredefinitoparagrafo"/>
    <w:link w:val="Titolo"/>
    <w:rsid w:val="00683E36"/>
    <w:rPr>
      <w:rFonts w:ascii="Liberation Sans" w:eastAsia="Microsoft YaHei" w:hAnsi="Liberation Sans" w:cs="Lucida Sans"/>
      <w:sz w:val="28"/>
      <w:szCs w:val="28"/>
    </w:rPr>
  </w:style>
  <w:style w:type="paragraph" w:styleId="Corpotesto">
    <w:name w:val="Body Text"/>
    <w:basedOn w:val="Normale"/>
    <w:link w:val="CorpotestoCarattere"/>
    <w:rsid w:val="00683E36"/>
    <w:pPr>
      <w:spacing w:after="140" w:line="276" w:lineRule="auto"/>
    </w:pPr>
  </w:style>
  <w:style w:type="character" w:customStyle="1" w:styleId="CorpotestoCarattere">
    <w:name w:val="Corpo testo Carattere"/>
    <w:basedOn w:val="Carpredefinitoparagrafo"/>
    <w:link w:val="Corpotesto"/>
    <w:rsid w:val="00683E36"/>
  </w:style>
  <w:style w:type="paragraph" w:styleId="Elenco">
    <w:name w:val="List"/>
    <w:basedOn w:val="Corpotesto"/>
    <w:rsid w:val="00683E36"/>
    <w:rPr>
      <w:rFonts w:cs="Lucida Sans"/>
    </w:rPr>
  </w:style>
  <w:style w:type="paragraph" w:styleId="Didascalia">
    <w:name w:val="caption"/>
    <w:basedOn w:val="Normale"/>
    <w:qFormat/>
    <w:rsid w:val="00683E36"/>
    <w:pPr>
      <w:suppressLineNumbers/>
      <w:spacing w:before="120" w:after="120"/>
    </w:pPr>
    <w:rPr>
      <w:rFonts w:cs="Lucida Sans"/>
      <w:i/>
      <w:iCs/>
      <w:sz w:val="24"/>
      <w:szCs w:val="24"/>
    </w:rPr>
  </w:style>
  <w:style w:type="paragraph" w:customStyle="1" w:styleId="Indice">
    <w:name w:val="Indice"/>
    <w:basedOn w:val="Normale"/>
    <w:qFormat/>
    <w:rsid w:val="00683E36"/>
    <w:pPr>
      <w:suppressLineNumbers/>
    </w:pPr>
    <w:rPr>
      <w:rFonts w:cs="Lucida Sans"/>
    </w:rPr>
  </w:style>
  <w:style w:type="paragraph" w:styleId="Testocommento">
    <w:name w:val="annotation text"/>
    <w:basedOn w:val="Normale"/>
    <w:link w:val="TestocommentoCarattere"/>
    <w:uiPriority w:val="99"/>
    <w:unhideWhenUsed/>
    <w:qFormat/>
    <w:rsid w:val="00683E36"/>
    <w:pPr>
      <w:spacing w:line="240" w:lineRule="auto"/>
    </w:pPr>
    <w:rPr>
      <w:sz w:val="20"/>
      <w:szCs w:val="20"/>
    </w:rPr>
  </w:style>
  <w:style w:type="character" w:customStyle="1" w:styleId="TestocommentoCarattere1">
    <w:name w:val="Testo commento Carattere1"/>
    <w:basedOn w:val="Carpredefinitoparagrafo"/>
    <w:uiPriority w:val="99"/>
    <w:semiHidden/>
    <w:rsid w:val="00683E36"/>
    <w:rPr>
      <w:sz w:val="20"/>
      <w:szCs w:val="20"/>
    </w:rPr>
  </w:style>
  <w:style w:type="paragraph" w:styleId="Soggettocommento">
    <w:name w:val="annotation subject"/>
    <w:basedOn w:val="Testocommento"/>
    <w:next w:val="Testocommento"/>
    <w:link w:val="SoggettocommentoCarattere"/>
    <w:uiPriority w:val="99"/>
    <w:semiHidden/>
    <w:unhideWhenUsed/>
    <w:qFormat/>
    <w:rsid w:val="00683E36"/>
    <w:rPr>
      <w:b/>
      <w:bCs/>
    </w:rPr>
  </w:style>
  <w:style w:type="character" w:customStyle="1" w:styleId="SoggettocommentoCarattere1">
    <w:name w:val="Soggetto commento Carattere1"/>
    <w:basedOn w:val="TestocommentoCarattere1"/>
    <w:uiPriority w:val="99"/>
    <w:semiHidden/>
    <w:rsid w:val="00683E36"/>
    <w:rPr>
      <w:b/>
      <w:bCs/>
      <w:sz w:val="20"/>
      <w:szCs w:val="20"/>
    </w:rPr>
  </w:style>
  <w:style w:type="paragraph" w:styleId="Testofumetto">
    <w:name w:val="Balloon Text"/>
    <w:basedOn w:val="Normale"/>
    <w:link w:val="TestofumettoCarattere"/>
    <w:uiPriority w:val="99"/>
    <w:semiHidden/>
    <w:unhideWhenUsed/>
    <w:qFormat/>
    <w:rsid w:val="00683E36"/>
    <w:pPr>
      <w:spacing w:after="0" w:line="240" w:lineRule="auto"/>
    </w:pPr>
    <w:rPr>
      <w:rFonts w:ascii="Segoe UI" w:hAnsi="Segoe UI" w:cs="Segoe UI"/>
      <w:sz w:val="18"/>
      <w:szCs w:val="18"/>
    </w:rPr>
  </w:style>
  <w:style w:type="character" w:customStyle="1" w:styleId="TestofumettoCarattere1">
    <w:name w:val="Testo fumetto Carattere1"/>
    <w:basedOn w:val="Carpredefinitoparagrafo"/>
    <w:uiPriority w:val="99"/>
    <w:semiHidden/>
    <w:rsid w:val="00683E36"/>
    <w:rPr>
      <w:rFonts w:ascii="Segoe UI" w:hAnsi="Segoe UI" w:cs="Segoe UI"/>
      <w:sz w:val="18"/>
      <w:szCs w:val="18"/>
    </w:rPr>
  </w:style>
  <w:style w:type="paragraph" w:styleId="PreformattatoHTML">
    <w:name w:val="HTML Preformatted"/>
    <w:basedOn w:val="Normale"/>
    <w:link w:val="PreformattatoHTMLCarattere"/>
    <w:uiPriority w:val="99"/>
    <w:unhideWhenUsed/>
    <w:qFormat/>
    <w:rsid w:val="00683E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1">
    <w:name w:val="Preformattato HTML Carattere1"/>
    <w:basedOn w:val="Carpredefinitoparagrafo"/>
    <w:uiPriority w:val="99"/>
    <w:semiHidden/>
    <w:rsid w:val="00683E36"/>
    <w:rPr>
      <w:rFonts w:ascii="Consolas" w:hAnsi="Consolas"/>
      <w:sz w:val="20"/>
      <w:szCs w:val="20"/>
    </w:rPr>
  </w:style>
  <w:style w:type="paragraph" w:styleId="Revisione">
    <w:name w:val="Revision"/>
    <w:uiPriority w:val="99"/>
    <w:semiHidden/>
    <w:qFormat/>
    <w:rsid w:val="00683E36"/>
    <w:pPr>
      <w:spacing w:after="0" w:line="240" w:lineRule="auto"/>
    </w:pPr>
  </w:style>
  <w:style w:type="paragraph" w:customStyle="1" w:styleId="Default">
    <w:name w:val="Default"/>
    <w:qFormat/>
    <w:rsid w:val="00683E36"/>
    <w:pPr>
      <w:spacing w:after="0" w:line="240" w:lineRule="auto"/>
    </w:pPr>
    <w:rPr>
      <w:rFonts w:ascii="NOAAL E+ Adv O T 1ef 757c 0" w:eastAsia="Calibri" w:hAnsi="NOAAL E+ Adv O T 1ef 757c 0" w:cs="NOAAL E+ Adv O T 1ef 757c 0"/>
      <w:color w:val="000000"/>
      <w:sz w:val="24"/>
      <w:szCs w:val="24"/>
    </w:rPr>
  </w:style>
  <w:style w:type="paragraph" w:customStyle="1" w:styleId="xmsonormal">
    <w:name w:val="x_msonormal"/>
    <w:basedOn w:val="Normale"/>
    <w:qFormat/>
    <w:rsid w:val="00683E36"/>
    <w:pPr>
      <w:spacing w:beforeAutospacing="1" w:afterAutospacing="1" w:line="240" w:lineRule="auto"/>
    </w:pPr>
    <w:rPr>
      <w:rFonts w:ascii="Times New Roman" w:eastAsia="Times New Roman" w:hAnsi="Times New Roman" w:cs="Times New Roman"/>
      <w:sz w:val="24"/>
      <w:szCs w:val="24"/>
      <w:lang w:eastAsia="it-IT"/>
    </w:rPr>
  </w:style>
  <w:style w:type="paragraph" w:styleId="NormaleWeb">
    <w:name w:val="Normal (Web)"/>
    <w:basedOn w:val="Normale"/>
    <w:uiPriority w:val="99"/>
    <w:unhideWhenUsed/>
    <w:qFormat/>
    <w:rsid w:val="00683E36"/>
    <w:pPr>
      <w:spacing w:beforeAutospacing="1"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683E36"/>
    <w:pPr>
      <w:spacing w:line="252" w:lineRule="auto"/>
      <w:ind w:left="720"/>
      <w:contextualSpacing/>
    </w:pPr>
    <w:rPr>
      <w:kern w:val="2"/>
    </w:rPr>
  </w:style>
  <w:style w:type="paragraph" w:customStyle="1" w:styleId="p">
    <w:name w:val="p"/>
    <w:basedOn w:val="Normale"/>
    <w:qFormat/>
    <w:rsid w:val="00683E36"/>
    <w:pPr>
      <w:spacing w:beforeAutospacing="1"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683E36"/>
    <w:pPr>
      <w:tabs>
        <w:tab w:val="center" w:pos="4819"/>
        <w:tab w:val="right" w:pos="9638"/>
      </w:tabs>
      <w:spacing w:after="0" w:line="240" w:lineRule="auto"/>
    </w:pPr>
  </w:style>
  <w:style w:type="character" w:customStyle="1" w:styleId="IntestazioneCarattere1">
    <w:name w:val="Intestazione Carattere1"/>
    <w:basedOn w:val="Carpredefinitoparagrafo"/>
    <w:uiPriority w:val="99"/>
    <w:semiHidden/>
    <w:rsid w:val="00683E36"/>
  </w:style>
  <w:style w:type="paragraph" w:styleId="Pidipagina">
    <w:name w:val="footer"/>
    <w:basedOn w:val="Normale"/>
    <w:link w:val="PidipaginaCarattere"/>
    <w:uiPriority w:val="99"/>
    <w:unhideWhenUsed/>
    <w:rsid w:val="00683E36"/>
    <w:pPr>
      <w:tabs>
        <w:tab w:val="center" w:pos="4819"/>
        <w:tab w:val="right" w:pos="9638"/>
      </w:tabs>
      <w:spacing w:after="0" w:line="240" w:lineRule="auto"/>
    </w:pPr>
  </w:style>
  <w:style w:type="character" w:customStyle="1" w:styleId="PidipaginaCarattere1">
    <w:name w:val="Piè di pagina Carattere1"/>
    <w:basedOn w:val="Carpredefinitoparagrafo"/>
    <w:uiPriority w:val="99"/>
    <w:semiHidden/>
    <w:rsid w:val="00683E36"/>
  </w:style>
  <w:style w:type="paragraph" w:styleId="Testonotadichiusura">
    <w:name w:val="endnote text"/>
    <w:basedOn w:val="Normale"/>
    <w:link w:val="TestonotadichiusuraCarattere"/>
    <w:uiPriority w:val="99"/>
    <w:semiHidden/>
    <w:unhideWhenUsed/>
    <w:rsid w:val="00683E36"/>
    <w:pPr>
      <w:spacing w:after="0" w:line="240" w:lineRule="auto"/>
    </w:pPr>
    <w:rPr>
      <w:sz w:val="20"/>
      <w:szCs w:val="20"/>
    </w:rPr>
  </w:style>
  <w:style w:type="character" w:customStyle="1" w:styleId="TestonotadichiusuraCarattere1">
    <w:name w:val="Testo nota di chiusura Carattere1"/>
    <w:basedOn w:val="Carpredefinitoparagrafo"/>
    <w:uiPriority w:val="99"/>
    <w:semiHidden/>
    <w:rsid w:val="00683E36"/>
    <w:rPr>
      <w:sz w:val="20"/>
      <w:szCs w:val="20"/>
    </w:rPr>
  </w:style>
  <w:style w:type="paragraph" w:styleId="Testonotaapidipagina">
    <w:name w:val="footnote text"/>
    <w:basedOn w:val="Normale"/>
    <w:link w:val="TestonotaapidipaginaCarattere"/>
    <w:uiPriority w:val="99"/>
    <w:semiHidden/>
    <w:unhideWhenUsed/>
    <w:rsid w:val="00683E36"/>
    <w:pPr>
      <w:spacing w:after="0" w:line="240" w:lineRule="auto"/>
    </w:pPr>
    <w:rPr>
      <w:sz w:val="20"/>
      <w:szCs w:val="20"/>
    </w:rPr>
  </w:style>
  <w:style w:type="character" w:customStyle="1" w:styleId="TestonotaapidipaginaCarattere1">
    <w:name w:val="Testo nota a piè di pagina Carattere1"/>
    <w:basedOn w:val="Carpredefinitoparagrafo"/>
    <w:uiPriority w:val="99"/>
    <w:semiHidden/>
    <w:rsid w:val="00683E36"/>
    <w:rPr>
      <w:sz w:val="20"/>
      <w:szCs w:val="20"/>
    </w:rPr>
  </w:style>
  <w:style w:type="paragraph" w:styleId="Testonormale">
    <w:name w:val="Plain Text"/>
    <w:basedOn w:val="Normale"/>
    <w:link w:val="TestonormaleCarattere"/>
    <w:uiPriority w:val="99"/>
    <w:semiHidden/>
    <w:unhideWhenUsed/>
    <w:qFormat/>
    <w:rsid w:val="00683E36"/>
    <w:pPr>
      <w:spacing w:after="0" w:line="240" w:lineRule="auto"/>
    </w:pPr>
    <w:rPr>
      <w:rFonts w:ascii="Calibri" w:hAnsi="Calibri"/>
      <w:szCs w:val="21"/>
    </w:rPr>
  </w:style>
  <w:style w:type="character" w:customStyle="1" w:styleId="TestonormaleCarattere1">
    <w:name w:val="Testo normale Carattere1"/>
    <w:basedOn w:val="Carpredefinitoparagrafo"/>
    <w:uiPriority w:val="99"/>
    <w:semiHidden/>
    <w:rsid w:val="00683E36"/>
    <w:rPr>
      <w:rFonts w:ascii="Consolas" w:hAnsi="Consolas"/>
      <w:sz w:val="21"/>
      <w:szCs w:val="21"/>
    </w:rPr>
  </w:style>
  <w:style w:type="table" w:styleId="Grigliatabella">
    <w:name w:val="Table Grid"/>
    <w:basedOn w:val="Tabellanormale"/>
    <w:uiPriority w:val="39"/>
    <w:rsid w:val="00683E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semplice41">
    <w:name w:val="Tabella semplice 41"/>
    <w:basedOn w:val="Tabellanormale"/>
    <w:uiPriority w:val="44"/>
    <w:rsid w:val="00683E3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xmsonormal">
    <w:name w:val="x_x_msonormal"/>
    <w:basedOn w:val="Normale"/>
    <w:uiPriority w:val="99"/>
    <w:rsid w:val="00683E36"/>
    <w:pPr>
      <w:spacing w:after="0" w:line="240" w:lineRule="auto"/>
    </w:pPr>
    <w:rPr>
      <w:rFonts w:ascii="Times New Roman" w:hAnsi="Times New Roman" w:cs="Times New Roman"/>
      <w:sz w:val="24"/>
      <w:szCs w:val="24"/>
      <w:lang w:eastAsia="it-IT"/>
    </w:rPr>
  </w:style>
  <w:style w:type="character" w:styleId="Collegamentoipertestuale">
    <w:name w:val="Hyperlink"/>
    <w:basedOn w:val="Carpredefinitoparagrafo"/>
    <w:uiPriority w:val="99"/>
    <w:unhideWhenUsed/>
    <w:rsid w:val="00683E36"/>
    <w:rPr>
      <w:color w:val="0000FF" w:themeColor="hyperlink"/>
      <w:u w:val="single"/>
    </w:rPr>
  </w:style>
  <w:style w:type="character" w:customStyle="1" w:styleId="mvqa2c">
    <w:name w:val="mvqa2c"/>
    <w:basedOn w:val="Carpredefinitoparagrafo"/>
    <w:rsid w:val="00683E36"/>
  </w:style>
  <w:style w:type="character" w:customStyle="1" w:styleId="ztplmc">
    <w:name w:val="ztplmc"/>
    <w:basedOn w:val="Carpredefinitoparagrafo"/>
    <w:rsid w:val="00683E36"/>
  </w:style>
  <w:style w:type="character" w:customStyle="1" w:styleId="hwtze">
    <w:name w:val="hwtze"/>
    <w:basedOn w:val="Carpredefinitoparagrafo"/>
    <w:rsid w:val="00683E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ettings" Target="settings.xml"/><Relationship Id="rId21" Type="http://schemas.openxmlformats.org/officeDocument/2006/relationships/image" Target="media/image13.emf"/><Relationship Id="rId7" Type="http://schemas.openxmlformats.org/officeDocument/2006/relationships/image" Target="media/image1.png"/><Relationship Id="rId12" Type="http://schemas.openxmlformats.org/officeDocument/2006/relationships/hyperlink" Target="http://www.isg-area-riservata.org/dh/" TargetMode="External"/><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6.emf"/><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10" Type="http://schemas.openxmlformats.org/officeDocument/2006/relationships/image" Target="media/image3.emf"/><Relationship Id="rId19" Type="http://schemas.openxmlformats.org/officeDocument/2006/relationships/image" Target="media/image11.emf"/><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8" Type="http://schemas.openxmlformats.org/officeDocument/2006/relationships/hyperlink" Target="mailto:roberto.luksch@istitutotumori.m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80</Pages>
  <Words>18329</Words>
  <Characters>104481</Characters>
  <Application>Microsoft Office Word</Application>
  <DocSecurity>0</DocSecurity>
  <Lines>870</Lines>
  <Paragraphs>245</Paragraphs>
  <ScaleCrop>false</ScaleCrop>
  <Company>HP Inc.</Company>
  <LinksUpToDate>false</LinksUpToDate>
  <CharactersWithSpaces>122565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Barretta Francesco</dc:creator>
  <cp:keywords/>
  <dc:description/>
  <cp:lastModifiedBy>Barretta Francesco</cp:lastModifiedBy>
  <cp:revision>2</cp:revision>
  <dcterms:created xsi:type="dcterms:W3CDTF">2024-09-10T08:25:00Z</dcterms:created>
  <dcterms:modified xsi:type="dcterms:W3CDTF">2024-10-03T13:10:00Z</dcterms:modified>
</cp:coreProperties>
</file>