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webextensions/taskpanes.xml" ContentType="application/vnd.ms-office.webextensiontaskpanes+xml"/>
  <Override PartName="/word/webextensions/webextension1.xml" ContentType="application/vnd.ms-office.webextension+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11/relationships/webextensiontaskpanes" Target="word/webextensions/taskpanes.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FCEC7F" w14:textId="4B94A1E6" w:rsidR="002833A4" w:rsidRDefault="002833A4" w:rsidP="001C2CA5">
      <w:pPr>
        <w:pStyle w:val="MDPI31text"/>
        <w:spacing w:line="480" w:lineRule="auto"/>
        <w:ind w:left="0" w:firstLine="0"/>
        <w:rPr>
          <w:rFonts w:ascii="Arial" w:hAnsi="Arial" w:cs="Arial"/>
          <w:b/>
          <w:bCs/>
          <w:sz w:val="24"/>
          <w:szCs w:val="24"/>
        </w:rPr>
      </w:pPr>
      <w:r>
        <w:rPr>
          <w:rFonts w:ascii="Arial" w:hAnsi="Arial" w:cs="Arial"/>
          <w:b/>
          <w:bCs/>
          <w:sz w:val="24"/>
          <w:szCs w:val="24"/>
        </w:rPr>
        <w:t>APPENDIX S1</w:t>
      </w:r>
      <w:bookmarkStart w:id="0" w:name="_GoBack"/>
      <w:bookmarkEnd w:id="0"/>
    </w:p>
    <w:p w14:paraId="466FBD9D" w14:textId="17298DB5" w:rsidR="006B2C85" w:rsidRPr="00ED1C46" w:rsidRDefault="006B2C85" w:rsidP="001C2CA5">
      <w:pPr>
        <w:pStyle w:val="MDPI31text"/>
        <w:spacing w:line="480" w:lineRule="auto"/>
        <w:ind w:left="0" w:firstLine="0"/>
        <w:rPr>
          <w:rFonts w:ascii="Arial" w:hAnsi="Arial" w:cs="Arial"/>
          <w:b/>
          <w:bCs/>
          <w:sz w:val="24"/>
          <w:szCs w:val="24"/>
        </w:rPr>
      </w:pPr>
      <w:r w:rsidRPr="00ED1C46">
        <w:rPr>
          <w:rFonts w:ascii="Arial" w:hAnsi="Arial" w:cs="Arial"/>
          <w:b/>
          <w:bCs/>
          <w:sz w:val="24"/>
          <w:szCs w:val="24"/>
        </w:rPr>
        <w:t>SUPPLEMENTARY MATERIAL</w:t>
      </w:r>
    </w:p>
    <w:p w14:paraId="68C84B81" w14:textId="443B6405" w:rsidR="006B2C85" w:rsidRPr="00ED1C46" w:rsidRDefault="006B2C85" w:rsidP="001C2CA5">
      <w:pPr>
        <w:pStyle w:val="MDPI31text"/>
        <w:spacing w:line="480" w:lineRule="auto"/>
        <w:ind w:left="0" w:firstLine="0"/>
        <w:rPr>
          <w:rFonts w:ascii="Arial" w:hAnsi="Arial" w:cs="Arial"/>
          <w:b/>
          <w:bCs/>
          <w:sz w:val="24"/>
          <w:szCs w:val="24"/>
        </w:rPr>
      </w:pPr>
      <w:r w:rsidRPr="00ED1C46">
        <w:rPr>
          <w:rFonts w:ascii="Arial" w:hAnsi="Arial" w:cs="Arial"/>
          <w:b/>
          <w:bCs/>
          <w:sz w:val="24"/>
          <w:szCs w:val="24"/>
        </w:rPr>
        <w:t>Supplementary methods</w:t>
      </w:r>
    </w:p>
    <w:p w14:paraId="35D8FE9B" w14:textId="552BD368" w:rsidR="001C2CA5" w:rsidRPr="00ED1C46" w:rsidRDefault="006B2C85" w:rsidP="001C2CA5">
      <w:pPr>
        <w:pStyle w:val="MDPI31text"/>
        <w:spacing w:line="480" w:lineRule="auto"/>
        <w:ind w:left="0" w:firstLine="0"/>
        <w:rPr>
          <w:rFonts w:ascii="Arial" w:hAnsi="Arial" w:cs="Arial"/>
          <w:sz w:val="24"/>
          <w:szCs w:val="24"/>
        </w:rPr>
      </w:pPr>
      <w:r w:rsidRPr="00ED1C46">
        <w:rPr>
          <w:rFonts w:ascii="Arial" w:hAnsi="Arial" w:cs="Arial"/>
          <w:sz w:val="24"/>
          <w:szCs w:val="24"/>
        </w:rPr>
        <w:t xml:space="preserve">We </w:t>
      </w:r>
      <w:r w:rsidR="004E21ED">
        <w:rPr>
          <w:rFonts w:ascii="Arial" w:hAnsi="Arial" w:cs="Arial"/>
          <w:sz w:val="24"/>
          <w:szCs w:val="24"/>
        </w:rPr>
        <w:t>assessed</w:t>
      </w:r>
      <w:r w:rsidR="004E21ED" w:rsidRPr="00ED1C46">
        <w:rPr>
          <w:rFonts w:ascii="Arial" w:hAnsi="Arial" w:cs="Arial"/>
          <w:sz w:val="24"/>
          <w:szCs w:val="24"/>
        </w:rPr>
        <w:t xml:space="preserve"> </w:t>
      </w:r>
      <w:r w:rsidRPr="00ED1C46">
        <w:rPr>
          <w:rFonts w:ascii="Arial" w:hAnsi="Arial" w:cs="Arial"/>
          <w:sz w:val="24"/>
          <w:szCs w:val="24"/>
        </w:rPr>
        <w:t>the d</w:t>
      </w:r>
      <w:r w:rsidR="000233DB" w:rsidRPr="00ED1C46">
        <w:rPr>
          <w:rFonts w:ascii="Arial" w:hAnsi="Arial" w:cs="Arial"/>
          <w:sz w:val="24"/>
          <w:szCs w:val="24"/>
        </w:rPr>
        <w:t xml:space="preserve">iagnostic performance </w:t>
      </w:r>
      <w:r w:rsidR="004E21ED">
        <w:rPr>
          <w:rFonts w:ascii="Arial" w:hAnsi="Arial" w:cs="Arial"/>
          <w:sz w:val="24"/>
          <w:szCs w:val="24"/>
        </w:rPr>
        <w:t>for</w:t>
      </w:r>
      <w:r w:rsidR="000233DB" w:rsidRPr="00ED1C46">
        <w:rPr>
          <w:rFonts w:ascii="Arial" w:hAnsi="Arial" w:cs="Arial"/>
          <w:sz w:val="24"/>
          <w:szCs w:val="24"/>
        </w:rPr>
        <w:t xml:space="preserve"> </w:t>
      </w:r>
      <w:r w:rsidR="004E21ED" w:rsidRPr="00ED1C46">
        <w:rPr>
          <w:rFonts w:ascii="Arial" w:hAnsi="Arial" w:cs="Arial"/>
          <w:sz w:val="24"/>
          <w:szCs w:val="24"/>
        </w:rPr>
        <w:t xml:space="preserve">acute kidney injury </w:t>
      </w:r>
      <w:r w:rsidR="004E21ED">
        <w:rPr>
          <w:rFonts w:ascii="Arial" w:hAnsi="Arial" w:cs="Arial"/>
          <w:sz w:val="24"/>
          <w:szCs w:val="24"/>
        </w:rPr>
        <w:t>(</w:t>
      </w:r>
      <w:r w:rsidR="000233DB" w:rsidRPr="00ED1C46">
        <w:rPr>
          <w:rFonts w:ascii="Arial" w:hAnsi="Arial" w:cs="Arial"/>
          <w:sz w:val="24"/>
          <w:szCs w:val="24"/>
        </w:rPr>
        <w:t>AKI</w:t>
      </w:r>
      <w:r w:rsidR="004E21ED">
        <w:rPr>
          <w:rFonts w:ascii="Arial" w:hAnsi="Arial" w:cs="Arial"/>
          <w:sz w:val="24"/>
          <w:szCs w:val="24"/>
        </w:rPr>
        <w:t>)</w:t>
      </w:r>
      <w:r w:rsidR="000233DB" w:rsidRPr="00ED1C46">
        <w:rPr>
          <w:rFonts w:ascii="Arial" w:hAnsi="Arial" w:cs="Arial"/>
          <w:sz w:val="24"/>
          <w:szCs w:val="24"/>
        </w:rPr>
        <w:t xml:space="preserve"> diagnosis of </w:t>
      </w:r>
      <w:r w:rsidR="004C7D77" w:rsidRPr="00ED1C46">
        <w:rPr>
          <w:rFonts w:ascii="Arial" w:hAnsi="Arial" w:cs="Arial"/>
          <w:sz w:val="24"/>
          <w:szCs w:val="24"/>
        </w:rPr>
        <w:t>estimated basal serum creatinine</w:t>
      </w:r>
      <w:r w:rsidR="004E21ED">
        <w:rPr>
          <w:rFonts w:ascii="Arial" w:hAnsi="Arial" w:cs="Arial"/>
          <w:sz w:val="24"/>
          <w:szCs w:val="24"/>
        </w:rPr>
        <w:t xml:space="preserve"> </w:t>
      </w:r>
      <w:r w:rsidR="004E21ED" w:rsidRPr="00ED1C46">
        <w:rPr>
          <w:rFonts w:ascii="Arial" w:hAnsi="Arial" w:cs="Arial"/>
          <w:sz w:val="24"/>
          <w:szCs w:val="24"/>
        </w:rPr>
        <w:t>(ebSCr)</w:t>
      </w:r>
      <w:r w:rsidR="004E21ED">
        <w:rPr>
          <w:rFonts w:ascii="Arial" w:hAnsi="Arial" w:cs="Arial"/>
          <w:sz w:val="24"/>
          <w:szCs w:val="24"/>
        </w:rPr>
        <w:t>, calculated using the Hoste equation,</w:t>
      </w:r>
      <w:r w:rsidR="004C7D77" w:rsidRPr="00ED1C46">
        <w:rPr>
          <w:rFonts w:ascii="Arial" w:hAnsi="Arial" w:cs="Arial"/>
          <w:sz w:val="24"/>
          <w:szCs w:val="24"/>
        </w:rPr>
        <w:t xml:space="preserve"> </w:t>
      </w:r>
      <w:r w:rsidR="004E21ED">
        <w:rPr>
          <w:rFonts w:ascii="Arial" w:hAnsi="Arial" w:cs="Arial"/>
          <w:sz w:val="24"/>
          <w:szCs w:val="24"/>
        </w:rPr>
        <w:t xml:space="preserve">in comparison to </w:t>
      </w:r>
      <w:r w:rsidR="000233DB" w:rsidRPr="00ED1C46">
        <w:rPr>
          <w:rFonts w:ascii="Arial" w:hAnsi="Arial" w:cs="Arial"/>
          <w:sz w:val="24"/>
          <w:szCs w:val="24"/>
        </w:rPr>
        <w:t>measured basal serum creatinine</w:t>
      </w:r>
      <w:r w:rsidR="004E21ED">
        <w:rPr>
          <w:rFonts w:ascii="Arial" w:hAnsi="Arial" w:cs="Arial"/>
          <w:sz w:val="24"/>
          <w:szCs w:val="24"/>
        </w:rPr>
        <w:t xml:space="preserve"> </w:t>
      </w:r>
      <w:r w:rsidR="004E21ED" w:rsidRPr="00ED1C46">
        <w:rPr>
          <w:rFonts w:ascii="Arial" w:hAnsi="Arial" w:cs="Arial"/>
          <w:sz w:val="24"/>
          <w:szCs w:val="24"/>
        </w:rPr>
        <w:t>(mbSCr)</w:t>
      </w:r>
      <w:r w:rsidR="004C7D77" w:rsidRPr="00ED1C46">
        <w:rPr>
          <w:rFonts w:ascii="Arial" w:hAnsi="Arial" w:cs="Arial"/>
          <w:sz w:val="24"/>
          <w:szCs w:val="24"/>
        </w:rPr>
        <w:t>.</w:t>
      </w:r>
    </w:p>
    <w:p w14:paraId="4DF0ABF4" w14:textId="6B0AB3F0" w:rsidR="001C2CA5" w:rsidRDefault="004E21ED" w:rsidP="001C2CA5">
      <w:pPr>
        <w:pStyle w:val="MDPI31text"/>
        <w:spacing w:line="480" w:lineRule="auto"/>
        <w:ind w:left="0" w:firstLine="0"/>
        <w:rPr>
          <w:rFonts w:ascii="Arial" w:hAnsi="Arial" w:cs="Arial"/>
          <w:sz w:val="24"/>
          <w:szCs w:val="24"/>
        </w:rPr>
      </w:pPr>
      <w:r>
        <w:rPr>
          <w:rFonts w:ascii="Arial" w:hAnsi="Arial" w:cs="Arial"/>
          <w:sz w:val="24"/>
          <w:szCs w:val="24"/>
        </w:rPr>
        <w:t>The d</w:t>
      </w:r>
      <w:r w:rsidR="00611F9E" w:rsidRPr="00ED1C46">
        <w:rPr>
          <w:rFonts w:ascii="Arial" w:hAnsi="Arial" w:cs="Arial"/>
          <w:sz w:val="24"/>
          <w:szCs w:val="24"/>
        </w:rPr>
        <w:t xml:space="preserve">iagnosis of </w:t>
      </w:r>
      <w:r>
        <w:rPr>
          <w:rFonts w:ascii="Arial" w:hAnsi="Arial" w:cs="Arial"/>
          <w:sz w:val="24"/>
          <w:szCs w:val="24"/>
        </w:rPr>
        <w:t>A</w:t>
      </w:r>
      <w:r w:rsidR="00611F9E" w:rsidRPr="00ED1C46">
        <w:rPr>
          <w:rFonts w:ascii="Arial" w:hAnsi="Arial" w:cs="Arial"/>
          <w:sz w:val="24"/>
          <w:szCs w:val="24"/>
        </w:rPr>
        <w:t xml:space="preserve">KI </w:t>
      </w:r>
      <w:r>
        <w:rPr>
          <w:rFonts w:ascii="Arial" w:hAnsi="Arial" w:cs="Arial"/>
          <w:sz w:val="24"/>
          <w:szCs w:val="24"/>
        </w:rPr>
        <w:t xml:space="preserve">follows the </w:t>
      </w:r>
      <w:r w:rsidRPr="00ED1C46">
        <w:rPr>
          <w:rFonts w:ascii="Arial" w:hAnsi="Arial" w:cs="Arial"/>
          <w:sz w:val="24"/>
          <w:szCs w:val="24"/>
        </w:rPr>
        <w:t>KDIGO criteria</w:t>
      </w:r>
      <w:r>
        <w:rPr>
          <w:rFonts w:ascii="Arial" w:hAnsi="Arial" w:cs="Arial"/>
          <w:sz w:val="24"/>
          <w:szCs w:val="24"/>
        </w:rPr>
        <w:t xml:space="preserve">, which define AKI as a </w:t>
      </w:r>
      <w:r w:rsidR="00611F9E" w:rsidRPr="00ED1C46">
        <w:rPr>
          <w:rFonts w:ascii="Arial" w:hAnsi="Arial" w:cs="Arial"/>
          <w:sz w:val="24"/>
          <w:szCs w:val="24"/>
        </w:rPr>
        <w:t xml:space="preserve">ratio between the maximum creatinine and basal creatinine </w:t>
      </w:r>
      <w:r w:rsidR="001C2CA5" w:rsidRPr="00ED1C46">
        <w:rPr>
          <w:rFonts w:ascii="Arial" w:hAnsi="Arial" w:cs="Arial"/>
          <w:sz w:val="24"/>
          <w:szCs w:val="24"/>
        </w:rPr>
        <w:t>≥1.5</w:t>
      </w:r>
      <w:r w:rsidR="00E62E05" w:rsidRPr="00ED1C46">
        <w:rPr>
          <w:rFonts w:ascii="Arial" w:hAnsi="Arial" w:cs="Arial"/>
          <w:sz w:val="24"/>
          <w:szCs w:val="24"/>
        </w:rPr>
        <w:t>.</w:t>
      </w:r>
      <w:sdt>
        <w:sdtPr>
          <w:rPr>
            <w:rFonts w:ascii="Arial" w:hAnsi="Arial" w:cs="Arial"/>
            <w:sz w:val="24"/>
            <w:szCs w:val="24"/>
            <w:vertAlign w:val="superscript"/>
          </w:rPr>
          <w:tag w:val="MENDELEY_CITATION_v3_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"/>
          <w:id w:val="368109512"/>
          <w:placeholder>
            <w:docPart w:val="DefaultPlaceholder_-1854013440"/>
          </w:placeholder>
        </w:sdtPr>
        <w:sdtEndPr/>
        <w:sdtContent>
          <w:r w:rsidR="00FD72EB" w:rsidRPr="00FD72EB">
            <w:rPr>
              <w:rFonts w:ascii="Arial" w:hAnsi="Arial" w:cs="Arial"/>
              <w:sz w:val="24"/>
              <w:szCs w:val="24"/>
              <w:vertAlign w:val="superscript"/>
            </w:rPr>
            <w:t>1</w:t>
          </w:r>
        </w:sdtContent>
      </w:sdt>
      <w:r w:rsidR="001C2CA5" w:rsidRPr="00ED1C46">
        <w:rPr>
          <w:rFonts w:ascii="Arial" w:hAnsi="Arial" w:cs="Arial"/>
          <w:sz w:val="24"/>
          <w:szCs w:val="24"/>
        </w:rPr>
        <w:t xml:space="preserve"> </w:t>
      </w:r>
      <w:r w:rsidR="00611F9E" w:rsidRPr="00ED1C46">
        <w:rPr>
          <w:rFonts w:ascii="Arial" w:hAnsi="Arial" w:cs="Arial"/>
          <w:sz w:val="24"/>
          <w:szCs w:val="24"/>
        </w:rPr>
        <w:t xml:space="preserve">Unfortunately, basal creatinine </w:t>
      </w:r>
      <w:r w:rsidR="0020213E">
        <w:rPr>
          <w:rFonts w:ascii="Arial" w:hAnsi="Arial" w:cs="Arial"/>
          <w:sz w:val="24"/>
          <w:szCs w:val="24"/>
        </w:rPr>
        <w:t xml:space="preserve">measurements </w:t>
      </w:r>
      <w:r w:rsidR="00611F9E" w:rsidRPr="00ED1C46">
        <w:rPr>
          <w:rFonts w:ascii="Arial" w:hAnsi="Arial" w:cs="Arial"/>
          <w:sz w:val="24"/>
          <w:szCs w:val="24"/>
        </w:rPr>
        <w:t>w</w:t>
      </w:r>
      <w:r w:rsidR="0020213E">
        <w:rPr>
          <w:rFonts w:ascii="Arial" w:hAnsi="Arial" w:cs="Arial"/>
          <w:sz w:val="24"/>
          <w:szCs w:val="24"/>
        </w:rPr>
        <w:t>ere only</w:t>
      </w:r>
      <w:r w:rsidR="00611F9E" w:rsidRPr="00ED1C46">
        <w:rPr>
          <w:rFonts w:ascii="Arial" w:hAnsi="Arial" w:cs="Arial"/>
          <w:sz w:val="24"/>
          <w:szCs w:val="24"/>
        </w:rPr>
        <w:t xml:space="preserve"> available </w:t>
      </w:r>
      <w:r w:rsidR="0020213E">
        <w:rPr>
          <w:rFonts w:ascii="Arial" w:hAnsi="Arial" w:cs="Arial"/>
          <w:sz w:val="24"/>
          <w:szCs w:val="24"/>
        </w:rPr>
        <w:t xml:space="preserve">for </w:t>
      </w:r>
      <w:r w:rsidR="00611F9E" w:rsidRPr="00ED1C46">
        <w:rPr>
          <w:rFonts w:ascii="Arial" w:hAnsi="Arial" w:cs="Arial"/>
          <w:sz w:val="24"/>
          <w:szCs w:val="24"/>
        </w:rPr>
        <w:t xml:space="preserve">a subgroup of </w:t>
      </w:r>
      <w:r w:rsidR="007C41C5" w:rsidRPr="00ED1C46">
        <w:rPr>
          <w:rFonts w:ascii="Arial" w:hAnsi="Arial" w:cs="Arial"/>
          <w:sz w:val="24"/>
          <w:szCs w:val="24"/>
        </w:rPr>
        <w:t xml:space="preserve">our </w:t>
      </w:r>
      <w:r w:rsidR="00611F9E" w:rsidRPr="00ED1C46">
        <w:rPr>
          <w:rFonts w:ascii="Arial" w:hAnsi="Arial" w:cs="Arial"/>
          <w:sz w:val="24"/>
          <w:szCs w:val="24"/>
        </w:rPr>
        <w:t xml:space="preserve">patients. Therefore, </w:t>
      </w:r>
      <w:r w:rsidR="0020213E">
        <w:rPr>
          <w:rFonts w:ascii="Arial" w:hAnsi="Arial" w:cs="Arial"/>
          <w:sz w:val="24"/>
          <w:szCs w:val="24"/>
        </w:rPr>
        <w:t xml:space="preserve">in patients without mbSCr, we utilized </w:t>
      </w:r>
      <w:r w:rsidR="007C41C5" w:rsidRPr="00ED1C46">
        <w:rPr>
          <w:rFonts w:ascii="Arial" w:hAnsi="Arial" w:cs="Arial"/>
          <w:sz w:val="24"/>
          <w:szCs w:val="24"/>
        </w:rPr>
        <w:t>ebSCr</w:t>
      </w:r>
      <w:r w:rsidR="00611F9E" w:rsidRPr="00ED1C46">
        <w:rPr>
          <w:rFonts w:ascii="Arial" w:hAnsi="Arial" w:cs="Arial"/>
          <w:sz w:val="24"/>
          <w:szCs w:val="24"/>
        </w:rPr>
        <w:t xml:space="preserve">, </w:t>
      </w:r>
      <w:r w:rsidR="007C41C5" w:rsidRPr="00ED1C46">
        <w:rPr>
          <w:rFonts w:ascii="Arial" w:hAnsi="Arial" w:cs="Arial"/>
          <w:sz w:val="24"/>
          <w:szCs w:val="24"/>
        </w:rPr>
        <w:t xml:space="preserve">calculated </w:t>
      </w:r>
      <w:r w:rsidR="00611F9E" w:rsidRPr="00ED1C46">
        <w:rPr>
          <w:rFonts w:ascii="Arial" w:hAnsi="Arial" w:cs="Arial"/>
          <w:sz w:val="24"/>
          <w:szCs w:val="24"/>
        </w:rPr>
        <w:t xml:space="preserve">according to </w:t>
      </w:r>
      <w:r w:rsidR="007C41C5" w:rsidRPr="00ED1C46">
        <w:rPr>
          <w:rFonts w:ascii="Arial" w:hAnsi="Arial" w:cs="Arial"/>
          <w:sz w:val="24"/>
          <w:szCs w:val="24"/>
        </w:rPr>
        <w:t xml:space="preserve">the </w:t>
      </w:r>
      <w:r w:rsidR="00611F9E" w:rsidRPr="00ED1C46">
        <w:rPr>
          <w:rFonts w:ascii="Arial" w:hAnsi="Arial" w:cs="Arial"/>
          <w:sz w:val="24"/>
          <w:szCs w:val="24"/>
        </w:rPr>
        <w:t xml:space="preserve">Hoste </w:t>
      </w:r>
      <w:r w:rsidR="00E62E05" w:rsidRPr="00ED1C46">
        <w:rPr>
          <w:rFonts w:ascii="Arial" w:hAnsi="Arial" w:cs="Arial"/>
          <w:sz w:val="24"/>
          <w:szCs w:val="24"/>
        </w:rPr>
        <w:t xml:space="preserve">(age) </w:t>
      </w:r>
      <w:r w:rsidR="00611F9E" w:rsidRPr="00ED1C46">
        <w:rPr>
          <w:rFonts w:ascii="Arial" w:hAnsi="Arial" w:cs="Arial"/>
          <w:sz w:val="24"/>
          <w:szCs w:val="24"/>
        </w:rPr>
        <w:t>equation,</w:t>
      </w:r>
      <w:sdt>
        <w:sdtPr>
          <w:rPr>
            <w:rFonts w:ascii="Arial" w:hAnsi="Arial" w:cs="Arial"/>
            <w:sz w:val="24"/>
            <w:szCs w:val="24"/>
            <w:vertAlign w:val="superscript"/>
          </w:rPr>
          <w:tag w:val="MENDELEY_CITATION_v3_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"/>
          <w:id w:val="-482005124"/>
          <w:placeholder>
            <w:docPart w:val="DefaultPlaceholder_-1854013440"/>
          </w:placeholder>
        </w:sdtPr>
        <w:sdtEndPr/>
        <w:sdtContent>
          <w:r w:rsidR="00FD72EB" w:rsidRPr="00FD72EB">
            <w:rPr>
              <w:rFonts w:ascii="Arial" w:hAnsi="Arial" w:cs="Arial"/>
              <w:sz w:val="24"/>
              <w:szCs w:val="24"/>
              <w:vertAlign w:val="superscript"/>
            </w:rPr>
            <w:t>2</w:t>
          </w:r>
        </w:sdtContent>
      </w:sdt>
      <w:r w:rsidR="00E62E05" w:rsidRPr="00ED1C46">
        <w:rPr>
          <w:rFonts w:ascii="Arial" w:hAnsi="Arial" w:cs="Arial"/>
          <w:sz w:val="24"/>
          <w:szCs w:val="24"/>
        </w:rPr>
        <w:t xml:space="preserve"> as previously </w:t>
      </w:r>
      <w:r w:rsidR="0020213E">
        <w:rPr>
          <w:rFonts w:ascii="Arial" w:hAnsi="Arial" w:cs="Arial"/>
          <w:sz w:val="24"/>
          <w:szCs w:val="24"/>
        </w:rPr>
        <w:t xml:space="preserve">done in various pediatric </w:t>
      </w:r>
      <w:r w:rsidR="00E62E05" w:rsidRPr="00ED1C46">
        <w:rPr>
          <w:rFonts w:ascii="Arial" w:hAnsi="Arial" w:cs="Arial"/>
          <w:sz w:val="24"/>
          <w:szCs w:val="24"/>
        </w:rPr>
        <w:t>cohorts</w:t>
      </w:r>
      <w:r w:rsidR="00611F9E" w:rsidRPr="00ED1C46">
        <w:rPr>
          <w:rFonts w:ascii="Arial" w:hAnsi="Arial" w:cs="Arial"/>
          <w:sz w:val="24"/>
          <w:szCs w:val="24"/>
        </w:rPr>
        <w:t>.</w:t>
      </w:r>
      <w:sdt>
        <w:sdtPr>
          <w:rPr>
            <w:rFonts w:ascii="Arial" w:hAnsi="Arial" w:cs="Arial"/>
            <w:sz w:val="24"/>
            <w:szCs w:val="24"/>
            <w:vertAlign w:val="superscript"/>
          </w:rPr>
          <w:tag w:val="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"/>
          <w:id w:val="-640806927"/>
          <w:placeholder>
            <w:docPart w:val="DefaultPlaceholder_-1854013440"/>
          </w:placeholder>
        </w:sdtPr>
        <w:sdtEndPr/>
        <w:sdtContent>
          <w:r w:rsidR="00FD72EB" w:rsidRPr="00FD72EB">
            <w:rPr>
              <w:rFonts w:ascii="Arial" w:hAnsi="Arial" w:cs="Arial"/>
              <w:sz w:val="24"/>
              <w:szCs w:val="24"/>
              <w:vertAlign w:val="superscript"/>
            </w:rPr>
            <w:t>3–6</w:t>
          </w:r>
        </w:sdtContent>
      </w:sdt>
      <w:r w:rsidR="00611F9E" w:rsidRPr="00ED1C46">
        <w:rPr>
          <w:rFonts w:ascii="Arial" w:hAnsi="Arial" w:cs="Arial"/>
          <w:sz w:val="24"/>
          <w:szCs w:val="24"/>
        </w:rPr>
        <w:t xml:space="preserve"> </w:t>
      </w:r>
      <w:r w:rsidR="0020213E">
        <w:rPr>
          <w:rFonts w:ascii="Arial" w:hAnsi="Arial" w:cs="Arial"/>
          <w:sz w:val="24"/>
          <w:szCs w:val="24"/>
        </w:rPr>
        <w:t xml:space="preserve">As this method was primarily </w:t>
      </w:r>
      <w:r w:rsidR="001C2CA5" w:rsidRPr="00ED1C46">
        <w:rPr>
          <w:rFonts w:ascii="Arial" w:hAnsi="Arial" w:cs="Arial"/>
          <w:sz w:val="24"/>
          <w:szCs w:val="24"/>
        </w:rPr>
        <w:t xml:space="preserve">validated </w:t>
      </w:r>
      <w:r w:rsidR="0020213E">
        <w:rPr>
          <w:rFonts w:ascii="Arial" w:hAnsi="Arial" w:cs="Arial"/>
          <w:sz w:val="24"/>
          <w:szCs w:val="24"/>
        </w:rPr>
        <w:t>in</w:t>
      </w:r>
      <w:r w:rsidR="001C2CA5" w:rsidRPr="00ED1C46">
        <w:rPr>
          <w:rFonts w:ascii="Arial" w:hAnsi="Arial" w:cs="Arial"/>
          <w:sz w:val="24"/>
          <w:szCs w:val="24"/>
        </w:rPr>
        <w:t xml:space="preserve"> children</w:t>
      </w:r>
      <w:r w:rsidR="00CF0685" w:rsidRPr="00ED1C46">
        <w:rPr>
          <w:rFonts w:ascii="Arial" w:hAnsi="Arial" w:cs="Arial"/>
          <w:sz w:val="24"/>
          <w:szCs w:val="24"/>
        </w:rPr>
        <w:t xml:space="preserve"> with median age of 3.9 years</w:t>
      </w:r>
      <w:r w:rsidR="001C2CA5" w:rsidRPr="00ED1C46">
        <w:rPr>
          <w:rFonts w:ascii="Arial" w:hAnsi="Arial" w:cs="Arial"/>
          <w:sz w:val="24"/>
          <w:szCs w:val="24"/>
        </w:rPr>
        <w:t>,</w:t>
      </w:r>
      <w:sdt>
        <w:sdtPr>
          <w:rPr>
            <w:rFonts w:ascii="Arial" w:hAnsi="Arial" w:cs="Arial"/>
            <w:sz w:val="24"/>
            <w:szCs w:val="24"/>
            <w:vertAlign w:val="superscript"/>
          </w:rPr>
          <w:tag w:val="MENDELEY_CITATION_v3_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"/>
          <w:id w:val="1155034543"/>
          <w:placeholder>
            <w:docPart w:val="DefaultPlaceholder_-1854013440"/>
          </w:placeholder>
        </w:sdtPr>
        <w:sdtEndPr/>
        <w:sdtContent>
          <w:r w:rsidR="00FD72EB" w:rsidRPr="00FD72EB">
            <w:rPr>
              <w:rFonts w:ascii="Arial" w:hAnsi="Arial" w:cs="Arial"/>
              <w:sz w:val="24"/>
              <w:szCs w:val="24"/>
              <w:vertAlign w:val="superscript"/>
            </w:rPr>
            <w:t>7</w:t>
          </w:r>
        </w:sdtContent>
      </w:sdt>
      <w:r w:rsidR="001C2CA5" w:rsidRPr="00ED1C46">
        <w:rPr>
          <w:rFonts w:ascii="Arial" w:hAnsi="Arial" w:cs="Arial"/>
          <w:sz w:val="24"/>
          <w:szCs w:val="24"/>
        </w:rPr>
        <w:t xml:space="preserve"> we </w:t>
      </w:r>
      <w:r w:rsidR="0020213E">
        <w:rPr>
          <w:rFonts w:ascii="Arial" w:hAnsi="Arial" w:cs="Arial"/>
          <w:sz w:val="24"/>
          <w:szCs w:val="24"/>
        </w:rPr>
        <w:t>conducted</w:t>
      </w:r>
      <w:r w:rsidR="0020213E" w:rsidRPr="00ED1C46">
        <w:rPr>
          <w:rFonts w:ascii="Arial" w:hAnsi="Arial" w:cs="Arial"/>
          <w:sz w:val="24"/>
          <w:szCs w:val="24"/>
        </w:rPr>
        <w:t xml:space="preserve"> </w:t>
      </w:r>
      <w:r w:rsidR="001C2CA5" w:rsidRPr="00ED1C46">
        <w:rPr>
          <w:rFonts w:ascii="Arial" w:hAnsi="Arial" w:cs="Arial"/>
          <w:sz w:val="24"/>
          <w:szCs w:val="24"/>
        </w:rPr>
        <w:t xml:space="preserve">a special sub-analysis </w:t>
      </w:r>
      <w:r w:rsidR="0020213E">
        <w:rPr>
          <w:rFonts w:ascii="Arial" w:hAnsi="Arial" w:cs="Arial"/>
          <w:sz w:val="24"/>
          <w:szCs w:val="24"/>
        </w:rPr>
        <w:t xml:space="preserve">within </w:t>
      </w:r>
      <w:r w:rsidR="001C2CA5" w:rsidRPr="00ED1C46">
        <w:rPr>
          <w:rFonts w:ascii="Arial" w:hAnsi="Arial" w:cs="Arial"/>
          <w:sz w:val="24"/>
          <w:szCs w:val="24"/>
        </w:rPr>
        <w:t>the sub</w:t>
      </w:r>
      <w:r w:rsidR="000C3034" w:rsidRPr="00ED1C46">
        <w:rPr>
          <w:rFonts w:ascii="Arial" w:hAnsi="Arial" w:cs="Arial"/>
          <w:sz w:val="24"/>
          <w:szCs w:val="24"/>
        </w:rPr>
        <w:t>group</w:t>
      </w:r>
      <w:r w:rsidR="001C2CA5" w:rsidRPr="00ED1C46">
        <w:rPr>
          <w:rFonts w:ascii="Arial" w:hAnsi="Arial" w:cs="Arial"/>
          <w:sz w:val="24"/>
          <w:szCs w:val="24"/>
        </w:rPr>
        <w:t xml:space="preserve"> of patients with </w:t>
      </w:r>
      <w:r w:rsidR="0020213E">
        <w:rPr>
          <w:rFonts w:ascii="Arial" w:hAnsi="Arial" w:cs="Arial"/>
          <w:sz w:val="24"/>
          <w:szCs w:val="24"/>
        </w:rPr>
        <w:t>mbSCr to evaluate its validity in younger children enrolled in our study</w:t>
      </w:r>
      <w:r w:rsidR="00920B38">
        <w:rPr>
          <w:rFonts w:ascii="Arial" w:hAnsi="Arial" w:cs="Arial"/>
          <w:sz w:val="24"/>
          <w:szCs w:val="24"/>
        </w:rPr>
        <w:t>. We</w:t>
      </w:r>
      <w:r w:rsidR="001C2CA5" w:rsidRPr="00ED1C46">
        <w:rPr>
          <w:rFonts w:ascii="Arial" w:hAnsi="Arial" w:cs="Arial"/>
          <w:sz w:val="24"/>
          <w:szCs w:val="24"/>
        </w:rPr>
        <w:t xml:space="preserve"> </w:t>
      </w:r>
      <w:proofErr w:type="gramStart"/>
      <w:r w:rsidR="001C2CA5" w:rsidRPr="00ED1C46">
        <w:rPr>
          <w:rFonts w:ascii="Arial" w:hAnsi="Arial" w:cs="Arial"/>
          <w:sz w:val="24"/>
          <w:szCs w:val="24"/>
        </w:rPr>
        <w:t>us</w:t>
      </w:r>
      <w:r w:rsidR="00920B38">
        <w:rPr>
          <w:rFonts w:ascii="Arial" w:hAnsi="Arial" w:cs="Arial"/>
          <w:sz w:val="24"/>
          <w:szCs w:val="24"/>
        </w:rPr>
        <w:t>es</w:t>
      </w:r>
      <w:proofErr w:type="gramEnd"/>
      <w:r w:rsidR="001C2CA5" w:rsidRPr="00ED1C46">
        <w:rPr>
          <w:rFonts w:ascii="Arial" w:hAnsi="Arial" w:cs="Arial"/>
          <w:sz w:val="24"/>
          <w:szCs w:val="24"/>
        </w:rPr>
        <w:t xml:space="preserve"> the </w:t>
      </w:r>
      <w:r w:rsidR="00920B38">
        <w:rPr>
          <w:rFonts w:ascii="Arial" w:hAnsi="Arial" w:cs="Arial"/>
          <w:sz w:val="24"/>
          <w:szCs w:val="24"/>
        </w:rPr>
        <w:t>mbSCr</w:t>
      </w:r>
      <w:r w:rsidR="001C2CA5" w:rsidRPr="00ED1C46">
        <w:rPr>
          <w:rFonts w:ascii="Arial" w:hAnsi="Arial" w:cs="Arial"/>
          <w:sz w:val="24"/>
          <w:szCs w:val="24"/>
        </w:rPr>
        <w:t xml:space="preserve"> as </w:t>
      </w:r>
      <w:r w:rsidR="000C3034" w:rsidRPr="00ED1C46">
        <w:rPr>
          <w:rFonts w:ascii="Arial" w:hAnsi="Arial" w:cs="Arial"/>
          <w:sz w:val="24"/>
          <w:szCs w:val="24"/>
        </w:rPr>
        <w:t>the</w:t>
      </w:r>
      <w:r w:rsidR="001C2CA5" w:rsidRPr="00ED1C46">
        <w:rPr>
          <w:rFonts w:ascii="Arial" w:hAnsi="Arial" w:cs="Arial"/>
          <w:sz w:val="24"/>
          <w:szCs w:val="24"/>
        </w:rPr>
        <w:t xml:space="preserve"> gold standard </w:t>
      </w:r>
      <w:r w:rsidR="0020213E">
        <w:rPr>
          <w:rFonts w:ascii="Arial" w:hAnsi="Arial" w:cs="Arial"/>
          <w:sz w:val="24"/>
          <w:szCs w:val="24"/>
        </w:rPr>
        <w:t>for</w:t>
      </w:r>
      <w:r w:rsidR="001C2CA5" w:rsidRPr="00ED1C46">
        <w:rPr>
          <w:rFonts w:ascii="Arial" w:hAnsi="Arial" w:cs="Arial"/>
          <w:sz w:val="24"/>
          <w:szCs w:val="24"/>
        </w:rPr>
        <w:t xml:space="preserve"> accuracy </w:t>
      </w:r>
      <w:r w:rsidR="0020213E">
        <w:rPr>
          <w:rFonts w:ascii="Arial" w:hAnsi="Arial" w:cs="Arial"/>
          <w:sz w:val="24"/>
          <w:szCs w:val="24"/>
        </w:rPr>
        <w:t xml:space="preserve">assessment </w:t>
      </w:r>
      <w:r w:rsidR="001C2CA5" w:rsidRPr="00ED1C46">
        <w:rPr>
          <w:rFonts w:ascii="Arial" w:hAnsi="Arial" w:cs="Arial"/>
          <w:sz w:val="24"/>
          <w:szCs w:val="24"/>
        </w:rPr>
        <w:t xml:space="preserve">of the </w:t>
      </w:r>
      <w:r w:rsidR="0020213E">
        <w:rPr>
          <w:rFonts w:ascii="Arial" w:hAnsi="Arial" w:cs="Arial"/>
          <w:sz w:val="24"/>
          <w:szCs w:val="24"/>
        </w:rPr>
        <w:t>ebSCr</w:t>
      </w:r>
      <w:r w:rsidR="001C2CA5" w:rsidRPr="00ED1C46">
        <w:rPr>
          <w:rFonts w:ascii="Arial" w:hAnsi="Arial" w:cs="Arial"/>
          <w:sz w:val="24"/>
          <w:szCs w:val="24"/>
        </w:rPr>
        <w:t>.</w:t>
      </w:r>
    </w:p>
    <w:p w14:paraId="52FEA547" w14:textId="2946ABFF" w:rsidR="0008185E" w:rsidRPr="00D52560" w:rsidRDefault="00FD72EB" w:rsidP="001C2CA5">
      <w:pPr>
        <w:pStyle w:val="MDPI31text"/>
        <w:spacing w:line="480" w:lineRule="auto"/>
        <w:ind w:left="0" w:firstLine="0"/>
        <w:rPr>
          <w:rFonts w:ascii="Arial" w:hAnsi="Arial" w:cs="Arial"/>
          <w:i/>
          <w:iCs/>
          <w:sz w:val="24"/>
          <w:szCs w:val="24"/>
        </w:rPr>
      </w:pPr>
      <w:r w:rsidRPr="00D52560">
        <w:rPr>
          <w:rFonts w:ascii="Arial" w:hAnsi="Arial" w:cs="Arial"/>
          <w:i/>
          <w:iCs/>
          <w:sz w:val="24"/>
          <w:szCs w:val="24"/>
        </w:rPr>
        <w:t>How to use the Hoste (age) equation to back-calculate the basal serum creatinine</w:t>
      </w:r>
    </w:p>
    <w:p w14:paraId="7DA51F92" w14:textId="2B11BA65" w:rsidR="0008185E" w:rsidRPr="003A0C05" w:rsidRDefault="0008185E" w:rsidP="0008185E">
      <w:pPr>
        <w:pStyle w:val="MDPI31text"/>
        <w:spacing w:line="480" w:lineRule="auto"/>
        <w:ind w:left="0" w:firstLine="0"/>
        <w:rPr>
          <w:rFonts w:ascii="Arial" w:hAnsi="Arial" w:cs="Arial"/>
          <w:sz w:val="24"/>
          <w:szCs w:val="24"/>
        </w:rPr>
      </w:pPr>
      <w:r>
        <w:rPr>
          <w:rFonts w:ascii="Arial" w:hAnsi="Arial" w:cs="Arial"/>
          <w:sz w:val="24"/>
          <w:szCs w:val="24"/>
        </w:rPr>
        <w:t>W</w:t>
      </w:r>
      <w:r w:rsidRPr="003A0C05">
        <w:rPr>
          <w:rFonts w:ascii="Arial" w:hAnsi="Arial" w:cs="Arial"/>
          <w:sz w:val="24"/>
          <w:szCs w:val="24"/>
        </w:rPr>
        <w:t xml:space="preserve">e used the Hoste (age) equation to </w:t>
      </w:r>
      <w:r w:rsidRPr="003A0C05">
        <w:rPr>
          <w:rFonts w:ascii="Arial" w:hAnsi="Arial" w:cs="Arial"/>
          <w:iCs/>
          <w:sz w:val="24"/>
          <w:szCs w:val="24"/>
        </w:rPr>
        <w:t>back-calculate basal serum creatinine,</w:t>
      </w:r>
      <w:sdt>
        <w:sdtPr>
          <w:rPr>
            <w:rFonts w:ascii="Arial" w:hAnsi="Arial" w:cs="Arial"/>
            <w:iCs/>
            <w:sz w:val="24"/>
            <w:szCs w:val="24"/>
            <w:vertAlign w:val="superscript"/>
          </w:rPr>
          <w:tag w:val="MENDELEY_CITATION_v3_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"/>
          <w:id w:val="1189793254"/>
          <w:placeholder>
            <w:docPart w:val="DefaultPlaceholder_-1854013440"/>
          </w:placeholder>
        </w:sdtPr>
        <w:sdtEndPr/>
        <w:sdtContent>
          <w:r w:rsidR="00FD72EB" w:rsidRPr="00D52560">
            <w:rPr>
              <w:rFonts w:ascii="Arial" w:hAnsi="Arial" w:cs="Arial"/>
              <w:iCs/>
              <w:sz w:val="24"/>
              <w:szCs w:val="24"/>
              <w:vertAlign w:val="superscript"/>
            </w:rPr>
            <w:t>8</w:t>
          </w:r>
        </w:sdtContent>
      </w:sdt>
      <w:r w:rsidRPr="003A0C05">
        <w:rPr>
          <w:rFonts w:ascii="Arial" w:hAnsi="Arial" w:cs="Arial"/>
          <w:sz w:val="24"/>
          <w:szCs w:val="24"/>
        </w:rPr>
        <w:t xml:space="preserve"> </w:t>
      </w:r>
      <w:r w:rsidRPr="003A0C05">
        <w:rPr>
          <w:rFonts w:ascii="Arial" w:hAnsi="Arial" w:cs="Arial"/>
          <w:iCs/>
          <w:sz w:val="24"/>
          <w:szCs w:val="24"/>
        </w:rPr>
        <w:t xml:space="preserve">assuming that basal estimated glomerular filtration rate (eGFR) </w:t>
      </w:r>
      <w:r w:rsidR="00FD0BB6">
        <w:rPr>
          <w:rFonts w:ascii="Arial" w:hAnsi="Arial" w:cs="Arial"/>
          <w:iCs/>
          <w:sz w:val="24"/>
          <w:szCs w:val="24"/>
        </w:rPr>
        <w:t>corresponded</w:t>
      </w:r>
      <w:r w:rsidRPr="003A0C05">
        <w:rPr>
          <w:rFonts w:ascii="Arial" w:hAnsi="Arial" w:cs="Arial"/>
          <w:iCs/>
          <w:sz w:val="24"/>
          <w:szCs w:val="24"/>
        </w:rPr>
        <w:t xml:space="preserve"> the median age-based eGFR normative value</w:t>
      </w:r>
      <w:r>
        <w:rPr>
          <w:rFonts w:ascii="Arial" w:hAnsi="Arial" w:cs="Arial"/>
          <w:iCs/>
          <w:sz w:val="24"/>
          <w:szCs w:val="24"/>
        </w:rPr>
        <w:t>s</w:t>
      </w:r>
      <w:r w:rsidRPr="003A0C05">
        <w:rPr>
          <w:rFonts w:ascii="Arial" w:hAnsi="Arial" w:cs="Arial"/>
          <w:iCs/>
          <w:sz w:val="24"/>
          <w:szCs w:val="24"/>
        </w:rPr>
        <w:t>.</w:t>
      </w:r>
      <w:sdt>
        <w:sdtPr>
          <w:rPr>
            <w:rFonts w:ascii="Arial" w:hAnsi="Arial" w:cs="Arial"/>
            <w:iCs/>
            <w:sz w:val="24"/>
            <w:szCs w:val="24"/>
            <w:vertAlign w:val="superscript"/>
          </w:rPr>
          <w:tag w:val="MENDELEY_CITATION_v3_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"/>
          <w:id w:val="1786852058"/>
          <w:placeholder>
            <w:docPart w:val="DefaultPlaceholder_-1854013440"/>
          </w:placeholder>
        </w:sdtPr>
        <w:sdtEndPr/>
        <w:sdtContent>
          <w:r w:rsidR="00FD72EB" w:rsidRPr="00D52560">
            <w:rPr>
              <w:rFonts w:ascii="Arial" w:hAnsi="Arial" w:cs="Arial"/>
              <w:iCs/>
              <w:sz w:val="24"/>
              <w:szCs w:val="24"/>
              <w:vertAlign w:val="superscript"/>
            </w:rPr>
            <w:t>9</w:t>
          </w:r>
        </w:sdtContent>
      </w:sdt>
    </w:p>
    <w:p w14:paraId="4817B235" w14:textId="5DD650B4" w:rsidR="0008185E" w:rsidRPr="00FD72EB" w:rsidRDefault="00FD72EB" w:rsidP="001C2CA5">
      <w:pPr>
        <w:pStyle w:val="MDPI31text"/>
        <w:spacing w:line="480" w:lineRule="auto"/>
        <w:ind w:left="0" w:firstLine="0"/>
        <w:rPr>
          <w:rFonts w:ascii="Arial" w:hAnsi="Arial" w:cs="Arial"/>
          <w:sz w:val="24"/>
          <w:szCs w:val="24"/>
        </w:rPr>
      </w:pPr>
      <w:r w:rsidRPr="00FD72EB">
        <w:rPr>
          <w:rFonts w:ascii="Arial" w:hAnsi="Arial" w:cs="Arial"/>
          <w:sz w:val="24"/>
          <w:szCs w:val="24"/>
        </w:rPr>
        <w:t>More in detail:</w:t>
      </w:r>
    </w:p>
    <w:p w14:paraId="096DC837" w14:textId="77777777" w:rsidR="00FD72EB" w:rsidRPr="00D52560" w:rsidRDefault="00FD72EB" w:rsidP="001C2CA5">
      <w:pPr>
        <w:pStyle w:val="MDPI31text"/>
        <w:spacing w:line="480" w:lineRule="auto"/>
        <w:ind w:left="0" w:firstLine="0"/>
        <w:rPr>
          <w:rFonts w:ascii="Arial" w:hAnsi="Arial" w:cs="Arial"/>
          <w:sz w:val="24"/>
          <w:szCs w:val="24"/>
        </w:rPr>
      </w:pPr>
      <w:r w:rsidRPr="00D52560">
        <w:rPr>
          <w:rFonts w:ascii="Arial" w:hAnsi="Arial" w:cs="Arial"/>
          <w:sz w:val="24"/>
          <w:szCs w:val="24"/>
        </w:rPr>
        <w:t>bSCr (mg/dL) = 107.3 x Q/eGFR, where,</w:t>
      </w:r>
    </w:p>
    <w:p w14:paraId="641E10C5" w14:textId="66F92DF9" w:rsidR="00FD72EB" w:rsidRDefault="00FD72EB" w:rsidP="001C2CA5">
      <w:pPr>
        <w:pStyle w:val="MDPI31text"/>
        <w:spacing w:line="480" w:lineRule="auto"/>
        <w:ind w:left="0" w:firstLine="0"/>
        <w:rPr>
          <w:rFonts w:ascii="Arial" w:hAnsi="Arial" w:cs="Arial"/>
          <w:sz w:val="24"/>
          <w:szCs w:val="24"/>
        </w:rPr>
      </w:pPr>
      <w:r w:rsidRPr="00D52560">
        <w:rPr>
          <w:rFonts w:ascii="Arial" w:hAnsi="Arial" w:cs="Arial"/>
          <w:sz w:val="24"/>
          <w:szCs w:val="24"/>
        </w:rPr>
        <w:t xml:space="preserve"> Q = 0.21 + 0.057*age – 0.0075*age</w:t>
      </w:r>
      <w:r w:rsidRPr="00D52560">
        <w:rPr>
          <w:rFonts w:ascii="Arial" w:hAnsi="Arial" w:cs="Arial"/>
          <w:sz w:val="24"/>
          <w:szCs w:val="24"/>
          <w:vertAlign w:val="superscript"/>
        </w:rPr>
        <w:t>2</w:t>
      </w:r>
      <w:r w:rsidRPr="00D52560">
        <w:rPr>
          <w:rFonts w:ascii="Arial" w:hAnsi="Arial" w:cs="Arial"/>
          <w:sz w:val="24"/>
          <w:szCs w:val="24"/>
        </w:rPr>
        <w:t xml:space="preserve"> + 0.00064*age</w:t>
      </w:r>
      <w:r w:rsidRPr="00D52560">
        <w:rPr>
          <w:rFonts w:ascii="Arial" w:hAnsi="Arial" w:cs="Arial"/>
          <w:sz w:val="24"/>
          <w:szCs w:val="24"/>
          <w:vertAlign w:val="superscript"/>
        </w:rPr>
        <w:t>3</w:t>
      </w:r>
      <w:r w:rsidRPr="00D52560">
        <w:rPr>
          <w:rFonts w:ascii="Arial" w:hAnsi="Arial" w:cs="Arial"/>
          <w:sz w:val="24"/>
          <w:szCs w:val="24"/>
        </w:rPr>
        <w:t xml:space="preserve"> – 0.000016*age</w:t>
      </w:r>
      <w:r w:rsidRPr="00D52560">
        <w:rPr>
          <w:rFonts w:ascii="Arial" w:hAnsi="Arial" w:cs="Arial"/>
          <w:sz w:val="24"/>
          <w:szCs w:val="24"/>
          <w:vertAlign w:val="superscript"/>
        </w:rPr>
        <w:t>4</w:t>
      </w:r>
      <w:r w:rsidRPr="00D52560">
        <w:rPr>
          <w:rFonts w:ascii="Arial" w:hAnsi="Arial" w:cs="Arial"/>
          <w:sz w:val="24"/>
          <w:szCs w:val="24"/>
        </w:rPr>
        <w:t xml:space="preserve"> for boys</w:t>
      </w:r>
      <w:r>
        <w:rPr>
          <w:rFonts w:ascii="Arial" w:hAnsi="Arial" w:cs="Arial"/>
          <w:sz w:val="24"/>
          <w:szCs w:val="24"/>
        </w:rPr>
        <w:t>, and</w:t>
      </w:r>
    </w:p>
    <w:p w14:paraId="458A490F" w14:textId="62C06B40" w:rsidR="00FD72EB" w:rsidRPr="00D52560" w:rsidRDefault="00FD72EB" w:rsidP="001C2CA5">
      <w:pPr>
        <w:pStyle w:val="MDPI31text"/>
        <w:spacing w:line="480" w:lineRule="auto"/>
        <w:ind w:left="0" w:firstLine="0"/>
        <w:rPr>
          <w:rFonts w:ascii="Arial" w:hAnsi="Arial" w:cs="Arial"/>
          <w:sz w:val="24"/>
          <w:szCs w:val="24"/>
        </w:rPr>
      </w:pPr>
      <w:r w:rsidRPr="00364823">
        <w:rPr>
          <w:rFonts w:ascii="Arial" w:hAnsi="Arial" w:cs="Arial"/>
          <w:sz w:val="24"/>
          <w:szCs w:val="24"/>
        </w:rPr>
        <w:t>Q = 0.2</w:t>
      </w:r>
      <w:r>
        <w:rPr>
          <w:rFonts w:ascii="Arial" w:hAnsi="Arial" w:cs="Arial"/>
          <w:sz w:val="24"/>
          <w:szCs w:val="24"/>
        </w:rPr>
        <w:t>3</w:t>
      </w:r>
      <w:r w:rsidRPr="00364823">
        <w:rPr>
          <w:rFonts w:ascii="Arial" w:hAnsi="Arial" w:cs="Arial"/>
          <w:sz w:val="24"/>
          <w:szCs w:val="24"/>
        </w:rPr>
        <w:t xml:space="preserve"> + 0.0</w:t>
      </w:r>
      <w:r>
        <w:rPr>
          <w:rFonts w:ascii="Arial" w:hAnsi="Arial" w:cs="Arial"/>
          <w:sz w:val="24"/>
          <w:szCs w:val="24"/>
        </w:rPr>
        <w:t>34</w:t>
      </w:r>
      <w:r w:rsidRPr="00364823">
        <w:rPr>
          <w:rFonts w:ascii="Arial" w:hAnsi="Arial" w:cs="Arial"/>
          <w:sz w:val="24"/>
          <w:szCs w:val="24"/>
        </w:rPr>
        <w:t>*age – 0.00</w:t>
      </w:r>
      <w:r>
        <w:rPr>
          <w:rFonts w:ascii="Arial" w:hAnsi="Arial" w:cs="Arial"/>
          <w:sz w:val="24"/>
          <w:szCs w:val="24"/>
        </w:rPr>
        <w:t>18</w:t>
      </w:r>
      <w:r w:rsidRPr="00364823">
        <w:rPr>
          <w:rFonts w:ascii="Arial" w:hAnsi="Arial" w:cs="Arial"/>
          <w:sz w:val="24"/>
          <w:szCs w:val="24"/>
        </w:rPr>
        <w:t>*age</w:t>
      </w:r>
      <w:r w:rsidRPr="00364823">
        <w:rPr>
          <w:rFonts w:ascii="Arial" w:hAnsi="Arial" w:cs="Arial"/>
          <w:sz w:val="24"/>
          <w:szCs w:val="24"/>
          <w:vertAlign w:val="superscript"/>
        </w:rPr>
        <w:t>2</w:t>
      </w:r>
      <w:r w:rsidRPr="00364823">
        <w:rPr>
          <w:rFonts w:ascii="Arial" w:hAnsi="Arial" w:cs="Arial"/>
          <w:sz w:val="24"/>
          <w:szCs w:val="24"/>
        </w:rPr>
        <w:t xml:space="preserve"> + 0.000</w:t>
      </w:r>
      <w:r>
        <w:rPr>
          <w:rFonts w:ascii="Arial" w:hAnsi="Arial" w:cs="Arial"/>
          <w:sz w:val="24"/>
          <w:szCs w:val="24"/>
        </w:rPr>
        <w:t>17</w:t>
      </w:r>
      <w:r w:rsidRPr="00364823">
        <w:rPr>
          <w:rFonts w:ascii="Arial" w:hAnsi="Arial" w:cs="Arial"/>
          <w:sz w:val="24"/>
          <w:szCs w:val="24"/>
        </w:rPr>
        <w:t>*age</w:t>
      </w:r>
      <w:r w:rsidRPr="00364823">
        <w:rPr>
          <w:rFonts w:ascii="Arial" w:hAnsi="Arial" w:cs="Arial"/>
          <w:sz w:val="24"/>
          <w:szCs w:val="24"/>
          <w:vertAlign w:val="superscript"/>
        </w:rPr>
        <w:t>3</w:t>
      </w:r>
      <w:r w:rsidRPr="00364823">
        <w:rPr>
          <w:rFonts w:ascii="Arial" w:hAnsi="Arial" w:cs="Arial"/>
          <w:sz w:val="24"/>
          <w:szCs w:val="24"/>
        </w:rPr>
        <w:t xml:space="preserve"> – 0.0000</w:t>
      </w:r>
      <w:r>
        <w:rPr>
          <w:rFonts w:ascii="Arial" w:hAnsi="Arial" w:cs="Arial"/>
          <w:sz w:val="24"/>
          <w:szCs w:val="24"/>
        </w:rPr>
        <w:t>051</w:t>
      </w:r>
      <w:r w:rsidRPr="00364823">
        <w:rPr>
          <w:rFonts w:ascii="Arial" w:hAnsi="Arial" w:cs="Arial"/>
          <w:sz w:val="24"/>
          <w:szCs w:val="24"/>
        </w:rPr>
        <w:t>*age</w:t>
      </w:r>
      <w:r w:rsidRPr="00364823">
        <w:rPr>
          <w:rFonts w:ascii="Arial" w:hAnsi="Arial" w:cs="Arial"/>
          <w:sz w:val="24"/>
          <w:szCs w:val="24"/>
          <w:vertAlign w:val="superscript"/>
        </w:rPr>
        <w:t>4</w:t>
      </w:r>
      <w:r>
        <w:rPr>
          <w:rFonts w:ascii="Arial" w:hAnsi="Arial" w:cs="Arial"/>
          <w:sz w:val="24"/>
          <w:szCs w:val="24"/>
          <w:vertAlign w:val="superscript"/>
        </w:rPr>
        <w:t xml:space="preserve"> </w:t>
      </w:r>
      <w:r>
        <w:rPr>
          <w:rFonts w:ascii="Arial" w:hAnsi="Arial" w:cs="Arial"/>
          <w:sz w:val="24"/>
          <w:szCs w:val="24"/>
        </w:rPr>
        <w:t>for girls (age in years).</w:t>
      </w:r>
    </w:p>
    <w:p w14:paraId="419A709B" w14:textId="77777777" w:rsidR="00FD0BB6" w:rsidRDefault="00FD0BB6" w:rsidP="001C2CA5">
      <w:pPr>
        <w:pStyle w:val="MDPI31text"/>
        <w:spacing w:line="480" w:lineRule="auto"/>
        <w:ind w:left="0" w:firstLine="0"/>
        <w:rPr>
          <w:rFonts w:ascii="Arial" w:hAnsi="Arial" w:cs="Arial"/>
          <w:b/>
          <w:bCs/>
          <w:sz w:val="24"/>
          <w:szCs w:val="24"/>
        </w:rPr>
      </w:pPr>
    </w:p>
    <w:p w14:paraId="360C7917" w14:textId="7F3223F5" w:rsidR="006B2C85" w:rsidRPr="00ED1C46" w:rsidRDefault="006B2C85" w:rsidP="001C2CA5">
      <w:pPr>
        <w:pStyle w:val="MDPI31text"/>
        <w:spacing w:line="480" w:lineRule="auto"/>
        <w:ind w:left="0" w:firstLine="0"/>
        <w:rPr>
          <w:rFonts w:ascii="Arial" w:hAnsi="Arial" w:cs="Arial"/>
          <w:b/>
          <w:bCs/>
          <w:sz w:val="24"/>
          <w:szCs w:val="24"/>
        </w:rPr>
      </w:pPr>
      <w:r w:rsidRPr="00ED1C46">
        <w:rPr>
          <w:rFonts w:ascii="Arial" w:hAnsi="Arial" w:cs="Arial"/>
          <w:b/>
          <w:bCs/>
          <w:sz w:val="24"/>
          <w:szCs w:val="24"/>
        </w:rPr>
        <w:t>Supplementary results</w:t>
      </w:r>
    </w:p>
    <w:p w14:paraId="40F65F4D" w14:textId="3171146D" w:rsidR="0037278B" w:rsidRPr="00ED1C46" w:rsidRDefault="00FD0BB6" w:rsidP="0037278B">
      <w:pPr>
        <w:pStyle w:val="MDPI31text"/>
        <w:spacing w:line="480" w:lineRule="auto"/>
        <w:ind w:left="0" w:firstLine="0"/>
        <w:rPr>
          <w:rFonts w:ascii="Arial" w:hAnsi="Arial" w:cs="Arial"/>
          <w:sz w:val="24"/>
          <w:szCs w:val="24"/>
        </w:rPr>
      </w:pPr>
      <w:r>
        <w:rPr>
          <w:rFonts w:ascii="Arial" w:hAnsi="Arial" w:cs="Arial"/>
          <w:sz w:val="24"/>
          <w:szCs w:val="24"/>
        </w:rPr>
        <w:lastRenderedPageBreak/>
        <w:t xml:space="preserve">Among the 849 patients enrolled in our study, 169 had a known mbSCr, </w:t>
      </w:r>
      <w:r w:rsidR="001C2CA5" w:rsidRPr="00ED1C46">
        <w:rPr>
          <w:rFonts w:ascii="Arial" w:hAnsi="Arial" w:cs="Arial"/>
          <w:sz w:val="24"/>
          <w:szCs w:val="24"/>
        </w:rPr>
        <w:t xml:space="preserve">excluding 35 patients </w:t>
      </w:r>
      <w:r>
        <w:rPr>
          <w:rFonts w:ascii="Arial" w:hAnsi="Arial" w:cs="Arial"/>
          <w:sz w:val="24"/>
          <w:szCs w:val="24"/>
        </w:rPr>
        <w:t xml:space="preserve">with pre-existing </w:t>
      </w:r>
      <w:r w:rsidR="001C2CA5" w:rsidRPr="00ED1C46">
        <w:rPr>
          <w:rFonts w:ascii="Arial" w:hAnsi="Arial" w:cs="Arial"/>
          <w:sz w:val="24"/>
          <w:szCs w:val="24"/>
        </w:rPr>
        <w:t>chronic kidney disease</w:t>
      </w:r>
      <w:r>
        <w:rPr>
          <w:rFonts w:ascii="Arial" w:hAnsi="Arial" w:cs="Arial"/>
          <w:sz w:val="24"/>
          <w:szCs w:val="24"/>
        </w:rPr>
        <w:t xml:space="preserve"> (</w:t>
      </w:r>
      <w:r w:rsidR="001C2CA5" w:rsidRPr="00ED1C46">
        <w:rPr>
          <w:rFonts w:ascii="Arial" w:hAnsi="Arial" w:cs="Arial"/>
          <w:sz w:val="24"/>
          <w:szCs w:val="24"/>
        </w:rPr>
        <w:t>CKD</w:t>
      </w:r>
      <w:r>
        <w:rPr>
          <w:rFonts w:ascii="Arial" w:hAnsi="Arial" w:cs="Arial"/>
          <w:sz w:val="24"/>
          <w:szCs w:val="24"/>
        </w:rPr>
        <w:t>)</w:t>
      </w:r>
      <w:r w:rsidR="001C2CA5" w:rsidRPr="00ED1C46">
        <w:rPr>
          <w:rFonts w:ascii="Arial" w:hAnsi="Arial" w:cs="Arial"/>
          <w:sz w:val="24"/>
          <w:szCs w:val="24"/>
        </w:rPr>
        <w:t xml:space="preserve">, </w:t>
      </w:r>
      <w:r>
        <w:rPr>
          <w:rFonts w:ascii="Arial" w:hAnsi="Arial" w:cs="Arial"/>
          <w:sz w:val="24"/>
          <w:szCs w:val="24"/>
        </w:rPr>
        <w:t xml:space="preserve">for whom </w:t>
      </w:r>
      <w:r w:rsidR="001C2CA5" w:rsidRPr="00ED1C46">
        <w:rPr>
          <w:rFonts w:ascii="Arial" w:hAnsi="Arial" w:cs="Arial"/>
          <w:sz w:val="24"/>
          <w:szCs w:val="24"/>
        </w:rPr>
        <w:t>any estimation of basal creatinine would be meaningless.</w:t>
      </w:r>
      <w:r w:rsidR="0037278B" w:rsidRPr="00ED1C46">
        <w:rPr>
          <w:rFonts w:ascii="Arial" w:hAnsi="Arial" w:cs="Arial"/>
          <w:sz w:val="24"/>
          <w:szCs w:val="24"/>
        </w:rPr>
        <w:t xml:space="preserve"> These 169 patients had a median age </w:t>
      </w:r>
      <w:r w:rsidR="006746E2" w:rsidRPr="00ED1C46">
        <w:rPr>
          <w:rFonts w:ascii="Arial" w:hAnsi="Arial" w:cs="Arial"/>
          <w:sz w:val="24"/>
          <w:szCs w:val="24"/>
        </w:rPr>
        <w:t xml:space="preserve">of </w:t>
      </w:r>
      <w:r w:rsidR="0037278B" w:rsidRPr="00ED1C46">
        <w:rPr>
          <w:rFonts w:ascii="Arial" w:hAnsi="Arial" w:cs="Arial"/>
          <w:sz w:val="24"/>
          <w:szCs w:val="24"/>
        </w:rPr>
        <w:t>0.55 years</w:t>
      </w:r>
      <w:r w:rsidR="006746E2" w:rsidRPr="00ED1C46">
        <w:rPr>
          <w:rFonts w:ascii="Arial" w:hAnsi="Arial" w:cs="Arial"/>
          <w:sz w:val="24"/>
          <w:szCs w:val="24"/>
        </w:rPr>
        <w:t xml:space="preserve"> (</w:t>
      </w:r>
      <w:r w:rsidR="0037278B" w:rsidRPr="00ED1C46">
        <w:rPr>
          <w:rFonts w:ascii="Arial" w:hAnsi="Arial" w:cs="Arial"/>
          <w:sz w:val="24"/>
          <w:szCs w:val="24"/>
        </w:rPr>
        <w:t xml:space="preserve">interquartile range, IQR: 1.75) </w:t>
      </w:r>
      <w:r w:rsidR="006746E2" w:rsidRPr="00ED1C46">
        <w:rPr>
          <w:rFonts w:ascii="Arial" w:hAnsi="Arial" w:cs="Arial"/>
          <w:sz w:val="24"/>
          <w:szCs w:val="24"/>
        </w:rPr>
        <w:t xml:space="preserve">while </w:t>
      </w:r>
      <w:r w:rsidR="0037278B" w:rsidRPr="00ED1C46">
        <w:rPr>
          <w:rFonts w:ascii="Arial" w:hAnsi="Arial" w:cs="Arial"/>
          <w:sz w:val="24"/>
          <w:szCs w:val="24"/>
        </w:rPr>
        <w:t xml:space="preserve">the median age of the overall population </w:t>
      </w:r>
      <w:r w:rsidR="006746E2" w:rsidRPr="00ED1C46">
        <w:rPr>
          <w:rFonts w:ascii="Arial" w:hAnsi="Arial" w:cs="Arial"/>
          <w:sz w:val="24"/>
          <w:szCs w:val="24"/>
        </w:rPr>
        <w:t xml:space="preserve">was </w:t>
      </w:r>
      <w:r w:rsidR="0037278B" w:rsidRPr="00ED1C46">
        <w:rPr>
          <w:rFonts w:ascii="Arial" w:hAnsi="Arial" w:cs="Arial"/>
          <w:sz w:val="24"/>
          <w:szCs w:val="24"/>
        </w:rPr>
        <w:t xml:space="preserve">0.5 years </w:t>
      </w:r>
      <w:r w:rsidR="006746E2" w:rsidRPr="00ED1C46">
        <w:rPr>
          <w:rFonts w:ascii="Arial" w:hAnsi="Arial" w:cs="Arial"/>
          <w:sz w:val="24"/>
          <w:szCs w:val="24"/>
        </w:rPr>
        <w:t>(</w:t>
      </w:r>
      <w:r w:rsidR="0037278B" w:rsidRPr="00ED1C46">
        <w:rPr>
          <w:rFonts w:ascii="Arial" w:hAnsi="Arial" w:cs="Arial"/>
          <w:sz w:val="24"/>
          <w:szCs w:val="24"/>
        </w:rPr>
        <w:t>IQR=1.8).</w:t>
      </w:r>
    </w:p>
    <w:p w14:paraId="2AFD13F0" w14:textId="71325F2C" w:rsidR="001C2CA5" w:rsidRPr="00ED1C46" w:rsidRDefault="001C2CA5" w:rsidP="0037278B">
      <w:pPr>
        <w:pStyle w:val="MDPI31text"/>
        <w:spacing w:line="480" w:lineRule="auto"/>
        <w:ind w:left="0" w:firstLine="0"/>
        <w:rPr>
          <w:rFonts w:ascii="Arial" w:hAnsi="Arial" w:cs="Arial"/>
          <w:sz w:val="24"/>
          <w:szCs w:val="24"/>
        </w:rPr>
      </w:pPr>
      <w:r w:rsidRPr="00ED1C46">
        <w:rPr>
          <w:rFonts w:ascii="Arial" w:hAnsi="Arial" w:cs="Arial"/>
          <w:sz w:val="24"/>
          <w:szCs w:val="24"/>
        </w:rPr>
        <w:t xml:space="preserve">Using mbSCr as </w:t>
      </w:r>
      <w:r w:rsidR="007E5DA5" w:rsidRPr="00ED1C46">
        <w:rPr>
          <w:rFonts w:ascii="Arial" w:hAnsi="Arial" w:cs="Arial"/>
          <w:sz w:val="24"/>
          <w:szCs w:val="24"/>
        </w:rPr>
        <w:t>the</w:t>
      </w:r>
      <w:r w:rsidRPr="00ED1C46">
        <w:rPr>
          <w:rFonts w:ascii="Arial" w:hAnsi="Arial" w:cs="Arial"/>
          <w:sz w:val="24"/>
          <w:szCs w:val="24"/>
        </w:rPr>
        <w:t xml:space="preserve"> gold standard in that subse</w:t>
      </w:r>
      <w:r w:rsidR="00DC7D3F" w:rsidRPr="00ED1C46">
        <w:rPr>
          <w:rFonts w:ascii="Arial" w:hAnsi="Arial" w:cs="Arial"/>
          <w:sz w:val="24"/>
          <w:szCs w:val="24"/>
        </w:rPr>
        <w:t>t</w:t>
      </w:r>
      <w:r w:rsidRPr="00ED1C46">
        <w:rPr>
          <w:rFonts w:ascii="Arial" w:hAnsi="Arial" w:cs="Arial"/>
          <w:sz w:val="24"/>
          <w:szCs w:val="24"/>
        </w:rPr>
        <w:t xml:space="preserve">, AKI was diagnosed in 26 out of 169 (15.4%) patients. AKI prevalence diagnosed using ebSCr in the same subgroup was </w:t>
      </w:r>
      <w:r w:rsidR="0037278B" w:rsidRPr="00ED1C46">
        <w:rPr>
          <w:rFonts w:ascii="Arial" w:hAnsi="Arial" w:cs="Arial"/>
          <w:sz w:val="24"/>
          <w:szCs w:val="24"/>
        </w:rPr>
        <w:t>16.0% (</w:t>
      </w:r>
      <w:r w:rsidRPr="00ED1C46">
        <w:rPr>
          <w:rFonts w:ascii="Arial" w:hAnsi="Arial" w:cs="Arial"/>
          <w:sz w:val="24"/>
          <w:szCs w:val="24"/>
        </w:rPr>
        <w:t>27/169 patients</w:t>
      </w:r>
      <w:r w:rsidR="0037278B" w:rsidRPr="00ED1C46">
        <w:rPr>
          <w:rFonts w:ascii="Arial" w:hAnsi="Arial" w:cs="Arial"/>
          <w:sz w:val="24"/>
          <w:szCs w:val="24"/>
        </w:rPr>
        <w:t>) (p=0.88)</w:t>
      </w:r>
      <w:r w:rsidRPr="00ED1C46">
        <w:rPr>
          <w:rFonts w:ascii="Arial" w:hAnsi="Arial" w:cs="Arial"/>
          <w:sz w:val="24"/>
          <w:szCs w:val="24"/>
        </w:rPr>
        <w:t xml:space="preserve">. </w:t>
      </w:r>
    </w:p>
    <w:p w14:paraId="192B0B29" w14:textId="6DFCB660" w:rsidR="00F82925" w:rsidRPr="00ED1C46" w:rsidRDefault="0038280B" w:rsidP="00F82925">
      <w:pPr>
        <w:pStyle w:val="MDPI31text"/>
        <w:spacing w:line="480" w:lineRule="auto"/>
        <w:ind w:left="0" w:firstLine="0"/>
        <w:rPr>
          <w:rFonts w:ascii="Arial" w:hAnsi="Arial" w:cs="Arial"/>
          <w:sz w:val="24"/>
          <w:szCs w:val="24"/>
        </w:rPr>
      </w:pPr>
      <w:r w:rsidRPr="00ED1C46">
        <w:rPr>
          <w:rFonts w:ascii="Arial" w:hAnsi="Arial" w:cs="Arial"/>
          <w:sz w:val="24"/>
          <w:szCs w:val="24"/>
        </w:rPr>
        <w:t xml:space="preserve">The analysis of the confusion matrix is </w:t>
      </w:r>
      <w:r w:rsidR="00FD0BB6">
        <w:rPr>
          <w:rFonts w:ascii="Arial" w:hAnsi="Arial" w:cs="Arial"/>
          <w:sz w:val="24"/>
          <w:szCs w:val="24"/>
        </w:rPr>
        <w:t>presented</w:t>
      </w:r>
      <w:r w:rsidR="00FD0BB6" w:rsidRPr="00ED1C46">
        <w:rPr>
          <w:rFonts w:ascii="Arial" w:hAnsi="Arial" w:cs="Arial"/>
          <w:sz w:val="24"/>
          <w:szCs w:val="24"/>
        </w:rPr>
        <w:t xml:space="preserve"> </w:t>
      </w:r>
      <w:r w:rsidRPr="00ED1C46">
        <w:rPr>
          <w:rFonts w:ascii="Arial" w:hAnsi="Arial" w:cs="Arial"/>
          <w:sz w:val="24"/>
          <w:szCs w:val="24"/>
        </w:rPr>
        <w:t xml:space="preserve">in the Supplementary Table </w:t>
      </w:r>
      <w:r w:rsidR="00034332">
        <w:rPr>
          <w:rFonts w:ascii="Arial" w:hAnsi="Arial" w:cs="Arial"/>
          <w:sz w:val="24"/>
          <w:szCs w:val="24"/>
        </w:rPr>
        <w:t>S</w:t>
      </w:r>
      <w:r w:rsidRPr="00ED1C46">
        <w:rPr>
          <w:rFonts w:ascii="Arial" w:hAnsi="Arial" w:cs="Arial"/>
          <w:sz w:val="24"/>
          <w:szCs w:val="24"/>
        </w:rPr>
        <w:t>1</w:t>
      </w:r>
      <w:r w:rsidR="008E2211" w:rsidRPr="00ED1C46">
        <w:rPr>
          <w:rFonts w:ascii="Arial" w:hAnsi="Arial" w:cs="Arial"/>
          <w:sz w:val="24"/>
          <w:szCs w:val="24"/>
        </w:rPr>
        <w:t>.</w:t>
      </w:r>
      <w:r w:rsidR="00F82925" w:rsidRPr="00ED1C46">
        <w:rPr>
          <w:rFonts w:ascii="Arial" w:hAnsi="Arial" w:cs="Arial"/>
          <w:sz w:val="24"/>
          <w:szCs w:val="24"/>
        </w:rPr>
        <w:t xml:space="preserve"> The correlation between the two methods </w:t>
      </w:r>
      <w:r w:rsidR="00FD0BB6">
        <w:rPr>
          <w:rFonts w:ascii="Arial" w:hAnsi="Arial" w:cs="Arial"/>
          <w:sz w:val="24"/>
          <w:szCs w:val="24"/>
        </w:rPr>
        <w:t>wa</w:t>
      </w:r>
      <w:r w:rsidR="00F82925" w:rsidRPr="00ED1C46">
        <w:rPr>
          <w:rFonts w:ascii="Arial" w:hAnsi="Arial" w:cs="Arial"/>
          <w:sz w:val="24"/>
          <w:szCs w:val="24"/>
        </w:rPr>
        <w:t xml:space="preserve">s very high, </w:t>
      </w:r>
      <w:r w:rsidR="00FD0BB6">
        <w:rPr>
          <w:rFonts w:ascii="Arial" w:hAnsi="Arial" w:cs="Arial"/>
          <w:sz w:val="24"/>
          <w:szCs w:val="24"/>
        </w:rPr>
        <w:t xml:space="preserve">with the </w:t>
      </w:r>
      <w:r w:rsidR="00F82925" w:rsidRPr="00ED1C46">
        <w:rPr>
          <w:rFonts w:ascii="Arial" w:hAnsi="Arial" w:cs="Arial"/>
          <w:sz w:val="24"/>
          <w:szCs w:val="24"/>
        </w:rPr>
        <w:t xml:space="preserve">ebSCr </w:t>
      </w:r>
      <w:r w:rsidR="00FD0BB6">
        <w:rPr>
          <w:rFonts w:ascii="Arial" w:hAnsi="Arial" w:cs="Arial"/>
          <w:sz w:val="24"/>
          <w:szCs w:val="24"/>
        </w:rPr>
        <w:t xml:space="preserve">demonstrating </w:t>
      </w:r>
      <w:r w:rsidR="00F82925" w:rsidRPr="00ED1C46">
        <w:rPr>
          <w:rFonts w:ascii="Arial" w:hAnsi="Arial" w:cs="Arial"/>
          <w:sz w:val="24"/>
          <w:szCs w:val="24"/>
        </w:rPr>
        <w:t xml:space="preserve">a very high accuracy (94.7%), and very good values of sensitivity, specificity, positive predictive value, negative predictive value, positive likelihood ratio and negative likelihood ratio </w:t>
      </w:r>
      <w:r w:rsidR="003063C1" w:rsidRPr="00ED1C46">
        <w:rPr>
          <w:rFonts w:ascii="Arial" w:hAnsi="Arial" w:cs="Arial"/>
          <w:sz w:val="24"/>
          <w:szCs w:val="24"/>
        </w:rPr>
        <w:t>(</w:t>
      </w:r>
      <w:r w:rsidR="00F82925" w:rsidRPr="00ED1C46">
        <w:rPr>
          <w:rFonts w:ascii="Arial" w:hAnsi="Arial" w:cs="Arial"/>
          <w:sz w:val="24"/>
          <w:szCs w:val="24"/>
        </w:rPr>
        <w:t xml:space="preserve">Supplementary Table </w:t>
      </w:r>
      <w:r w:rsidR="00034332">
        <w:rPr>
          <w:rFonts w:ascii="Arial" w:hAnsi="Arial" w:cs="Arial"/>
          <w:sz w:val="24"/>
          <w:szCs w:val="24"/>
        </w:rPr>
        <w:t>S</w:t>
      </w:r>
      <w:r w:rsidR="00F82925" w:rsidRPr="00ED1C46">
        <w:rPr>
          <w:rFonts w:ascii="Arial" w:hAnsi="Arial" w:cs="Arial"/>
          <w:sz w:val="24"/>
          <w:szCs w:val="24"/>
        </w:rPr>
        <w:t>1). Cohen kappa was 0.79.</w:t>
      </w:r>
    </w:p>
    <w:p w14:paraId="5CA3E6A1" w14:textId="77777777" w:rsidR="00F82925" w:rsidRPr="00ED1C46" w:rsidRDefault="00F82925" w:rsidP="008E2211">
      <w:pPr>
        <w:pStyle w:val="MDPI31text"/>
        <w:spacing w:line="480" w:lineRule="auto"/>
        <w:ind w:left="0" w:firstLine="0"/>
        <w:rPr>
          <w:rFonts w:ascii="Arial" w:hAnsi="Arial" w:cs="Arial"/>
          <w:b/>
          <w:bCs/>
          <w:sz w:val="24"/>
          <w:szCs w:val="24"/>
        </w:rPr>
      </w:pPr>
    </w:p>
    <w:p w14:paraId="6DA0159D" w14:textId="207964CD" w:rsidR="008E2211" w:rsidRPr="00ED1C46" w:rsidRDefault="008E2211" w:rsidP="008E2211">
      <w:pPr>
        <w:pStyle w:val="MDPI31text"/>
        <w:spacing w:line="480" w:lineRule="auto"/>
        <w:ind w:left="0" w:firstLine="0"/>
        <w:rPr>
          <w:rFonts w:ascii="Arial" w:hAnsi="Arial" w:cs="Arial"/>
          <w:sz w:val="24"/>
          <w:szCs w:val="24"/>
        </w:rPr>
      </w:pPr>
      <w:proofErr w:type="gramStart"/>
      <w:r w:rsidRPr="00ED1C46">
        <w:rPr>
          <w:rFonts w:ascii="Arial" w:hAnsi="Arial" w:cs="Arial"/>
          <w:b/>
          <w:bCs/>
          <w:sz w:val="24"/>
          <w:szCs w:val="24"/>
        </w:rPr>
        <w:t xml:space="preserve">Supplementary Table </w:t>
      </w:r>
      <w:r w:rsidR="00034332">
        <w:rPr>
          <w:rFonts w:ascii="Arial" w:hAnsi="Arial" w:cs="Arial"/>
          <w:b/>
          <w:bCs/>
          <w:sz w:val="24"/>
          <w:szCs w:val="24"/>
        </w:rPr>
        <w:t>S</w:t>
      </w:r>
      <w:r w:rsidRPr="00ED1C46">
        <w:rPr>
          <w:rFonts w:ascii="Arial" w:hAnsi="Arial" w:cs="Arial"/>
          <w:b/>
          <w:bCs/>
          <w:sz w:val="24"/>
          <w:szCs w:val="24"/>
        </w:rPr>
        <w:t>1.</w:t>
      </w:r>
      <w:proofErr w:type="gramEnd"/>
      <w:r w:rsidRPr="00ED1C46">
        <w:rPr>
          <w:rFonts w:ascii="Arial" w:hAnsi="Arial" w:cs="Arial"/>
          <w:b/>
          <w:bCs/>
          <w:sz w:val="24"/>
          <w:szCs w:val="24"/>
        </w:rPr>
        <w:t xml:space="preserve"> Confusion matrix analysis of ebSCr diagnostic performance </w:t>
      </w:r>
      <w:r w:rsidR="00121D58">
        <w:rPr>
          <w:rFonts w:ascii="Arial" w:hAnsi="Arial" w:cs="Arial"/>
          <w:b/>
          <w:bCs/>
          <w:sz w:val="24"/>
          <w:szCs w:val="24"/>
        </w:rPr>
        <w:t>for</w:t>
      </w:r>
      <w:r w:rsidRPr="00ED1C46">
        <w:rPr>
          <w:rFonts w:ascii="Arial" w:hAnsi="Arial" w:cs="Arial"/>
          <w:b/>
          <w:bCs/>
          <w:sz w:val="24"/>
          <w:szCs w:val="24"/>
        </w:rPr>
        <w:t xml:space="preserve"> AKI compared with mbSCr</w:t>
      </w:r>
    </w:p>
    <w:tbl>
      <w:tblPr>
        <w:tblStyle w:val="Tabellrutnt"/>
        <w:tblW w:w="0" w:type="auto"/>
        <w:tblLook w:val="04A0" w:firstRow="1" w:lastRow="0" w:firstColumn="1" w:lastColumn="0" w:noHBand="0" w:noVBand="1"/>
      </w:tblPr>
      <w:tblGrid>
        <w:gridCol w:w="2407"/>
        <w:gridCol w:w="2407"/>
        <w:gridCol w:w="2407"/>
        <w:gridCol w:w="2407"/>
      </w:tblGrid>
      <w:tr w:rsidR="009514DB" w:rsidRPr="00ED1C46" w14:paraId="52853745" w14:textId="77777777" w:rsidTr="009514DB">
        <w:tc>
          <w:tcPr>
            <w:tcW w:w="2407" w:type="dxa"/>
          </w:tcPr>
          <w:p w14:paraId="5ED74E88" w14:textId="77777777"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eastAsia="en-US" w:bidi="ar-SA"/>
                <w14:ligatures w14:val="standardContextual"/>
              </w:rPr>
            </w:pPr>
          </w:p>
        </w:tc>
        <w:tc>
          <w:tcPr>
            <w:tcW w:w="2407" w:type="dxa"/>
          </w:tcPr>
          <w:p w14:paraId="04ECA7F4" w14:textId="1904ED8F" w:rsidR="009514DB" w:rsidRPr="00ED1C46" w:rsidRDefault="009514DB" w:rsidP="009514DB">
            <w:pPr>
              <w:pStyle w:val="MDPI31text"/>
              <w:spacing w:line="480" w:lineRule="auto"/>
              <w:ind w:left="0" w:firstLine="0"/>
              <w:jc w:val="center"/>
              <w:rPr>
                <w:rFonts w:ascii="Arial" w:eastAsiaTheme="minorHAnsi" w:hAnsi="Arial" w:cs="Arial"/>
                <w:b/>
                <w:bCs/>
                <w:snapToGrid/>
                <w:color w:val="auto"/>
                <w:kern w:val="2"/>
                <w:sz w:val="24"/>
                <w:szCs w:val="24"/>
                <w:lang w:val="it-IT" w:eastAsia="en-US" w:bidi="ar-SA"/>
                <w14:ligatures w14:val="standardContextual"/>
              </w:rPr>
            </w:pPr>
            <w:r w:rsidRPr="00ED1C46">
              <w:rPr>
                <w:rFonts w:ascii="Arial" w:eastAsiaTheme="minorHAnsi" w:hAnsi="Arial" w:cs="Arial"/>
                <w:b/>
                <w:bCs/>
                <w:snapToGrid/>
                <w:color w:val="auto"/>
                <w:kern w:val="2"/>
                <w:sz w:val="24"/>
                <w:szCs w:val="24"/>
                <w:lang w:val="it-IT" w:eastAsia="en-US" w:bidi="ar-SA"/>
                <w14:ligatures w14:val="standardContextual"/>
              </w:rPr>
              <w:t>AKI +</w:t>
            </w:r>
          </w:p>
        </w:tc>
        <w:tc>
          <w:tcPr>
            <w:tcW w:w="2407" w:type="dxa"/>
          </w:tcPr>
          <w:p w14:paraId="05F3E860" w14:textId="206A5902" w:rsidR="009514DB" w:rsidRPr="00ED1C46" w:rsidRDefault="009514DB" w:rsidP="009514DB">
            <w:pPr>
              <w:pStyle w:val="MDPI31text"/>
              <w:spacing w:line="480" w:lineRule="auto"/>
              <w:ind w:left="0" w:firstLine="0"/>
              <w:jc w:val="center"/>
              <w:rPr>
                <w:rFonts w:ascii="Arial" w:eastAsiaTheme="minorHAnsi" w:hAnsi="Arial" w:cs="Arial"/>
                <w:b/>
                <w:bCs/>
                <w:snapToGrid/>
                <w:color w:val="auto"/>
                <w:kern w:val="2"/>
                <w:sz w:val="24"/>
                <w:szCs w:val="24"/>
                <w:lang w:val="it-IT" w:eastAsia="en-US" w:bidi="ar-SA"/>
                <w14:ligatures w14:val="standardContextual"/>
              </w:rPr>
            </w:pPr>
            <w:r w:rsidRPr="00ED1C46">
              <w:rPr>
                <w:rFonts w:ascii="Arial" w:eastAsiaTheme="minorHAnsi" w:hAnsi="Arial" w:cs="Arial"/>
                <w:b/>
                <w:bCs/>
                <w:snapToGrid/>
                <w:color w:val="auto"/>
                <w:kern w:val="2"/>
                <w:sz w:val="24"/>
                <w:szCs w:val="24"/>
                <w:lang w:val="it-IT" w:eastAsia="en-US" w:bidi="ar-SA"/>
                <w14:ligatures w14:val="standardContextual"/>
              </w:rPr>
              <w:t>AKI –</w:t>
            </w:r>
          </w:p>
        </w:tc>
        <w:tc>
          <w:tcPr>
            <w:tcW w:w="2407" w:type="dxa"/>
          </w:tcPr>
          <w:p w14:paraId="79266F35" w14:textId="04BBCE80" w:rsidR="009514DB" w:rsidRPr="00ED1C46" w:rsidRDefault="009514DB" w:rsidP="009514DB">
            <w:pPr>
              <w:pStyle w:val="MDPI31text"/>
              <w:spacing w:line="480" w:lineRule="auto"/>
              <w:ind w:left="0" w:firstLine="0"/>
              <w:jc w:val="center"/>
              <w:rPr>
                <w:rFonts w:ascii="Arial" w:eastAsiaTheme="minorHAnsi" w:hAnsi="Arial" w:cs="Arial"/>
                <w:b/>
                <w:bCs/>
                <w:snapToGrid/>
                <w:color w:val="auto"/>
                <w:kern w:val="2"/>
                <w:sz w:val="24"/>
                <w:szCs w:val="24"/>
                <w:lang w:val="it-IT" w:eastAsia="en-US" w:bidi="ar-SA"/>
                <w14:ligatures w14:val="standardContextual"/>
              </w:rPr>
            </w:pPr>
            <w:r w:rsidRPr="00ED1C46">
              <w:rPr>
                <w:rFonts w:ascii="Arial" w:eastAsiaTheme="minorHAnsi" w:hAnsi="Arial" w:cs="Arial"/>
                <w:b/>
                <w:bCs/>
                <w:snapToGrid/>
                <w:color w:val="auto"/>
                <w:kern w:val="2"/>
                <w:sz w:val="24"/>
                <w:szCs w:val="24"/>
                <w:lang w:val="it-IT" w:eastAsia="en-US" w:bidi="ar-SA"/>
                <w14:ligatures w14:val="standardContextual"/>
              </w:rPr>
              <w:t>Total</w:t>
            </w:r>
          </w:p>
        </w:tc>
      </w:tr>
      <w:tr w:rsidR="009514DB" w:rsidRPr="00ED1C46" w14:paraId="1DDB1929" w14:textId="77777777" w:rsidTr="009514DB">
        <w:tc>
          <w:tcPr>
            <w:tcW w:w="2407" w:type="dxa"/>
          </w:tcPr>
          <w:p w14:paraId="5BA62503" w14:textId="77D297CB" w:rsidR="009514DB" w:rsidRPr="00ED1C46" w:rsidRDefault="009514DB" w:rsidP="009514DB">
            <w:pPr>
              <w:pStyle w:val="MDPI31text"/>
              <w:spacing w:line="480" w:lineRule="auto"/>
              <w:ind w:left="0" w:firstLine="0"/>
              <w:jc w:val="center"/>
              <w:rPr>
                <w:rFonts w:ascii="Arial" w:eastAsiaTheme="minorHAnsi" w:hAnsi="Arial" w:cs="Arial"/>
                <w:b/>
                <w:bCs/>
                <w:snapToGrid/>
                <w:color w:val="auto"/>
                <w:kern w:val="2"/>
                <w:sz w:val="24"/>
                <w:szCs w:val="24"/>
                <w:lang w:val="it-IT" w:eastAsia="en-US" w:bidi="ar-SA"/>
                <w14:ligatures w14:val="standardContextual"/>
              </w:rPr>
            </w:pPr>
            <w:r w:rsidRPr="00ED1C46">
              <w:rPr>
                <w:rFonts w:ascii="Arial" w:eastAsiaTheme="minorHAnsi" w:hAnsi="Arial" w:cs="Arial"/>
                <w:b/>
                <w:bCs/>
                <w:snapToGrid/>
                <w:color w:val="auto"/>
                <w:kern w:val="2"/>
                <w:sz w:val="24"/>
                <w:szCs w:val="24"/>
                <w:lang w:val="it-IT" w:eastAsia="en-US" w:bidi="ar-SA"/>
                <w14:ligatures w14:val="standardContextual"/>
              </w:rPr>
              <w:t>Test +</w:t>
            </w:r>
          </w:p>
        </w:tc>
        <w:tc>
          <w:tcPr>
            <w:tcW w:w="2407" w:type="dxa"/>
          </w:tcPr>
          <w:p w14:paraId="0FE6C0DB" w14:textId="0CE61196"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val="it-IT" w:eastAsia="en-US" w:bidi="ar-SA"/>
                <w14:ligatures w14:val="standardContextual"/>
              </w:rPr>
            </w:pPr>
            <w:r w:rsidRPr="00ED1C46">
              <w:rPr>
                <w:rFonts w:ascii="Arial" w:eastAsiaTheme="minorHAnsi" w:hAnsi="Arial" w:cs="Arial"/>
                <w:snapToGrid/>
                <w:color w:val="auto"/>
                <w:kern w:val="2"/>
                <w:sz w:val="24"/>
                <w:szCs w:val="24"/>
                <w:lang w:val="it-IT" w:eastAsia="en-US" w:bidi="ar-SA"/>
                <w14:ligatures w14:val="standardContextual"/>
              </w:rPr>
              <w:t>22</w:t>
            </w:r>
          </w:p>
        </w:tc>
        <w:tc>
          <w:tcPr>
            <w:tcW w:w="2407" w:type="dxa"/>
          </w:tcPr>
          <w:p w14:paraId="22814017" w14:textId="79F1A3E1"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val="it-IT" w:eastAsia="en-US" w:bidi="ar-SA"/>
                <w14:ligatures w14:val="standardContextual"/>
              </w:rPr>
            </w:pPr>
            <w:r w:rsidRPr="00ED1C46">
              <w:rPr>
                <w:rFonts w:ascii="Arial" w:eastAsiaTheme="minorHAnsi" w:hAnsi="Arial" w:cs="Arial"/>
                <w:snapToGrid/>
                <w:color w:val="auto"/>
                <w:kern w:val="2"/>
                <w:sz w:val="24"/>
                <w:szCs w:val="24"/>
                <w:lang w:val="it-IT" w:eastAsia="en-US" w:bidi="ar-SA"/>
                <w14:ligatures w14:val="standardContextual"/>
              </w:rPr>
              <w:t>5</w:t>
            </w:r>
          </w:p>
        </w:tc>
        <w:tc>
          <w:tcPr>
            <w:tcW w:w="2407" w:type="dxa"/>
          </w:tcPr>
          <w:p w14:paraId="5384847A" w14:textId="6F402145"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val="it-IT" w:eastAsia="en-US" w:bidi="ar-SA"/>
                <w14:ligatures w14:val="standardContextual"/>
              </w:rPr>
            </w:pPr>
            <w:r w:rsidRPr="00ED1C46">
              <w:rPr>
                <w:rFonts w:ascii="Arial" w:eastAsiaTheme="minorHAnsi" w:hAnsi="Arial" w:cs="Arial"/>
                <w:snapToGrid/>
                <w:color w:val="auto"/>
                <w:kern w:val="2"/>
                <w:sz w:val="24"/>
                <w:szCs w:val="24"/>
                <w:lang w:val="it-IT" w:eastAsia="en-US" w:bidi="ar-SA"/>
                <w14:ligatures w14:val="standardContextual"/>
              </w:rPr>
              <w:t>27</w:t>
            </w:r>
          </w:p>
        </w:tc>
      </w:tr>
      <w:tr w:rsidR="009514DB" w:rsidRPr="00ED1C46" w14:paraId="1C94731D" w14:textId="77777777" w:rsidTr="009514DB">
        <w:tc>
          <w:tcPr>
            <w:tcW w:w="2407" w:type="dxa"/>
          </w:tcPr>
          <w:p w14:paraId="7960EF64" w14:textId="6160B4E9" w:rsidR="009514DB" w:rsidRPr="00ED1C46" w:rsidRDefault="009514DB" w:rsidP="009514DB">
            <w:pPr>
              <w:pStyle w:val="MDPI31text"/>
              <w:spacing w:line="480" w:lineRule="auto"/>
              <w:ind w:left="0" w:firstLine="0"/>
              <w:jc w:val="center"/>
              <w:rPr>
                <w:rFonts w:ascii="Arial" w:eastAsiaTheme="minorHAnsi" w:hAnsi="Arial" w:cs="Arial"/>
                <w:b/>
                <w:bCs/>
                <w:snapToGrid/>
                <w:color w:val="auto"/>
                <w:kern w:val="2"/>
                <w:sz w:val="24"/>
                <w:szCs w:val="24"/>
                <w:lang w:val="it-IT" w:eastAsia="en-US" w:bidi="ar-SA"/>
                <w14:ligatures w14:val="standardContextual"/>
              </w:rPr>
            </w:pPr>
            <w:r w:rsidRPr="00ED1C46">
              <w:rPr>
                <w:rFonts w:ascii="Arial" w:eastAsiaTheme="minorHAnsi" w:hAnsi="Arial" w:cs="Arial"/>
                <w:b/>
                <w:bCs/>
                <w:snapToGrid/>
                <w:color w:val="auto"/>
                <w:kern w:val="2"/>
                <w:sz w:val="24"/>
                <w:szCs w:val="24"/>
                <w:lang w:val="it-IT" w:eastAsia="en-US" w:bidi="ar-SA"/>
                <w14:ligatures w14:val="standardContextual"/>
              </w:rPr>
              <w:t>Test –</w:t>
            </w:r>
          </w:p>
        </w:tc>
        <w:tc>
          <w:tcPr>
            <w:tcW w:w="2407" w:type="dxa"/>
          </w:tcPr>
          <w:p w14:paraId="16CCC3B2" w14:textId="713D69E0"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val="it-IT" w:eastAsia="en-US" w:bidi="ar-SA"/>
                <w14:ligatures w14:val="standardContextual"/>
              </w:rPr>
            </w:pPr>
            <w:r w:rsidRPr="00ED1C46">
              <w:rPr>
                <w:rFonts w:ascii="Arial" w:eastAsiaTheme="minorHAnsi" w:hAnsi="Arial" w:cs="Arial"/>
                <w:snapToGrid/>
                <w:color w:val="auto"/>
                <w:kern w:val="2"/>
                <w:sz w:val="24"/>
                <w:szCs w:val="24"/>
                <w:lang w:val="it-IT" w:eastAsia="en-US" w:bidi="ar-SA"/>
                <w14:ligatures w14:val="standardContextual"/>
              </w:rPr>
              <w:t>4</w:t>
            </w:r>
          </w:p>
        </w:tc>
        <w:tc>
          <w:tcPr>
            <w:tcW w:w="2407" w:type="dxa"/>
          </w:tcPr>
          <w:p w14:paraId="487C3A96" w14:textId="020C269C"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val="it-IT" w:eastAsia="en-US" w:bidi="ar-SA"/>
                <w14:ligatures w14:val="standardContextual"/>
              </w:rPr>
            </w:pPr>
            <w:r w:rsidRPr="00ED1C46">
              <w:rPr>
                <w:rFonts w:ascii="Arial" w:eastAsiaTheme="minorHAnsi" w:hAnsi="Arial" w:cs="Arial"/>
                <w:snapToGrid/>
                <w:color w:val="auto"/>
                <w:kern w:val="2"/>
                <w:sz w:val="24"/>
                <w:szCs w:val="24"/>
                <w:lang w:val="it-IT" w:eastAsia="en-US" w:bidi="ar-SA"/>
                <w14:ligatures w14:val="standardContextual"/>
              </w:rPr>
              <w:t>138</w:t>
            </w:r>
          </w:p>
        </w:tc>
        <w:tc>
          <w:tcPr>
            <w:tcW w:w="2407" w:type="dxa"/>
          </w:tcPr>
          <w:p w14:paraId="60E06BCD" w14:textId="3546F601"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val="it-IT" w:eastAsia="en-US" w:bidi="ar-SA"/>
                <w14:ligatures w14:val="standardContextual"/>
              </w:rPr>
            </w:pPr>
            <w:r w:rsidRPr="00ED1C46">
              <w:rPr>
                <w:rFonts w:ascii="Arial" w:eastAsiaTheme="minorHAnsi" w:hAnsi="Arial" w:cs="Arial"/>
                <w:snapToGrid/>
                <w:color w:val="auto"/>
                <w:kern w:val="2"/>
                <w:sz w:val="24"/>
                <w:szCs w:val="24"/>
                <w:lang w:val="it-IT" w:eastAsia="en-US" w:bidi="ar-SA"/>
                <w14:ligatures w14:val="standardContextual"/>
              </w:rPr>
              <w:t>142</w:t>
            </w:r>
          </w:p>
        </w:tc>
      </w:tr>
      <w:tr w:rsidR="009514DB" w:rsidRPr="00ED1C46" w14:paraId="73F5E1D2" w14:textId="77777777" w:rsidTr="009514DB">
        <w:tc>
          <w:tcPr>
            <w:tcW w:w="2407" w:type="dxa"/>
          </w:tcPr>
          <w:p w14:paraId="0610D8A2" w14:textId="461752BD" w:rsidR="009514DB" w:rsidRPr="00ED1C46" w:rsidRDefault="009514DB" w:rsidP="009514DB">
            <w:pPr>
              <w:pStyle w:val="MDPI31text"/>
              <w:spacing w:line="480" w:lineRule="auto"/>
              <w:ind w:left="0" w:firstLine="0"/>
              <w:jc w:val="center"/>
              <w:rPr>
                <w:rFonts w:ascii="Arial" w:eastAsiaTheme="minorHAnsi" w:hAnsi="Arial" w:cs="Arial"/>
                <w:b/>
                <w:bCs/>
                <w:snapToGrid/>
                <w:color w:val="auto"/>
                <w:kern w:val="2"/>
                <w:sz w:val="24"/>
                <w:szCs w:val="24"/>
                <w:lang w:val="it-IT" w:eastAsia="en-US" w:bidi="ar-SA"/>
                <w14:ligatures w14:val="standardContextual"/>
              </w:rPr>
            </w:pPr>
            <w:r w:rsidRPr="00ED1C46">
              <w:rPr>
                <w:rFonts w:ascii="Arial" w:eastAsiaTheme="minorHAnsi" w:hAnsi="Arial" w:cs="Arial"/>
                <w:b/>
                <w:bCs/>
                <w:snapToGrid/>
                <w:color w:val="auto"/>
                <w:kern w:val="2"/>
                <w:sz w:val="24"/>
                <w:szCs w:val="24"/>
                <w:lang w:val="it-IT" w:eastAsia="en-US" w:bidi="ar-SA"/>
                <w14:ligatures w14:val="standardContextual"/>
              </w:rPr>
              <w:t>Total</w:t>
            </w:r>
          </w:p>
        </w:tc>
        <w:tc>
          <w:tcPr>
            <w:tcW w:w="2407" w:type="dxa"/>
          </w:tcPr>
          <w:p w14:paraId="4F538210" w14:textId="7AEE61E8"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val="it-IT" w:eastAsia="en-US" w:bidi="ar-SA"/>
                <w14:ligatures w14:val="standardContextual"/>
              </w:rPr>
            </w:pPr>
            <w:r w:rsidRPr="00ED1C46">
              <w:rPr>
                <w:rFonts w:ascii="Arial" w:eastAsiaTheme="minorHAnsi" w:hAnsi="Arial" w:cs="Arial"/>
                <w:snapToGrid/>
                <w:color w:val="auto"/>
                <w:kern w:val="2"/>
                <w:sz w:val="24"/>
                <w:szCs w:val="24"/>
                <w:lang w:val="it-IT" w:eastAsia="en-US" w:bidi="ar-SA"/>
                <w14:ligatures w14:val="standardContextual"/>
              </w:rPr>
              <w:t>26</w:t>
            </w:r>
          </w:p>
        </w:tc>
        <w:tc>
          <w:tcPr>
            <w:tcW w:w="2407" w:type="dxa"/>
          </w:tcPr>
          <w:p w14:paraId="51B17707" w14:textId="2BA60C3D"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val="it-IT" w:eastAsia="en-US" w:bidi="ar-SA"/>
                <w14:ligatures w14:val="standardContextual"/>
              </w:rPr>
            </w:pPr>
            <w:r w:rsidRPr="00ED1C46">
              <w:rPr>
                <w:rFonts w:ascii="Arial" w:eastAsiaTheme="minorHAnsi" w:hAnsi="Arial" w:cs="Arial"/>
                <w:snapToGrid/>
                <w:color w:val="auto"/>
                <w:kern w:val="2"/>
                <w:sz w:val="24"/>
                <w:szCs w:val="24"/>
                <w:lang w:val="it-IT" w:eastAsia="en-US" w:bidi="ar-SA"/>
                <w14:ligatures w14:val="standardContextual"/>
              </w:rPr>
              <w:t>143</w:t>
            </w:r>
          </w:p>
        </w:tc>
        <w:tc>
          <w:tcPr>
            <w:tcW w:w="2407" w:type="dxa"/>
          </w:tcPr>
          <w:p w14:paraId="203031DE" w14:textId="7FCF506B" w:rsidR="009514DB" w:rsidRPr="00ED1C46" w:rsidRDefault="009514DB" w:rsidP="009514DB">
            <w:pPr>
              <w:pStyle w:val="MDPI31text"/>
              <w:spacing w:line="480" w:lineRule="auto"/>
              <w:ind w:left="0" w:firstLine="0"/>
              <w:jc w:val="center"/>
              <w:rPr>
                <w:rFonts w:ascii="Arial" w:eastAsiaTheme="minorHAnsi" w:hAnsi="Arial" w:cs="Arial"/>
                <w:snapToGrid/>
                <w:color w:val="auto"/>
                <w:kern w:val="2"/>
                <w:sz w:val="24"/>
                <w:szCs w:val="24"/>
                <w:lang w:val="it-IT" w:eastAsia="en-US" w:bidi="ar-SA"/>
                <w14:ligatures w14:val="standardContextual"/>
              </w:rPr>
            </w:pPr>
            <w:r w:rsidRPr="00ED1C46">
              <w:rPr>
                <w:rFonts w:ascii="Arial" w:eastAsiaTheme="minorHAnsi" w:hAnsi="Arial" w:cs="Arial"/>
                <w:snapToGrid/>
                <w:color w:val="auto"/>
                <w:kern w:val="2"/>
                <w:sz w:val="24"/>
                <w:szCs w:val="24"/>
                <w:lang w:val="it-IT" w:eastAsia="en-US" w:bidi="ar-SA"/>
                <w14:ligatures w14:val="standardContextual"/>
              </w:rPr>
              <w:t>169</w:t>
            </w:r>
          </w:p>
        </w:tc>
      </w:tr>
      <w:tr w:rsidR="009514DB" w:rsidRPr="00D52560" w14:paraId="24B17400" w14:textId="77777777" w:rsidTr="00AC1C70">
        <w:tc>
          <w:tcPr>
            <w:tcW w:w="9628" w:type="dxa"/>
            <w:gridSpan w:val="4"/>
          </w:tcPr>
          <w:p w14:paraId="1BA0045A"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p>
          <w:p w14:paraId="1EC5481E" w14:textId="652DC1AD"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Point estimates and 95% Confidence Intervals (CIs):</w:t>
            </w:r>
          </w:p>
          <w:p w14:paraId="116C71D4"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w:t>
            </w:r>
          </w:p>
          <w:p w14:paraId="08579E12"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Apparent prevalence *                  0.160 (0.108, 0.224)</w:t>
            </w:r>
          </w:p>
          <w:p w14:paraId="2457DA07"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True prevalence *                      0.154 (0.103, 0.217)</w:t>
            </w:r>
          </w:p>
          <w:p w14:paraId="59540EF1"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Sensitivity *                          0.846 (0.651, 0.956)</w:t>
            </w:r>
          </w:p>
          <w:p w14:paraId="08CE0992"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Specificity *                          0.965 (0.920, 0.989)</w:t>
            </w:r>
          </w:p>
          <w:p w14:paraId="6351ED98"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Positive predictive value *            0.815 (0.619, 0.937)</w:t>
            </w:r>
          </w:p>
          <w:p w14:paraId="5914CBF7"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Negative predictive value *            0.972 (0.929, 0.992)</w:t>
            </w:r>
          </w:p>
          <w:p w14:paraId="0DE1A437"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Positive likelihood ratio              24.200 (10.073, 58.141)</w:t>
            </w:r>
          </w:p>
          <w:p w14:paraId="24659186"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Negative likelihood ratio              0.159 (0.065, 0.393)</w:t>
            </w:r>
          </w:p>
          <w:p w14:paraId="678C765A"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lastRenderedPageBreak/>
              <w:t>False T+ proportion for true D- *      0.035 (0.011, 0.080)</w:t>
            </w:r>
          </w:p>
          <w:p w14:paraId="12A54F23"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False T- proportion for true D+ *      0.154 (0.044, 0.349)</w:t>
            </w:r>
          </w:p>
          <w:p w14:paraId="6AD9AF87"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False T+ proportion for T+ *           0.185 (0.063, 0.381)</w:t>
            </w:r>
          </w:p>
          <w:p w14:paraId="3C2FC8A0"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False T- proportion for T- *           0.028 (0.008, 0.071)</w:t>
            </w:r>
          </w:p>
          <w:p w14:paraId="10308243"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Correctly classified proportion *      0.947 (0.901, 0.975)</w:t>
            </w:r>
          </w:p>
          <w:p w14:paraId="3001F98A"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w:t>
            </w:r>
          </w:p>
          <w:p w14:paraId="56CEFB9F"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 Exact CIs</w:t>
            </w:r>
          </w:p>
          <w:p w14:paraId="5D97F075" w14:textId="77777777" w:rsidR="009514DB" w:rsidRPr="00ED1C46" w:rsidRDefault="009514DB" w:rsidP="009514DB">
            <w:pPr>
              <w:pStyle w:val="HTML-frformaterad"/>
              <w:shd w:val="clear" w:color="auto" w:fill="FFFFFF"/>
              <w:wordWrap w:val="0"/>
              <w:rPr>
                <w:rStyle w:val="gnd-iwgdh3b"/>
                <w:rFonts w:ascii="Arial" w:hAnsi="Arial" w:cs="Arial"/>
                <w:color w:val="000000"/>
                <w:sz w:val="24"/>
                <w:szCs w:val="24"/>
                <w:bdr w:val="none" w:sz="0" w:space="0" w:color="auto" w:frame="1"/>
                <w:lang w:val="en-US"/>
              </w:rPr>
            </w:pPr>
          </w:p>
          <w:p w14:paraId="478EB081" w14:textId="77777777" w:rsidR="009514DB" w:rsidRPr="00ED1C46" w:rsidRDefault="009514DB" w:rsidP="00195C2F">
            <w:pPr>
              <w:pStyle w:val="HTML-frformaterad"/>
              <w:shd w:val="clear" w:color="auto" w:fill="FFFFFF"/>
              <w:wordWrap w:val="0"/>
              <w:rPr>
                <w:rFonts w:ascii="Arial" w:hAnsi="Arial" w:cs="Arial"/>
                <w:color w:val="000000"/>
                <w:sz w:val="24"/>
                <w:szCs w:val="24"/>
                <w:bdr w:val="none" w:sz="0" w:space="0" w:color="auto" w:frame="1"/>
                <w:lang w:val="en-US"/>
              </w:rPr>
            </w:pPr>
            <w:r w:rsidRPr="00ED1C46">
              <w:rPr>
                <w:rStyle w:val="gnd-iwgdh3b"/>
                <w:rFonts w:ascii="Arial" w:hAnsi="Arial" w:cs="Arial"/>
                <w:color w:val="000000"/>
                <w:sz w:val="24"/>
                <w:szCs w:val="24"/>
                <w:bdr w:val="none" w:sz="0" w:space="0" w:color="auto" w:frame="1"/>
                <w:lang w:val="en-US"/>
              </w:rPr>
              <w:t xml:space="preserve">p </w:t>
            </w:r>
            <w:r w:rsidRPr="00ED1C46">
              <w:rPr>
                <w:rFonts w:ascii="Arial" w:hAnsi="Arial" w:cs="Arial"/>
                <w:color w:val="000000"/>
                <w:sz w:val="24"/>
                <w:szCs w:val="24"/>
                <w:bdr w:val="none" w:sz="0" w:space="0" w:color="auto" w:frame="1"/>
                <w:lang w:val="en-US"/>
              </w:rPr>
              <w:t>&lt; 2.2e-16</w:t>
            </w:r>
          </w:p>
          <w:p w14:paraId="3B32BE0B" w14:textId="364464BA" w:rsidR="00195C2F" w:rsidRPr="00ED1C46" w:rsidRDefault="00195C2F" w:rsidP="00195C2F">
            <w:pPr>
              <w:pStyle w:val="HTML-frformaterad"/>
              <w:shd w:val="clear" w:color="auto" w:fill="FFFFFF"/>
              <w:wordWrap w:val="0"/>
              <w:rPr>
                <w:rFonts w:ascii="Arial" w:hAnsi="Arial" w:cs="Arial"/>
                <w:color w:val="000000"/>
                <w:sz w:val="24"/>
                <w:szCs w:val="24"/>
                <w:lang w:val="en-US"/>
              </w:rPr>
            </w:pPr>
          </w:p>
        </w:tc>
      </w:tr>
    </w:tbl>
    <w:p w14:paraId="59A4211C" w14:textId="77777777" w:rsidR="0038280B" w:rsidRPr="00ED1C46" w:rsidRDefault="0038280B" w:rsidP="001B0ADC">
      <w:pPr>
        <w:pStyle w:val="MDPI31text"/>
        <w:spacing w:line="480" w:lineRule="auto"/>
        <w:ind w:left="0" w:firstLine="0"/>
        <w:rPr>
          <w:rFonts w:ascii="Arial" w:hAnsi="Arial" w:cs="Arial"/>
          <w:sz w:val="24"/>
          <w:szCs w:val="24"/>
        </w:rPr>
      </w:pPr>
    </w:p>
    <w:p w14:paraId="28C36D4D" w14:textId="4001CF8D" w:rsidR="0037278B" w:rsidRPr="00ED1C46" w:rsidRDefault="0037278B" w:rsidP="0037278B">
      <w:pPr>
        <w:pStyle w:val="MDPI31text"/>
        <w:spacing w:line="480" w:lineRule="auto"/>
        <w:ind w:left="0" w:firstLine="0"/>
        <w:rPr>
          <w:rFonts w:ascii="Arial" w:eastAsiaTheme="minorHAnsi" w:hAnsi="Arial" w:cs="Arial"/>
          <w:snapToGrid/>
          <w:sz w:val="24"/>
          <w:szCs w:val="24"/>
        </w:rPr>
      </w:pPr>
      <w:r w:rsidRPr="00ED1C46">
        <w:rPr>
          <w:rFonts w:ascii="Arial" w:eastAsiaTheme="minorHAnsi" w:hAnsi="Arial" w:cs="Arial"/>
          <w:snapToGrid/>
          <w:sz w:val="24"/>
          <w:szCs w:val="24"/>
        </w:rPr>
        <w:t>The</w:t>
      </w:r>
      <w:r w:rsidR="003063C1" w:rsidRPr="00ED1C46">
        <w:rPr>
          <w:rFonts w:ascii="Arial" w:eastAsiaTheme="minorHAnsi" w:hAnsi="Arial" w:cs="Arial"/>
          <w:snapToGrid/>
          <w:sz w:val="24"/>
          <w:szCs w:val="24"/>
        </w:rPr>
        <w:t xml:space="preserve"> </w:t>
      </w:r>
      <w:r w:rsidRPr="00ED1C46">
        <w:rPr>
          <w:rFonts w:ascii="Arial" w:eastAsiaTheme="minorHAnsi" w:hAnsi="Arial" w:cs="Arial"/>
          <w:snapToGrid/>
          <w:sz w:val="24"/>
          <w:szCs w:val="24"/>
        </w:rPr>
        <w:t xml:space="preserve">Bland–Altman graph </w:t>
      </w:r>
      <w:r w:rsidR="00121D58">
        <w:rPr>
          <w:rFonts w:ascii="Arial" w:eastAsiaTheme="minorHAnsi" w:hAnsi="Arial" w:cs="Arial"/>
          <w:snapToGrid/>
          <w:sz w:val="24"/>
          <w:szCs w:val="24"/>
        </w:rPr>
        <w:t>displays</w:t>
      </w:r>
      <w:r w:rsidR="00121D58" w:rsidRPr="00ED1C46">
        <w:rPr>
          <w:rFonts w:ascii="Arial" w:eastAsiaTheme="minorHAnsi" w:hAnsi="Arial" w:cs="Arial"/>
          <w:snapToGrid/>
          <w:sz w:val="24"/>
          <w:szCs w:val="24"/>
        </w:rPr>
        <w:t xml:space="preserve"> </w:t>
      </w:r>
      <w:r w:rsidRPr="00ED1C46">
        <w:rPr>
          <w:rFonts w:ascii="Arial" w:eastAsiaTheme="minorHAnsi" w:hAnsi="Arial" w:cs="Arial"/>
          <w:snapToGrid/>
          <w:sz w:val="24"/>
          <w:szCs w:val="24"/>
        </w:rPr>
        <w:t>the superior and inferior limits</w:t>
      </w:r>
      <w:r w:rsidR="00121D58">
        <w:rPr>
          <w:rFonts w:ascii="Arial" w:eastAsiaTheme="minorHAnsi" w:hAnsi="Arial" w:cs="Arial"/>
          <w:snapToGrid/>
          <w:sz w:val="24"/>
          <w:szCs w:val="24"/>
        </w:rPr>
        <w:t>, as well as the</w:t>
      </w:r>
      <w:r w:rsidRPr="00ED1C46">
        <w:rPr>
          <w:rFonts w:ascii="Arial" w:eastAsiaTheme="minorHAnsi" w:hAnsi="Arial" w:cs="Arial"/>
          <w:snapToGrid/>
          <w:sz w:val="24"/>
          <w:szCs w:val="24"/>
        </w:rPr>
        <w:t xml:space="preserve"> average of the differences (bias) </w:t>
      </w:r>
      <w:r w:rsidR="00121D58">
        <w:rPr>
          <w:rFonts w:ascii="Arial" w:eastAsiaTheme="minorHAnsi" w:hAnsi="Arial" w:cs="Arial"/>
          <w:snapToGrid/>
          <w:sz w:val="24"/>
          <w:szCs w:val="24"/>
        </w:rPr>
        <w:t>in</w:t>
      </w:r>
      <w:r w:rsidRPr="00ED1C46">
        <w:rPr>
          <w:rFonts w:ascii="Arial" w:eastAsiaTheme="minorHAnsi" w:hAnsi="Arial" w:cs="Arial"/>
          <w:snapToGrid/>
          <w:sz w:val="24"/>
          <w:szCs w:val="24"/>
        </w:rPr>
        <w:t xml:space="preserve"> the ratio </w:t>
      </w:r>
      <w:r w:rsidR="001D7012" w:rsidRPr="00ED1C46">
        <w:rPr>
          <w:rFonts w:ascii="Arial" w:eastAsiaTheme="minorHAnsi" w:hAnsi="Arial" w:cs="Arial"/>
          <w:snapToGrid/>
          <w:sz w:val="24"/>
          <w:szCs w:val="24"/>
        </w:rPr>
        <w:t>between</w:t>
      </w:r>
      <w:r w:rsidRPr="00ED1C46">
        <w:rPr>
          <w:rFonts w:ascii="Arial" w:eastAsiaTheme="minorHAnsi" w:hAnsi="Arial" w:cs="Arial"/>
          <w:snapToGrid/>
          <w:sz w:val="24"/>
          <w:szCs w:val="24"/>
        </w:rPr>
        <w:t xml:space="preserve"> max</w:t>
      </w:r>
      <w:r w:rsidR="001D7012" w:rsidRPr="00ED1C46">
        <w:rPr>
          <w:rFonts w:ascii="Arial" w:eastAsiaTheme="minorHAnsi" w:hAnsi="Arial" w:cs="Arial"/>
          <w:snapToGrid/>
          <w:sz w:val="24"/>
          <w:szCs w:val="24"/>
        </w:rPr>
        <w:t>imum</w:t>
      </w:r>
      <w:r w:rsidRPr="00ED1C46">
        <w:rPr>
          <w:rFonts w:ascii="Arial" w:eastAsiaTheme="minorHAnsi" w:hAnsi="Arial" w:cs="Arial"/>
          <w:snapToGrid/>
          <w:sz w:val="24"/>
          <w:szCs w:val="24"/>
        </w:rPr>
        <w:t xml:space="preserve"> creatinine and mbSCr or ebSCr. The bias was -0.14 (</w:t>
      </w:r>
      <w:r w:rsidR="00121D58">
        <w:rPr>
          <w:rFonts w:ascii="Arial" w:eastAsiaTheme="minorHAnsi" w:hAnsi="Arial" w:cs="Arial"/>
          <w:snapToGrid/>
          <w:sz w:val="24"/>
          <w:szCs w:val="24"/>
        </w:rPr>
        <w:t xml:space="preserve">with </w:t>
      </w:r>
      <w:r w:rsidRPr="00ED1C46">
        <w:rPr>
          <w:rFonts w:ascii="Arial" w:eastAsiaTheme="minorHAnsi" w:hAnsi="Arial" w:cs="Arial"/>
          <w:snapToGrid/>
          <w:sz w:val="24"/>
          <w:szCs w:val="24"/>
        </w:rPr>
        <w:t xml:space="preserve">95% limits of agreement from -0.20 to -0.08) (Supplementary Figure </w:t>
      </w:r>
      <w:r w:rsidR="00034332">
        <w:rPr>
          <w:rFonts w:ascii="Arial" w:eastAsiaTheme="minorHAnsi" w:hAnsi="Arial" w:cs="Arial"/>
          <w:snapToGrid/>
          <w:sz w:val="24"/>
          <w:szCs w:val="24"/>
        </w:rPr>
        <w:t>S</w:t>
      </w:r>
      <w:r w:rsidRPr="00ED1C46">
        <w:rPr>
          <w:rFonts w:ascii="Arial" w:eastAsiaTheme="minorHAnsi" w:hAnsi="Arial" w:cs="Arial"/>
          <w:snapToGrid/>
          <w:sz w:val="24"/>
          <w:szCs w:val="24"/>
        </w:rPr>
        <w:t>1).</w:t>
      </w:r>
    </w:p>
    <w:p w14:paraId="7C82BAD2" w14:textId="77777777" w:rsidR="000B23A2" w:rsidRPr="00ED1C46" w:rsidRDefault="000B23A2" w:rsidP="000B23A2">
      <w:pPr>
        <w:pStyle w:val="MDPI31text"/>
        <w:spacing w:line="480" w:lineRule="auto"/>
        <w:ind w:left="0" w:firstLine="0"/>
        <w:rPr>
          <w:rFonts w:ascii="Arial" w:eastAsiaTheme="minorHAnsi" w:hAnsi="Arial" w:cs="Arial"/>
          <w:b/>
          <w:bCs/>
          <w:snapToGrid/>
          <w:sz w:val="24"/>
          <w:szCs w:val="24"/>
        </w:rPr>
      </w:pPr>
    </w:p>
    <w:p w14:paraId="6A3BBDFA" w14:textId="4D9B4F4B" w:rsidR="000B23A2" w:rsidRPr="00ED1C46" w:rsidRDefault="000B23A2" w:rsidP="000B23A2">
      <w:pPr>
        <w:pStyle w:val="MDPI31text"/>
        <w:spacing w:line="480" w:lineRule="auto"/>
        <w:ind w:left="0" w:firstLine="0"/>
        <w:rPr>
          <w:rFonts w:ascii="Arial" w:eastAsiaTheme="minorHAnsi" w:hAnsi="Arial" w:cs="Arial"/>
          <w:b/>
          <w:bCs/>
          <w:snapToGrid/>
          <w:sz w:val="24"/>
          <w:szCs w:val="24"/>
        </w:rPr>
      </w:pPr>
      <w:proofErr w:type="gramStart"/>
      <w:r w:rsidRPr="00ED1C46">
        <w:rPr>
          <w:rFonts w:ascii="Arial" w:eastAsiaTheme="minorHAnsi" w:hAnsi="Arial" w:cs="Arial"/>
          <w:b/>
          <w:bCs/>
          <w:snapToGrid/>
          <w:sz w:val="24"/>
          <w:szCs w:val="24"/>
        </w:rPr>
        <w:t xml:space="preserve">Supplementary Figure </w:t>
      </w:r>
      <w:r w:rsidR="00034332">
        <w:rPr>
          <w:rFonts w:ascii="Arial" w:eastAsiaTheme="minorHAnsi" w:hAnsi="Arial" w:cs="Arial"/>
          <w:b/>
          <w:bCs/>
          <w:snapToGrid/>
          <w:sz w:val="24"/>
          <w:szCs w:val="24"/>
        </w:rPr>
        <w:t>S</w:t>
      </w:r>
      <w:r w:rsidRPr="00ED1C46">
        <w:rPr>
          <w:rFonts w:ascii="Arial" w:eastAsiaTheme="minorHAnsi" w:hAnsi="Arial" w:cs="Arial"/>
          <w:b/>
          <w:bCs/>
          <w:snapToGrid/>
          <w:sz w:val="24"/>
          <w:szCs w:val="24"/>
        </w:rPr>
        <w:t>1.</w:t>
      </w:r>
      <w:proofErr w:type="gramEnd"/>
      <w:r w:rsidRPr="00ED1C46">
        <w:rPr>
          <w:rFonts w:ascii="Arial" w:eastAsiaTheme="minorHAnsi" w:hAnsi="Arial" w:cs="Arial"/>
          <w:b/>
          <w:bCs/>
          <w:snapToGrid/>
          <w:sz w:val="24"/>
          <w:szCs w:val="24"/>
        </w:rPr>
        <w:t xml:space="preserve"> Bland–Altman plots comparing the ratio between the maximum creatinine and mbSCr or ebSCr. Dashed lines represent the limits of agreement and mean difference (bias) in estimations.</w:t>
      </w:r>
    </w:p>
    <w:p w14:paraId="0317F1DD" w14:textId="77777777" w:rsidR="0037278B" w:rsidRPr="00ED1C46" w:rsidRDefault="0037278B" w:rsidP="001B0ADC">
      <w:pPr>
        <w:pStyle w:val="MDPI31text"/>
        <w:spacing w:line="480" w:lineRule="auto"/>
        <w:ind w:left="0" w:firstLine="0"/>
        <w:rPr>
          <w:rFonts w:ascii="Arial" w:eastAsiaTheme="minorHAnsi" w:hAnsi="Arial" w:cs="Arial"/>
          <w:snapToGrid/>
          <w:sz w:val="24"/>
          <w:szCs w:val="24"/>
        </w:rPr>
      </w:pPr>
    </w:p>
    <w:p w14:paraId="5CE45AAE" w14:textId="44E8771E" w:rsidR="000B23A2" w:rsidRPr="00ED1C46" w:rsidRDefault="000B23A2" w:rsidP="001B0ADC">
      <w:pPr>
        <w:pStyle w:val="MDPI31text"/>
        <w:spacing w:line="480" w:lineRule="auto"/>
        <w:ind w:left="0" w:firstLine="0"/>
        <w:rPr>
          <w:rFonts w:ascii="Arial" w:eastAsiaTheme="minorHAnsi" w:hAnsi="Arial" w:cs="Arial"/>
          <w:snapToGrid/>
          <w:sz w:val="24"/>
          <w:szCs w:val="24"/>
        </w:rPr>
      </w:pPr>
      <w:r w:rsidRPr="00ED1C46">
        <w:rPr>
          <w:rFonts w:ascii="Arial" w:hAnsi="Arial" w:cs="Arial"/>
          <w:noProof/>
          <w:sz w:val="24"/>
          <w:szCs w:val="24"/>
          <w:lang w:val="en-GB" w:eastAsia="en-GB" w:bidi="ar-SA"/>
        </w:rPr>
        <w:lastRenderedPageBreak/>
        <w:drawing>
          <wp:inline distT="0" distB="0" distL="0" distR="0" wp14:anchorId="252E8D25" wp14:editId="0248874A">
            <wp:extent cx="6120130" cy="4590415"/>
            <wp:effectExtent l="0" t="0" r="127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6120130" cy="4590415"/>
                    </a:xfrm>
                    <a:prstGeom prst="rect">
                      <a:avLst/>
                    </a:prstGeom>
                  </pic:spPr>
                </pic:pic>
              </a:graphicData>
            </a:graphic>
          </wp:inline>
        </w:drawing>
      </w:r>
    </w:p>
    <w:p w14:paraId="08422508" w14:textId="768E8419" w:rsidR="000B23A2" w:rsidRPr="00ED1C46" w:rsidRDefault="002242EA" w:rsidP="000B23A2">
      <w:pPr>
        <w:spacing w:line="480" w:lineRule="auto"/>
        <w:rPr>
          <w:rFonts w:ascii="Arial" w:hAnsi="Arial" w:cs="Arial"/>
          <w:color w:val="000000"/>
          <w:kern w:val="0"/>
          <w:lang w:val="en-US" w:eastAsia="de-DE" w:bidi="en-US"/>
          <w14:ligatures w14:val="none"/>
        </w:rPr>
      </w:pPr>
      <w:r w:rsidRPr="00ED1C46">
        <w:rPr>
          <w:rFonts w:ascii="Arial" w:hAnsi="Arial" w:cs="Arial"/>
          <w:color w:val="000000"/>
          <w:kern w:val="0"/>
          <w:lang w:val="en-US" w:eastAsia="de-DE" w:bidi="en-US"/>
          <w14:ligatures w14:val="none"/>
        </w:rPr>
        <w:t>T</w:t>
      </w:r>
      <w:r w:rsidR="000B23A2" w:rsidRPr="00ED1C46">
        <w:rPr>
          <w:rFonts w:ascii="Arial" w:hAnsi="Arial" w:cs="Arial"/>
          <w:color w:val="000000"/>
          <w:kern w:val="0"/>
          <w:lang w:val="en-US" w:eastAsia="de-DE" w:bidi="en-US"/>
          <w14:ligatures w14:val="none"/>
        </w:rPr>
        <w:t>he absolute and relative error</w:t>
      </w:r>
      <w:r w:rsidR="0037356C">
        <w:rPr>
          <w:rFonts w:ascii="Arial" w:hAnsi="Arial" w:cs="Arial"/>
          <w:color w:val="000000"/>
          <w:kern w:val="0"/>
          <w:lang w:val="en-US" w:eastAsia="de-DE" w:bidi="en-US"/>
          <w14:ligatures w14:val="none"/>
        </w:rPr>
        <w:t>s</w:t>
      </w:r>
      <w:r w:rsidR="000B23A2" w:rsidRPr="00ED1C46">
        <w:rPr>
          <w:rFonts w:ascii="Arial" w:hAnsi="Arial" w:cs="Arial"/>
          <w:color w:val="000000"/>
          <w:kern w:val="0"/>
          <w:lang w:val="en-US" w:eastAsia="de-DE" w:bidi="en-US"/>
          <w14:ligatures w14:val="none"/>
        </w:rPr>
        <w:t xml:space="preserve"> of the ratio between the maximum and basal creatinine</w:t>
      </w:r>
      <w:r w:rsidR="0037356C">
        <w:rPr>
          <w:rFonts w:ascii="Arial" w:hAnsi="Arial" w:cs="Arial"/>
          <w:color w:val="000000"/>
          <w:kern w:val="0"/>
          <w:lang w:val="en-US" w:eastAsia="de-DE" w:bidi="en-US"/>
          <w14:ligatures w14:val="none"/>
        </w:rPr>
        <w:t>,</w:t>
      </w:r>
      <w:r w:rsidR="000B23A2" w:rsidRPr="00ED1C46">
        <w:rPr>
          <w:rFonts w:ascii="Arial" w:hAnsi="Arial" w:cs="Arial"/>
          <w:color w:val="000000"/>
          <w:kern w:val="0"/>
          <w:lang w:val="en-US" w:eastAsia="de-DE" w:bidi="en-US"/>
          <w14:ligatures w14:val="none"/>
        </w:rPr>
        <w:t xml:space="preserve"> calculated </w:t>
      </w:r>
      <w:r w:rsidR="0037356C">
        <w:rPr>
          <w:rFonts w:ascii="Arial" w:hAnsi="Arial" w:cs="Arial"/>
          <w:color w:val="000000"/>
          <w:kern w:val="0"/>
          <w:lang w:val="en-US" w:eastAsia="de-DE" w:bidi="en-US"/>
          <w14:ligatures w14:val="none"/>
        </w:rPr>
        <w:t>based on the</w:t>
      </w:r>
      <w:r w:rsidR="000B23A2" w:rsidRPr="00ED1C46">
        <w:rPr>
          <w:rFonts w:ascii="Arial" w:hAnsi="Arial" w:cs="Arial"/>
          <w:color w:val="000000"/>
          <w:kern w:val="0"/>
          <w:lang w:val="en-US" w:eastAsia="de-DE" w:bidi="en-US"/>
          <w14:ligatures w14:val="none"/>
        </w:rPr>
        <w:t xml:space="preserve"> ebSCr</w:t>
      </w:r>
      <w:r w:rsidR="0037356C">
        <w:rPr>
          <w:rFonts w:ascii="Arial" w:hAnsi="Arial" w:cs="Arial"/>
          <w:color w:val="000000"/>
          <w:kern w:val="0"/>
          <w:lang w:val="en-US" w:eastAsia="de-DE" w:bidi="en-US"/>
          <w14:ligatures w14:val="none"/>
        </w:rPr>
        <w:t>,</w:t>
      </w:r>
      <w:r w:rsidR="000B23A2" w:rsidRPr="00ED1C46">
        <w:rPr>
          <w:rFonts w:ascii="Arial" w:hAnsi="Arial" w:cs="Arial"/>
          <w:color w:val="000000"/>
          <w:kern w:val="0"/>
          <w:lang w:val="en-US" w:eastAsia="de-DE" w:bidi="en-US"/>
          <w14:ligatures w14:val="none"/>
        </w:rPr>
        <w:t xml:space="preserve"> compared with the ratio calculated </w:t>
      </w:r>
      <w:r w:rsidR="0037356C">
        <w:rPr>
          <w:rFonts w:ascii="Arial" w:hAnsi="Arial" w:cs="Arial"/>
          <w:color w:val="000000"/>
          <w:kern w:val="0"/>
          <w:lang w:val="en-US" w:eastAsia="de-DE" w:bidi="en-US"/>
          <w14:ligatures w14:val="none"/>
        </w:rPr>
        <w:t>based on</w:t>
      </w:r>
      <w:r w:rsidR="000B23A2" w:rsidRPr="00ED1C46">
        <w:rPr>
          <w:rFonts w:ascii="Arial" w:hAnsi="Arial" w:cs="Arial"/>
          <w:color w:val="000000"/>
          <w:kern w:val="0"/>
          <w:lang w:val="en-US" w:eastAsia="de-DE" w:bidi="en-US"/>
          <w14:ligatures w14:val="none"/>
        </w:rPr>
        <w:t xml:space="preserve"> mbSCr</w:t>
      </w:r>
      <w:r w:rsidR="0037356C">
        <w:rPr>
          <w:rFonts w:ascii="Arial" w:hAnsi="Arial" w:cs="Arial"/>
          <w:color w:val="000000"/>
          <w:kern w:val="0"/>
          <w:lang w:val="en-US" w:eastAsia="de-DE" w:bidi="en-US"/>
          <w14:ligatures w14:val="none"/>
        </w:rPr>
        <w:t>,</w:t>
      </w:r>
      <w:r w:rsidR="000B23A2" w:rsidRPr="00ED1C46">
        <w:rPr>
          <w:rFonts w:ascii="Arial" w:hAnsi="Arial" w:cs="Arial"/>
          <w:color w:val="000000"/>
          <w:kern w:val="0"/>
          <w:lang w:val="en-US" w:eastAsia="de-DE" w:bidi="en-US"/>
          <w14:ligatures w14:val="none"/>
        </w:rPr>
        <w:t xml:space="preserve"> are </w:t>
      </w:r>
      <w:r w:rsidR="0037356C">
        <w:rPr>
          <w:rFonts w:ascii="Arial" w:hAnsi="Arial" w:cs="Arial"/>
          <w:color w:val="000000"/>
          <w:kern w:val="0"/>
          <w:lang w:val="en-US" w:eastAsia="de-DE" w:bidi="en-US"/>
          <w14:ligatures w14:val="none"/>
        </w:rPr>
        <w:t>presented</w:t>
      </w:r>
      <w:r w:rsidRPr="00ED1C46">
        <w:rPr>
          <w:rFonts w:ascii="Arial" w:hAnsi="Arial" w:cs="Arial"/>
          <w:color w:val="000000"/>
          <w:kern w:val="0"/>
          <w:lang w:val="en-US" w:eastAsia="de-DE" w:bidi="en-US"/>
          <w14:ligatures w14:val="none"/>
        </w:rPr>
        <w:t xml:space="preserve"> in Supplementary Table </w:t>
      </w:r>
      <w:r w:rsidR="00034332">
        <w:rPr>
          <w:rFonts w:ascii="Arial" w:hAnsi="Arial" w:cs="Arial"/>
          <w:color w:val="000000"/>
          <w:kern w:val="0"/>
          <w:lang w:val="en-US" w:eastAsia="de-DE" w:bidi="en-US"/>
          <w14:ligatures w14:val="none"/>
        </w:rPr>
        <w:t>S</w:t>
      </w:r>
      <w:r w:rsidRPr="00ED1C46">
        <w:rPr>
          <w:rFonts w:ascii="Arial" w:hAnsi="Arial" w:cs="Arial"/>
          <w:color w:val="000000"/>
          <w:kern w:val="0"/>
          <w:lang w:val="en-US" w:eastAsia="de-DE" w:bidi="en-US"/>
          <w14:ligatures w14:val="none"/>
        </w:rPr>
        <w:t>2</w:t>
      </w:r>
      <w:r w:rsidR="000B23A2" w:rsidRPr="00ED1C46">
        <w:rPr>
          <w:rFonts w:ascii="Arial" w:hAnsi="Arial" w:cs="Arial"/>
          <w:color w:val="000000"/>
          <w:kern w:val="0"/>
          <w:lang w:val="en-US" w:eastAsia="de-DE" w:bidi="en-US"/>
          <w14:ligatures w14:val="none"/>
        </w:rPr>
        <w:t>.</w:t>
      </w:r>
    </w:p>
    <w:p w14:paraId="547E7944" w14:textId="6C936039" w:rsidR="000B23A2" w:rsidRPr="00ED1C46" w:rsidRDefault="000B23A2" w:rsidP="000B23A2">
      <w:pPr>
        <w:spacing w:line="480" w:lineRule="auto"/>
        <w:rPr>
          <w:rFonts w:ascii="Arial" w:hAnsi="Arial" w:cs="Arial"/>
          <w:color w:val="000000"/>
          <w:kern w:val="0"/>
          <w:highlight w:val="yellow"/>
          <w:lang w:val="en-US" w:eastAsia="de-DE" w:bidi="en-US"/>
          <w14:ligatures w14:val="none"/>
        </w:rPr>
      </w:pPr>
    </w:p>
    <w:p w14:paraId="1427DB99" w14:textId="77777777" w:rsidR="006B2C85" w:rsidRPr="00ED1C46" w:rsidRDefault="006B2C85" w:rsidP="000B23A2">
      <w:pPr>
        <w:spacing w:line="480" w:lineRule="auto"/>
        <w:rPr>
          <w:rFonts w:ascii="Arial" w:hAnsi="Arial" w:cs="Arial"/>
          <w:b/>
          <w:bCs/>
          <w:color w:val="000000"/>
          <w:kern w:val="0"/>
          <w:lang w:val="en-US" w:eastAsia="de-DE" w:bidi="en-US"/>
          <w14:ligatures w14:val="none"/>
        </w:rPr>
      </w:pPr>
    </w:p>
    <w:p w14:paraId="7966E49B" w14:textId="77777777" w:rsidR="006B2C85" w:rsidRPr="00ED1C46" w:rsidRDefault="006B2C85" w:rsidP="000B23A2">
      <w:pPr>
        <w:spacing w:line="480" w:lineRule="auto"/>
        <w:rPr>
          <w:rFonts w:ascii="Arial" w:hAnsi="Arial" w:cs="Arial"/>
          <w:b/>
          <w:bCs/>
          <w:color w:val="000000"/>
          <w:kern w:val="0"/>
          <w:lang w:val="en-US" w:eastAsia="de-DE" w:bidi="en-US"/>
          <w14:ligatures w14:val="none"/>
        </w:rPr>
      </w:pPr>
    </w:p>
    <w:p w14:paraId="6C34D4A4" w14:textId="1553E391" w:rsidR="000B23A2" w:rsidRPr="00ED1C46" w:rsidRDefault="000B23A2" w:rsidP="000B23A2">
      <w:pPr>
        <w:spacing w:line="480" w:lineRule="auto"/>
        <w:rPr>
          <w:rFonts w:ascii="Arial" w:hAnsi="Arial" w:cs="Arial"/>
          <w:color w:val="000000"/>
          <w:kern w:val="0"/>
          <w:lang w:val="en-US" w:eastAsia="de-DE" w:bidi="en-US"/>
          <w14:ligatures w14:val="none"/>
        </w:rPr>
      </w:pPr>
      <w:proofErr w:type="gramStart"/>
      <w:r w:rsidRPr="00ED1C46">
        <w:rPr>
          <w:rFonts w:ascii="Arial" w:hAnsi="Arial" w:cs="Arial"/>
          <w:b/>
          <w:bCs/>
          <w:color w:val="000000"/>
          <w:kern w:val="0"/>
          <w:lang w:val="en-US" w:eastAsia="de-DE" w:bidi="en-US"/>
          <w14:ligatures w14:val="none"/>
        </w:rPr>
        <w:t xml:space="preserve">Supplementary Table </w:t>
      </w:r>
      <w:r w:rsidR="00034332">
        <w:rPr>
          <w:rFonts w:ascii="Arial" w:hAnsi="Arial" w:cs="Arial"/>
          <w:b/>
          <w:bCs/>
          <w:color w:val="000000"/>
          <w:kern w:val="0"/>
          <w:lang w:val="en-US" w:eastAsia="de-DE" w:bidi="en-US"/>
          <w14:ligatures w14:val="none"/>
        </w:rPr>
        <w:t>S</w:t>
      </w:r>
      <w:r w:rsidRPr="00ED1C46">
        <w:rPr>
          <w:rFonts w:ascii="Arial" w:hAnsi="Arial" w:cs="Arial"/>
          <w:b/>
          <w:bCs/>
          <w:color w:val="000000"/>
          <w:kern w:val="0"/>
          <w:lang w:val="en-US" w:eastAsia="de-DE" w:bidi="en-US"/>
          <w14:ligatures w14:val="none"/>
        </w:rPr>
        <w:t>2.</w:t>
      </w:r>
      <w:proofErr w:type="gramEnd"/>
      <w:r w:rsidRPr="00ED1C46">
        <w:rPr>
          <w:rFonts w:ascii="Arial" w:hAnsi="Arial" w:cs="Arial"/>
          <w:b/>
          <w:bCs/>
          <w:color w:val="000000"/>
          <w:kern w:val="0"/>
          <w:lang w:val="en-US" w:eastAsia="de-DE" w:bidi="en-US"/>
          <w14:ligatures w14:val="none"/>
        </w:rPr>
        <w:t xml:space="preserve"> Absolute and relative error</w:t>
      </w:r>
      <w:r w:rsidR="0037356C">
        <w:rPr>
          <w:rFonts w:ascii="Arial" w:hAnsi="Arial" w:cs="Arial"/>
          <w:b/>
          <w:bCs/>
          <w:color w:val="000000"/>
          <w:kern w:val="0"/>
          <w:lang w:val="en-US" w:eastAsia="de-DE" w:bidi="en-US"/>
          <w14:ligatures w14:val="none"/>
        </w:rPr>
        <w:t>s</w:t>
      </w:r>
      <w:r w:rsidRPr="00ED1C46">
        <w:rPr>
          <w:rFonts w:ascii="Arial" w:hAnsi="Arial" w:cs="Arial"/>
          <w:b/>
          <w:bCs/>
          <w:color w:val="000000"/>
          <w:kern w:val="0"/>
          <w:lang w:val="en-US" w:eastAsia="de-DE" w:bidi="en-US"/>
          <w14:ligatures w14:val="none"/>
        </w:rPr>
        <w:t xml:space="preserve"> of the</w:t>
      </w:r>
      <w:r w:rsidRPr="00ED1C46">
        <w:rPr>
          <w:rFonts w:ascii="Arial" w:hAnsi="Arial" w:cs="Arial"/>
          <w:b/>
          <w:bCs/>
          <w:lang w:val="en-US"/>
        </w:rPr>
        <w:t xml:space="preserve"> ratio between the maximum and basal creatinine calculated </w:t>
      </w:r>
      <w:r w:rsidR="0037356C">
        <w:rPr>
          <w:rFonts w:ascii="Arial" w:hAnsi="Arial" w:cs="Arial"/>
          <w:b/>
          <w:bCs/>
          <w:lang w:val="en-US"/>
        </w:rPr>
        <w:t>based on</w:t>
      </w:r>
      <w:r w:rsidRPr="00ED1C46">
        <w:rPr>
          <w:rFonts w:ascii="Arial" w:hAnsi="Arial" w:cs="Arial"/>
          <w:b/>
          <w:bCs/>
          <w:lang w:val="en-US"/>
        </w:rPr>
        <w:t xml:space="preserve"> the ebSCr compared with the ratio calculated </w:t>
      </w:r>
      <w:r w:rsidR="0037356C">
        <w:rPr>
          <w:rFonts w:ascii="Arial" w:hAnsi="Arial" w:cs="Arial"/>
          <w:b/>
          <w:bCs/>
          <w:lang w:val="en-US"/>
        </w:rPr>
        <w:t>based on</w:t>
      </w:r>
      <w:r w:rsidRPr="00ED1C46">
        <w:rPr>
          <w:rFonts w:ascii="Arial" w:hAnsi="Arial" w:cs="Arial"/>
          <w:b/>
          <w:bCs/>
          <w:lang w:val="en-US"/>
        </w:rPr>
        <w:t xml:space="preserve"> mbSCr</w:t>
      </w:r>
      <w:r w:rsidRPr="00ED1C46">
        <w:rPr>
          <w:rFonts w:ascii="Arial" w:hAnsi="Arial" w:cs="Arial"/>
          <w:b/>
          <w:bCs/>
          <w:color w:val="000000"/>
          <w:kern w:val="0"/>
          <w:lang w:val="en-US" w:eastAsia="de-DE" w:bidi="en-US"/>
          <w14:ligatures w14:val="none"/>
        </w:rPr>
        <w:t>.</w:t>
      </w:r>
    </w:p>
    <w:p w14:paraId="4CBED842" w14:textId="77777777" w:rsidR="000B23A2" w:rsidRPr="00ED1C46" w:rsidRDefault="000B23A2" w:rsidP="001B0ADC">
      <w:pPr>
        <w:pStyle w:val="MDPI31text"/>
        <w:spacing w:line="480" w:lineRule="auto"/>
        <w:ind w:left="0" w:firstLine="0"/>
        <w:rPr>
          <w:rFonts w:ascii="Arial" w:eastAsiaTheme="minorHAnsi" w:hAnsi="Arial" w:cs="Arial"/>
          <w:snapToGrid/>
          <w:sz w:val="24"/>
          <w:szCs w:val="24"/>
        </w:rPr>
      </w:pPr>
    </w:p>
    <w:tbl>
      <w:tblPr>
        <w:tblW w:w="505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103"/>
        <w:gridCol w:w="513"/>
        <w:gridCol w:w="768"/>
        <w:gridCol w:w="1120"/>
        <w:gridCol w:w="1247"/>
        <w:gridCol w:w="1159"/>
        <w:gridCol w:w="1163"/>
        <w:gridCol w:w="1557"/>
        <w:gridCol w:w="1139"/>
      </w:tblGrid>
      <w:tr w:rsidR="002242EA" w:rsidRPr="00ED1C46" w14:paraId="325D1382" w14:textId="77777777" w:rsidTr="00D52560">
        <w:trPr>
          <w:jc w:val="center"/>
        </w:trPr>
        <w:tc>
          <w:tcPr>
            <w:tcW w:w="565" w:type="pct"/>
            <w:shd w:val="clear" w:color="auto" w:fill="FFFFFF"/>
            <w:vAlign w:val="center"/>
            <w:hideMark/>
          </w:tcPr>
          <w:p w14:paraId="53525FDF"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t>Error</w:t>
            </w:r>
          </w:p>
        </w:tc>
        <w:tc>
          <w:tcPr>
            <w:tcW w:w="263" w:type="pct"/>
            <w:shd w:val="clear" w:color="auto" w:fill="FFFFFF"/>
            <w:vAlign w:val="center"/>
            <w:hideMark/>
          </w:tcPr>
          <w:p w14:paraId="1A34D4D1"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t>N</w:t>
            </w:r>
          </w:p>
        </w:tc>
        <w:tc>
          <w:tcPr>
            <w:tcW w:w="393" w:type="pct"/>
            <w:shd w:val="clear" w:color="auto" w:fill="FFFFFF"/>
            <w:vAlign w:val="center"/>
            <w:hideMark/>
          </w:tcPr>
          <w:p w14:paraId="77D51CF4"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t>Mean</w:t>
            </w:r>
          </w:p>
        </w:tc>
        <w:tc>
          <w:tcPr>
            <w:tcW w:w="573" w:type="pct"/>
            <w:shd w:val="clear" w:color="auto" w:fill="FFFFFF"/>
            <w:vAlign w:val="center"/>
            <w:hideMark/>
          </w:tcPr>
          <w:p w14:paraId="45C4C456"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t>Standard</w:t>
            </w:r>
          </w:p>
          <w:p w14:paraId="28ACEF49"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deviation</w:t>
            </w:r>
          </w:p>
        </w:tc>
        <w:tc>
          <w:tcPr>
            <w:tcW w:w="638" w:type="pct"/>
            <w:shd w:val="clear" w:color="auto" w:fill="FFFFFF"/>
            <w:vAlign w:val="center"/>
            <w:hideMark/>
          </w:tcPr>
          <w:p w14:paraId="0D648768"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Minimum</w:t>
            </w:r>
          </w:p>
          <w:p w14:paraId="64AB69FC"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value</w:t>
            </w:r>
          </w:p>
        </w:tc>
        <w:tc>
          <w:tcPr>
            <w:tcW w:w="593" w:type="pct"/>
            <w:shd w:val="clear" w:color="auto" w:fill="FFFFFF"/>
            <w:vAlign w:val="center"/>
            <w:hideMark/>
          </w:tcPr>
          <w:p w14:paraId="1F0DD425"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25th</w:t>
            </w:r>
          </w:p>
          <w:p w14:paraId="709062FC"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percentile</w:t>
            </w:r>
          </w:p>
        </w:tc>
        <w:tc>
          <w:tcPr>
            <w:tcW w:w="595" w:type="pct"/>
            <w:shd w:val="clear" w:color="auto" w:fill="FFFFFF"/>
            <w:vAlign w:val="center"/>
            <w:hideMark/>
          </w:tcPr>
          <w:p w14:paraId="6E324BB0"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50th</w:t>
            </w:r>
          </w:p>
          <w:p w14:paraId="1A8E9F98"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percentile</w:t>
            </w:r>
          </w:p>
        </w:tc>
        <w:tc>
          <w:tcPr>
            <w:tcW w:w="797" w:type="pct"/>
            <w:shd w:val="clear" w:color="auto" w:fill="FFFFFF"/>
            <w:vAlign w:val="center"/>
            <w:hideMark/>
          </w:tcPr>
          <w:p w14:paraId="6C8D390C"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 xml:space="preserve">75th </w:t>
            </w:r>
            <w:r w:rsidRPr="00ED1C46">
              <w:rPr>
                <w:rFonts w:ascii="Arial" w:eastAsia="Times New Roman" w:hAnsi="Arial" w:cs="Arial"/>
                <w:b/>
                <w:bCs/>
                <w:lang w:val="en-US"/>
              </w:rPr>
              <w:lastRenderedPageBreak/>
              <w:t>percentile</w:t>
            </w:r>
          </w:p>
        </w:tc>
        <w:tc>
          <w:tcPr>
            <w:tcW w:w="584" w:type="pct"/>
            <w:shd w:val="clear" w:color="auto" w:fill="FFFFFF"/>
            <w:vAlign w:val="center"/>
            <w:hideMark/>
          </w:tcPr>
          <w:p w14:paraId="00D26F5C"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Maximum</w:t>
            </w:r>
          </w:p>
          <w:p w14:paraId="2406C26A" w14:textId="77777777" w:rsidR="002242EA" w:rsidRPr="00ED1C46" w:rsidRDefault="002242EA" w:rsidP="00CB33CA">
            <w:pPr>
              <w:jc w:val="center"/>
              <w:rPr>
                <w:rFonts w:ascii="Arial" w:eastAsia="Times New Roman" w:hAnsi="Arial" w:cs="Arial"/>
                <w:b/>
                <w:bCs/>
                <w:lang w:val="en-US"/>
              </w:rPr>
            </w:pPr>
            <w:r w:rsidRPr="00ED1C46">
              <w:rPr>
                <w:rFonts w:ascii="Arial" w:eastAsia="Times New Roman" w:hAnsi="Arial" w:cs="Arial"/>
                <w:b/>
                <w:bCs/>
                <w:lang w:val="en-US"/>
              </w:rPr>
              <w:lastRenderedPageBreak/>
              <w:t>value</w:t>
            </w:r>
          </w:p>
        </w:tc>
      </w:tr>
      <w:tr w:rsidR="002242EA" w:rsidRPr="00ED1C46" w14:paraId="54DB55EC" w14:textId="77777777" w:rsidTr="00D52560">
        <w:trPr>
          <w:jc w:val="center"/>
        </w:trPr>
        <w:tc>
          <w:tcPr>
            <w:tcW w:w="565" w:type="pct"/>
            <w:vAlign w:val="center"/>
            <w:hideMark/>
          </w:tcPr>
          <w:p w14:paraId="37C22DA5" w14:textId="77777777" w:rsidR="002242EA" w:rsidRPr="00ED1C46" w:rsidRDefault="002242EA" w:rsidP="002242EA">
            <w:pPr>
              <w:jc w:val="center"/>
              <w:rPr>
                <w:rFonts w:ascii="Arial" w:eastAsia="Times New Roman" w:hAnsi="Arial" w:cs="Arial"/>
                <w:b/>
                <w:bCs/>
                <w:lang w:val="en-US"/>
              </w:rPr>
            </w:pPr>
            <w:r w:rsidRPr="00ED1C46">
              <w:rPr>
                <w:rFonts w:ascii="Arial" w:eastAsia="Times New Roman" w:hAnsi="Arial" w:cs="Arial"/>
                <w:b/>
                <w:bCs/>
                <w:lang w:val="en-US"/>
              </w:rPr>
              <w:lastRenderedPageBreak/>
              <w:t>Absolute</w:t>
            </w:r>
          </w:p>
        </w:tc>
        <w:tc>
          <w:tcPr>
            <w:tcW w:w="263" w:type="pct"/>
            <w:vAlign w:val="center"/>
            <w:hideMark/>
          </w:tcPr>
          <w:p w14:paraId="2F5DD2BF" w14:textId="66D3AC8B"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169</w:t>
            </w:r>
          </w:p>
        </w:tc>
        <w:tc>
          <w:tcPr>
            <w:tcW w:w="393" w:type="pct"/>
            <w:vAlign w:val="center"/>
            <w:hideMark/>
          </w:tcPr>
          <w:p w14:paraId="3D6AA34F" w14:textId="5048E985"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-0.141</w:t>
            </w:r>
          </w:p>
        </w:tc>
        <w:tc>
          <w:tcPr>
            <w:tcW w:w="573" w:type="pct"/>
            <w:vAlign w:val="center"/>
            <w:hideMark/>
          </w:tcPr>
          <w:p w14:paraId="3F07D0D6" w14:textId="09903674"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0.371</w:t>
            </w:r>
          </w:p>
        </w:tc>
        <w:tc>
          <w:tcPr>
            <w:tcW w:w="638" w:type="pct"/>
            <w:vAlign w:val="center"/>
            <w:hideMark/>
          </w:tcPr>
          <w:p w14:paraId="29E371FE" w14:textId="32A70AC9"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-0.981</w:t>
            </w:r>
          </w:p>
        </w:tc>
        <w:tc>
          <w:tcPr>
            <w:tcW w:w="593" w:type="pct"/>
            <w:vAlign w:val="center"/>
            <w:hideMark/>
          </w:tcPr>
          <w:p w14:paraId="1598E55B" w14:textId="64402857"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-0.408</w:t>
            </w:r>
          </w:p>
        </w:tc>
        <w:tc>
          <w:tcPr>
            <w:tcW w:w="595" w:type="pct"/>
            <w:vAlign w:val="center"/>
            <w:hideMark/>
          </w:tcPr>
          <w:p w14:paraId="25A3A3DC" w14:textId="3804BBBE"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-0.163</w:t>
            </w:r>
          </w:p>
        </w:tc>
        <w:tc>
          <w:tcPr>
            <w:tcW w:w="797" w:type="pct"/>
            <w:vAlign w:val="center"/>
            <w:hideMark/>
          </w:tcPr>
          <w:p w14:paraId="11D1F38F" w14:textId="16A7750D"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0.0543</w:t>
            </w:r>
          </w:p>
        </w:tc>
        <w:tc>
          <w:tcPr>
            <w:tcW w:w="584" w:type="pct"/>
            <w:vAlign w:val="center"/>
            <w:hideMark/>
          </w:tcPr>
          <w:p w14:paraId="3E79771C" w14:textId="53900E0F"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1.13</w:t>
            </w:r>
          </w:p>
        </w:tc>
      </w:tr>
      <w:tr w:rsidR="002242EA" w:rsidRPr="00ED1C46" w14:paraId="1D4E4BA9" w14:textId="77777777" w:rsidTr="00D52560">
        <w:trPr>
          <w:jc w:val="center"/>
        </w:trPr>
        <w:tc>
          <w:tcPr>
            <w:tcW w:w="565" w:type="pct"/>
            <w:vAlign w:val="center"/>
            <w:hideMark/>
          </w:tcPr>
          <w:p w14:paraId="7D7C1606" w14:textId="77777777" w:rsidR="002242EA" w:rsidRPr="00ED1C46" w:rsidRDefault="002242EA" w:rsidP="002242EA">
            <w:pPr>
              <w:jc w:val="center"/>
              <w:rPr>
                <w:rFonts w:ascii="Arial" w:eastAsia="Times New Roman" w:hAnsi="Arial" w:cs="Arial"/>
                <w:b/>
                <w:bCs/>
                <w:lang w:val="en-US"/>
              </w:rPr>
            </w:pPr>
            <w:r w:rsidRPr="00ED1C46">
              <w:rPr>
                <w:rFonts w:ascii="Arial" w:eastAsia="Times New Roman" w:hAnsi="Arial" w:cs="Arial"/>
                <w:b/>
                <w:bCs/>
                <w:lang w:val="en-US"/>
              </w:rPr>
              <w:t>Relative</w:t>
            </w:r>
          </w:p>
        </w:tc>
        <w:tc>
          <w:tcPr>
            <w:tcW w:w="263" w:type="pct"/>
            <w:vAlign w:val="center"/>
            <w:hideMark/>
          </w:tcPr>
          <w:p w14:paraId="1C65D579" w14:textId="163F359C"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169</w:t>
            </w:r>
          </w:p>
        </w:tc>
        <w:tc>
          <w:tcPr>
            <w:tcW w:w="393" w:type="pct"/>
            <w:vAlign w:val="center"/>
            <w:hideMark/>
          </w:tcPr>
          <w:p w14:paraId="09BB4F03" w14:textId="7F2C615F"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-12.1</w:t>
            </w:r>
          </w:p>
        </w:tc>
        <w:tc>
          <w:tcPr>
            <w:tcW w:w="573" w:type="pct"/>
            <w:vAlign w:val="center"/>
            <w:hideMark/>
          </w:tcPr>
          <w:p w14:paraId="71D2E793" w14:textId="78061A48"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32.8</w:t>
            </w:r>
          </w:p>
        </w:tc>
        <w:tc>
          <w:tcPr>
            <w:tcW w:w="638" w:type="pct"/>
            <w:vAlign w:val="center"/>
            <w:hideMark/>
          </w:tcPr>
          <w:p w14:paraId="430AE92A" w14:textId="1C7B60D5"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-70.6</w:t>
            </w:r>
          </w:p>
        </w:tc>
        <w:tc>
          <w:tcPr>
            <w:tcW w:w="593" w:type="pct"/>
            <w:vAlign w:val="center"/>
            <w:hideMark/>
          </w:tcPr>
          <w:p w14:paraId="149FC65A" w14:textId="2EAEF10C"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-35.5</w:t>
            </w:r>
          </w:p>
        </w:tc>
        <w:tc>
          <w:tcPr>
            <w:tcW w:w="595" w:type="pct"/>
            <w:vAlign w:val="center"/>
            <w:hideMark/>
          </w:tcPr>
          <w:p w14:paraId="50893938" w14:textId="39C063CC"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-15</w:t>
            </w:r>
          </w:p>
        </w:tc>
        <w:tc>
          <w:tcPr>
            <w:tcW w:w="797" w:type="pct"/>
            <w:vAlign w:val="center"/>
            <w:hideMark/>
          </w:tcPr>
          <w:p w14:paraId="3B6500F8" w14:textId="26ED1942"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4.83</w:t>
            </w:r>
          </w:p>
        </w:tc>
        <w:tc>
          <w:tcPr>
            <w:tcW w:w="584" w:type="pct"/>
            <w:vAlign w:val="center"/>
            <w:hideMark/>
          </w:tcPr>
          <w:p w14:paraId="2CE30BF4" w14:textId="11297AFF" w:rsidR="002242EA" w:rsidRPr="00ED1C46" w:rsidRDefault="002242EA" w:rsidP="002242EA">
            <w:pPr>
              <w:jc w:val="center"/>
              <w:rPr>
                <w:rFonts w:ascii="Arial" w:eastAsia="Times New Roman" w:hAnsi="Arial" w:cs="Arial"/>
                <w:lang w:val="en-US"/>
              </w:rPr>
            </w:pPr>
            <w:r w:rsidRPr="00ED1C46">
              <w:rPr>
                <w:rFonts w:ascii="Arial" w:eastAsia="Times New Roman" w:hAnsi="Arial" w:cs="Arial"/>
                <w:lang w:val="en-US"/>
              </w:rPr>
              <w:t>110</w:t>
            </w:r>
          </w:p>
        </w:tc>
      </w:tr>
    </w:tbl>
    <w:p w14:paraId="6AB61113" w14:textId="77777777" w:rsidR="000B23A2" w:rsidRPr="00ED1C46" w:rsidRDefault="000B23A2" w:rsidP="001B0ADC">
      <w:pPr>
        <w:pStyle w:val="MDPI31text"/>
        <w:spacing w:line="480" w:lineRule="auto"/>
        <w:ind w:left="0" w:firstLine="0"/>
        <w:rPr>
          <w:rFonts w:ascii="Arial" w:eastAsiaTheme="minorHAnsi" w:hAnsi="Arial" w:cs="Arial"/>
          <w:snapToGrid/>
          <w:sz w:val="24"/>
          <w:szCs w:val="24"/>
        </w:rPr>
      </w:pPr>
    </w:p>
    <w:p w14:paraId="0513DEBA" w14:textId="7518008D" w:rsidR="002242EA" w:rsidRPr="00ED1C46" w:rsidRDefault="002242EA" w:rsidP="002242EA">
      <w:pPr>
        <w:spacing w:line="480" w:lineRule="auto"/>
        <w:rPr>
          <w:rFonts w:ascii="Arial" w:hAnsi="Arial" w:cs="Arial"/>
          <w:color w:val="000000"/>
          <w:kern w:val="0"/>
          <w:lang w:val="en-US" w:eastAsia="de-DE" w:bidi="en-US"/>
          <w14:ligatures w14:val="none"/>
        </w:rPr>
      </w:pPr>
      <w:r w:rsidRPr="00ED1C46">
        <w:rPr>
          <w:rFonts w:ascii="Arial" w:hAnsi="Arial" w:cs="Arial"/>
          <w:color w:val="000000"/>
          <w:kern w:val="0"/>
          <w:lang w:val="en-US" w:eastAsia="de-DE" w:bidi="en-US"/>
          <w14:ligatures w14:val="none"/>
        </w:rPr>
        <w:t xml:space="preserve">The Supplementary Figure </w:t>
      </w:r>
      <w:r w:rsidR="00034332">
        <w:rPr>
          <w:rFonts w:ascii="Arial" w:hAnsi="Arial" w:cs="Arial"/>
          <w:color w:val="000000"/>
          <w:kern w:val="0"/>
          <w:lang w:val="en-US" w:eastAsia="de-DE" w:bidi="en-US"/>
          <w14:ligatures w14:val="none"/>
        </w:rPr>
        <w:t>S</w:t>
      </w:r>
      <w:r w:rsidRPr="00ED1C46">
        <w:rPr>
          <w:rFonts w:ascii="Arial" w:hAnsi="Arial" w:cs="Arial"/>
          <w:color w:val="000000"/>
          <w:kern w:val="0"/>
          <w:lang w:val="en-US" w:eastAsia="de-DE" w:bidi="en-US"/>
          <w14:ligatures w14:val="none"/>
        </w:rPr>
        <w:t xml:space="preserve">2 </w:t>
      </w:r>
      <w:r w:rsidR="00B2551C" w:rsidRPr="00D52560">
        <w:rPr>
          <w:rFonts w:ascii="Arial" w:hAnsi="Arial" w:cs="Arial"/>
          <w:color w:val="000000"/>
          <w:kern w:val="0"/>
          <w:lang w:val="en-US" w:eastAsia="de-DE" w:bidi="en-US"/>
          <w14:ligatures w14:val="none"/>
        </w:rPr>
        <w:t>provides a detailed depiction of the results categorized according to the confusion matrix mentioned above</w:t>
      </w:r>
      <w:r w:rsidR="00B2551C" w:rsidRPr="00D52560">
        <w:rPr>
          <w:rFonts w:ascii="Segoe UI" w:hAnsi="Segoe UI" w:cs="Segoe UI"/>
          <w:color w:val="0D0D0D"/>
          <w:shd w:val="clear" w:color="auto" w:fill="FFFFFF"/>
          <w:lang w:val="en-US"/>
        </w:rPr>
        <w:t xml:space="preserve"> </w:t>
      </w:r>
      <w:r w:rsidR="00FC70DC" w:rsidRPr="00ED1C46">
        <w:rPr>
          <w:rFonts w:ascii="Arial" w:hAnsi="Arial" w:cs="Arial"/>
          <w:color w:val="000000"/>
          <w:kern w:val="0"/>
          <w:lang w:val="en-US" w:eastAsia="de-DE" w:bidi="en-US"/>
          <w14:ligatures w14:val="none"/>
        </w:rPr>
        <w:t xml:space="preserve">(Supplementary Table </w:t>
      </w:r>
      <w:r w:rsidR="00034332">
        <w:rPr>
          <w:rFonts w:ascii="Arial" w:hAnsi="Arial" w:cs="Arial"/>
          <w:color w:val="000000"/>
          <w:kern w:val="0"/>
          <w:lang w:val="en-US" w:eastAsia="de-DE" w:bidi="en-US"/>
          <w14:ligatures w14:val="none"/>
        </w:rPr>
        <w:t>S</w:t>
      </w:r>
      <w:r w:rsidR="00FC70DC" w:rsidRPr="00ED1C46">
        <w:rPr>
          <w:rFonts w:ascii="Arial" w:hAnsi="Arial" w:cs="Arial"/>
          <w:color w:val="000000"/>
          <w:kern w:val="0"/>
          <w:lang w:val="en-US" w:eastAsia="de-DE" w:bidi="en-US"/>
          <w14:ligatures w14:val="none"/>
        </w:rPr>
        <w:t>1)</w:t>
      </w:r>
      <w:r w:rsidRPr="00ED1C46">
        <w:rPr>
          <w:rFonts w:ascii="Arial" w:hAnsi="Arial" w:cs="Arial"/>
          <w:color w:val="000000"/>
          <w:kern w:val="0"/>
          <w:lang w:val="en-US" w:eastAsia="de-DE" w:bidi="en-US"/>
          <w14:ligatures w14:val="none"/>
        </w:rPr>
        <w:t xml:space="preserve">, </w:t>
      </w:r>
      <w:r w:rsidR="00B2551C">
        <w:rPr>
          <w:rFonts w:ascii="Arial" w:hAnsi="Arial" w:cs="Arial"/>
          <w:color w:val="000000"/>
          <w:kern w:val="0"/>
          <w:lang w:val="en-US" w:eastAsia="de-DE" w:bidi="en-US"/>
          <w14:ligatures w14:val="none"/>
        </w:rPr>
        <w:t>showcasing</w:t>
      </w:r>
      <w:r w:rsidRPr="00ED1C46">
        <w:rPr>
          <w:rFonts w:ascii="Arial" w:hAnsi="Arial" w:cs="Arial"/>
          <w:color w:val="000000"/>
          <w:kern w:val="0"/>
          <w:lang w:val="en-US" w:eastAsia="de-DE" w:bidi="en-US"/>
          <w14:ligatures w14:val="none"/>
        </w:rPr>
        <w:t xml:space="preserve"> a scatterplot of the two ratios (measured and estimated). The regression line of the data is very similar to the identity line. </w:t>
      </w:r>
      <w:r w:rsidR="001D2666" w:rsidRPr="00ED1C46">
        <w:rPr>
          <w:rFonts w:ascii="Arial" w:hAnsi="Arial" w:cs="Arial"/>
          <w:color w:val="000000"/>
          <w:kern w:val="0"/>
          <w:lang w:val="en-US" w:eastAsia="de-DE" w:bidi="en-US"/>
          <w14:ligatures w14:val="none"/>
        </w:rPr>
        <w:t xml:space="preserve">Five false positive patients </w:t>
      </w:r>
      <w:r w:rsidRPr="00ED1C46">
        <w:rPr>
          <w:rFonts w:ascii="Arial" w:hAnsi="Arial" w:cs="Arial"/>
          <w:color w:val="000000"/>
          <w:kern w:val="0"/>
          <w:lang w:val="en-US" w:eastAsia="de-DE" w:bidi="en-US"/>
          <w14:ligatures w14:val="none"/>
        </w:rPr>
        <w:t xml:space="preserve">can be seen in the upper-left quadrant, and 4 </w:t>
      </w:r>
      <w:r w:rsidR="001D2666" w:rsidRPr="00ED1C46">
        <w:rPr>
          <w:rFonts w:ascii="Arial" w:hAnsi="Arial" w:cs="Arial"/>
          <w:color w:val="000000"/>
          <w:kern w:val="0"/>
          <w:lang w:val="en-US" w:eastAsia="de-DE" w:bidi="en-US"/>
          <w14:ligatures w14:val="none"/>
        </w:rPr>
        <w:t xml:space="preserve">false negative patients </w:t>
      </w:r>
      <w:r w:rsidRPr="00ED1C46">
        <w:rPr>
          <w:rFonts w:ascii="Arial" w:hAnsi="Arial" w:cs="Arial"/>
          <w:color w:val="000000"/>
          <w:kern w:val="0"/>
          <w:lang w:val="en-US" w:eastAsia="de-DE" w:bidi="en-US"/>
          <w14:ligatures w14:val="none"/>
        </w:rPr>
        <w:t>in the lower-right quadrant. Three of those values, however, are borderline.</w:t>
      </w:r>
    </w:p>
    <w:p w14:paraId="1D942D21" w14:textId="77777777" w:rsidR="002242EA" w:rsidRPr="00ED1C46" w:rsidRDefault="002242EA" w:rsidP="001B0ADC">
      <w:pPr>
        <w:pStyle w:val="MDPI31text"/>
        <w:spacing w:line="480" w:lineRule="auto"/>
        <w:ind w:left="0" w:firstLine="0"/>
        <w:rPr>
          <w:rFonts w:ascii="Arial" w:hAnsi="Arial" w:cs="Arial"/>
          <w:b/>
          <w:bCs/>
          <w:sz w:val="24"/>
          <w:szCs w:val="24"/>
        </w:rPr>
      </w:pPr>
    </w:p>
    <w:p w14:paraId="5474D5DB" w14:textId="6C1D56CF" w:rsidR="001D2666" w:rsidRPr="00ED1C46" w:rsidRDefault="000233DB" w:rsidP="001B0ADC">
      <w:pPr>
        <w:pStyle w:val="MDPI31text"/>
        <w:spacing w:line="480" w:lineRule="auto"/>
        <w:ind w:left="0" w:firstLine="0"/>
        <w:rPr>
          <w:rFonts w:ascii="Arial" w:hAnsi="Arial" w:cs="Arial"/>
          <w:sz w:val="24"/>
          <w:szCs w:val="24"/>
        </w:rPr>
      </w:pPr>
      <w:proofErr w:type="gramStart"/>
      <w:r w:rsidRPr="00ED1C46">
        <w:rPr>
          <w:rFonts w:ascii="Arial" w:hAnsi="Arial" w:cs="Arial"/>
          <w:b/>
          <w:bCs/>
          <w:sz w:val="24"/>
          <w:szCs w:val="24"/>
        </w:rPr>
        <w:t xml:space="preserve">Supplementary Figure </w:t>
      </w:r>
      <w:r w:rsidR="00034332">
        <w:rPr>
          <w:rFonts w:ascii="Arial" w:hAnsi="Arial" w:cs="Arial"/>
          <w:b/>
          <w:bCs/>
          <w:sz w:val="24"/>
          <w:szCs w:val="24"/>
        </w:rPr>
        <w:t>S</w:t>
      </w:r>
      <w:r w:rsidR="00AE4155" w:rsidRPr="00ED1C46">
        <w:rPr>
          <w:rFonts w:ascii="Arial" w:hAnsi="Arial" w:cs="Arial"/>
          <w:b/>
          <w:bCs/>
          <w:sz w:val="24"/>
          <w:szCs w:val="24"/>
        </w:rPr>
        <w:t>2</w:t>
      </w:r>
      <w:r w:rsidRPr="00ED1C46">
        <w:rPr>
          <w:rFonts w:ascii="Arial" w:hAnsi="Arial" w:cs="Arial"/>
          <w:b/>
          <w:bCs/>
          <w:sz w:val="24"/>
          <w:szCs w:val="24"/>
        </w:rPr>
        <w:t>.</w:t>
      </w:r>
      <w:proofErr w:type="gramEnd"/>
      <w:r w:rsidRPr="00ED1C46">
        <w:rPr>
          <w:rFonts w:ascii="Arial" w:hAnsi="Arial" w:cs="Arial"/>
          <w:b/>
          <w:bCs/>
          <w:sz w:val="24"/>
          <w:szCs w:val="24"/>
        </w:rPr>
        <w:t xml:space="preserve"> </w:t>
      </w:r>
      <w:r w:rsidR="001D2666" w:rsidRPr="00ED1C46">
        <w:rPr>
          <w:rFonts w:ascii="Arial" w:hAnsi="Arial" w:cs="Arial"/>
          <w:b/>
          <w:bCs/>
          <w:sz w:val="24"/>
          <w:szCs w:val="24"/>
        </w:rPr>
        <w:t xml:space="preserve">Diagnosis of AKI using estimated basal creatinine versus measured basal creatinine (gold standard). </w:t>
      </w:r>
      <w:r w:rsidR="001D2666" w:rsidRPr="00ED1C46">
        <w:rPr>
          <w:rFonts w:ascii="Arial" w:hAnsi="Arial" w:cs="Arial"/>
          <w:sz w:val="24"/>
          <w:szCs w:val="24"/>
        </w:rPr>
        <w:t xml:space="preserve">The brown line is the identity line. The blue line is the linear regression line. The cyan dashed line </w:t>
      </w:r>
      <w:r w:rsidR="009B3A48">
        <w:rPr>
          <w:rFonts w:ascii="Arial" w:hAnsi="Arial" w:cs="Arial"/>
          <w:sz w:val="24"/>
          <w:szCs w:val="24"/>
        </w:rPr>
        <w:t>indicates</w:t>
      </w:r>
      <w:r w:rsidR="001D2666" w:rsidRPr="00ED1C46">
        <w:rPr>
          <w:rFonts w:ascii="Arial" w:hAnsi="Arial" w:cs="Arial"/>
          <w:sz w:val="24"/>
          <w:szCs w:val="24"/>
        </w:rPr>
        <w:t xml:space="preserve"> the 1.5 threshold for the diagnosis of AKI according to the two different axes. </w:t>
      </w:r>
      <w:r w:rsidR="001D2666" w:rsidRPr="00ED1C46">
        <w:rPr>
          <w:rFonts w:ascii="Arial" w:hAnsi="Arial" w:cs="Arial"/>
          <w:i/>
          <w:iCs/>
          <w:sz w:val="24"/>
          <w:szCs w:val="24"/>
        </w:rPr>
        <w:t xml:space="preserve">Abbreviations: </w:t>
      </w:r>
      <w:r w:rsidR="001D2666" w:rsidRPr="00ED1C46">
        <w:rPr>
          <w:rFonts w:ascii="Arial" w:hAnsi="Arial" w:cs="Arial"/>
          <w:sz w:val="24"/>
          <w:szCs w:val="24"/>
        </w:rPr>
        <w:t>FN, false negative; FP, false positive; TN, true negative; TP, true positive.</w:t>
      </w:r>
    </w:p>
    <w:p w14:paraId="57570F68" w14:textId="13A3F5E1" w:rsidR="005D7357" w:rsidRPr="00ED1C46" w:rsidRDefault="001D2666" w:rsidP="001B0ADC">
      <w:pPr>
        <w:pStyle w:val="MDPI31text"/>
        <w:spacing w:line="480" w:lineRule="auto"/>
        <w:ind w:left="0" w:firstLine="0"/>
        <w:rPr>
          <w:rFonts w:ascii="Arial" w:hAnsi="Arial" w:cs="Arial"/>
          <w:b/>
          <w:bCs/>
          <w:sz w:val="24"/>
          <w:szCs w:val="24"/>
          <w:highlight w:val="yellow"/>
        </w:rPr>
      </w:pPr>
      <w:r w:rsidRPr="00ED1C46">
        <w:rPr>
          <w:rFonts w:ascii="Arial" w:hAnsi="Arial" w:cs="Arial"/>
          <w:noProof/>
          <w:sz w:val="24"/>
          <w:szCs w:val="24"/>
          <w:lang w:val="en-GB" w:eastAsia="en-GB" w:bidi="ar-SA"/>
        </w:rPr>
        <w:lastRenderedPageBreak/>
        <w:drawing>
          <wp:anchor distT="0" distB="0" distL="114300" distR="114300" simplePos="0" relativeHeight="251658240" behindDoc="0" locked="0" layoutInCell="1" allowOverlap="1" wp14:anchorId="023EB5E8" wp14:editId="3437F3EF">
            <wp:simplePos x="0" y="0"/>
            <wp:positionH relativeFrom="column">
              <wp:posOffset>3175</wp:posOffset>
            </wp:positionH>
            <wp:positionV relativeFrom="paragraph">
              <wp:posOffset>342886</wp:posOffset>
            </wp:positionV>
            <wp:extent cx="6120130" cy="4112260"/>
            <wp:effectExtent l="0" t="0" r="1270" b="2540"/>
            <wp:wrapSquare wrapText="bothSides"/>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cstate="print">
                      <a:extLst>
                        <a:ext uri="{28A0092B-C50C-407E-A947-70E740481C1C}">
                          <a14:useLocalDpi xmlns:a14="http://schemas.microsoft.com/office/drawing/2010/main" val="0"/>
                        </a:ext>
                      </a:extLst>
                    </a:blip>
                    <a:srcRect t="14247"/>
                    <a:stretch/>
                  </pic:blipFill>
                  <pic:spPr bwMode="auto">
                    <a:xfrm>
                      <a:off x="0" y="0"/>
                      <a:ext cx="6120130" cy="411226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409A43CB" w14:textId="77777777" w:rsidR="001D2666" w:rsidRPr="00ED1C46" w:rsidRDefault="001D2666" w:rsidP="005D7357">
      <w:pPr>
        <w:rPr>
          <w:rFonts w:ascii="Arial" w:hAnsi="Arial" w:cs="Arial"/>
          <w:lang w:val="en-US"/>
        </w:rPr>
      </w:pPr>
    </w:p>
    <w:p w14:paraId="20E1D8E6" w14:textId="5F73661D" w:rsidR="00AE4155" w:rsidRPr="00ED1C46" w:rsidRDefault="005D7357" w:rsidP="007643CA">
      <w:pPr>
        <w:spacing w:line="480" w:lineRule="auto"/>
        <w:rPr>
          <w:rFonts w:ascii="Arial" w:hAnsi="Arial" w:cs="Arial"/>
          <w:color w:val="000000"/>
          <w:kern w:val="0"/>
          <w:lang w:val="en-US" w:eastAsia="de-DE" w:bidi="en-US"/>
          <w14:ligatures w14:val="none"/>
        </w:rPr>
      </w:pPr>
      <w:r w:rsidRPr="00ED1C46">
        <w:rPr>
          <w:rFonts w:ascii="Arial" w:hAnsi="Arial" w:cs="Arial"/>
          <w:color w:val="000000"/>
          <w:kern w:val="0"/>
          <w:lang w:val="en-US" w:eastAsia="de-DE" w:bidi="en-US"/>
          <w14:ligatures w14:val="none"/>
        </w:rPr>
        <w:t xml:space="preserve">In conclusion, </w:t>
      </w:r>
      <w:r w:rsidR="00870612" w:rsidRPr="00ED1C46">
        <w:rPr>
          <w:rFonts w:ascii="Arial" w:hAnsi="Arial" w:cs="Arial"/>
          <w:color w:val="000000"/>
          <w:kern w:val="0"/>
          <w:lang w:val="en-US" w:eastAsia="de-DE" w:bidi="en-US"/>
          <w14:ligatures w14:val="none"/>
        </w:rPr>
        <w:t xml:space="preserve">the </w:t>
      </w:r>
      <w:r w:rsidR="007643CA" w:rsidRPr="00ED1C46">
        <w:rPr>
          <w:rFonts w:ascii="Arial" w:hAnsi="Arial" w:cs="Arial"/>
          <w:color w:val="000000"/>
          <w:kern w:val="0"/>
          <w:lang w:val="en-US" w:eastAsia="de-DE" w:bidi="en-US"/>
          <w14:ligatures w14:val="none"/>
        </w:rPr>
        <w:t xml:space="preserve">ebSCr calculated on the basis of the </w:t>
      </w:r>
      <w:r w:rsidR="00083885" w:rsidRPr="00ED1C46">
        <w:rPr>
          <w:rFonts w:ascii="Arial" w:hAnsi="Arial" w:cs="Arial"/>
          <w:color w:val="000000"/>
          <w:kern w:val="0"/>
          <w:lang w:val="en-US" w:eastAsia="de-DE" w:bidi="en-US"/>
          <w14:ligatures w14:val="none"/>
        </w:rPr>
        <w:t>Hoste (age)</w:t>
      </w:r>
      <w:r w:rsidR="007643CA" w:rsidRPr="00ED1C46">
        <w:rPr>
          <w:rFonts w:ascii="Arial" w:hAnsi="Arial" w:cs="Arial"/>
          <w:color w:val="000000"/>
          <w:kern w:val="0"/>
          <w:lang w:val="en-US" w:eastAsia="de-DE" w:bidi="en-US"/>
          <w14:ligatures w14:val="none"/>
        </w:rPr>
        <w:t xml:space="preserve"> equation is feasible </w:t>
      </w:r>
      <w:r w:rsidR="009B3A48">
        <w:rPr>
          <w:rFonts w:ascii="Arial" w:hAnsi="Arial" w:cs="Arial"/>
          <w:color w:val="000000"/>
          <w:kern w:val="0"/>
          <w:lang w:val="en-US" w:eastAsia="de-DE" w:bidi="en-US"/>
          <w14:ligatures w14:val="none"/>
        </w:rPr>
        <w:t>for</w:t>
      </w:r>
      <w:r w:rsidR="009B3A48" w:rsidRPr="00ED1C46">
        <w:rPr>
          <w:rFonts w:ascii="Arial" w:hAnsi="Arial" w:cs="Arial"/>
          <w:color w:val="000000"/>
          <w:kern w:val="0"/>
          <w:lang w:val="en-US" w:eastAsia="de-DE" w:bidi="en-US"/>
          <w14:ligatures w14:val="none"/>
        </w:rPr>
        <w:t xml:space="preserve"> </w:t>
      </w:r>
      <w:r w:rsidR="007643CA" w:rsidRPr="00ED1C46">
        <w:rPr>
          <w:rFonts w:ascii="Arial" w:hAnsi="Arial" w:cs="Arial"/>
          <w:color w:val="000000"/>
          <w:kern w:val="0"/>
          <w:lang w:val="en-US" w:eastAsia="de-DE" w:bidi="en-US"/>
          <w14:ligatures w14:val="none"/>
        </w:rPr>
        <w:t xml:space="preserve">AKI diagnosis compared </w:t>
      </w:r>
      <w:r w:rsidR="009B3A48">
        <w:rPr>
          <w:rFonts w:ascii="Arial" w:hAnsi="Arial" w:cs="Arial"/>
          <w:color w:val="000000"/>
          <w:kern w:val="0"/>
          <w:lang w:val="en-US" w:eastAsia="de-DE" w:bidi="en-US"/>
          <w14:ligatures w14:val="none"/>
        </w:rPr>
        <w:t>to</w:t>
      </w:r>
      <w:r w:rsidR="007643CA" w:rsidRPr="00ED1C46">
        <w:rPr>
          <w:rFonts w:ascii="Arial" w:hAnsi="Arial" w:cs="Arial"/>
          <w:color w:val="000000"/>
          <w:kern w:val="0"/>
          <w:lang w:val="en-US" w:eastAsia="de-DE" w:bidi="en-US"/>
          <w14:ligatures w14:val="none"/>
        </w:rPr>
        <w:t xml:space="preserve"> mbSCr (gold standard), as </w:t>
      </w:r>
      <w:r w:rsidR="009B3A48">
        <w:rPr>
          <w:rFonts w:ascii="Arial" w:hAnsi="Arial" w:cs="Arial"/>
          <w:color w:val="000000"/>
          <w:kern w:val="0"/>
          <w:lang w:val="en-US" w:eastAsia="de-DE" w:bidi="en-US"/>
          <w14:ligatures w14:val="none"/>
        </w:rPr>
        <w:t>previously</w:t>
      </w:r>
      <w:r w:rsidR="007643CA" w:rsidRPr="00ED1C46">
        <w:rPr>
          <w:rFonts w:ascii="Arial" w:hAnsi="Arial" w:cs="Arial"/>
          <w:color w:val="000000"/>
          <w:kern w:val="0"/>
          <w:lang w:val="en-US" w:eastAsia="de-DE" w:bidi="en-US"/>
          <w14:ligatures w14:val="none"/>
        </w:rPr>
        <w:t xml:space="preserve"> demonstrated</w:t>
      </w:r>
      <w:r w:rsidR="00B50FFC" w:rsidRPr="00ED1C46">
        <w:rPr>
          <w:rFonts w:ascii="Arial" w:hAnsi="Arial" w:cs="Arial"/>
          <w:color w:val="000000"/>
          <w:kern w:val="0"/>
          <w:lang w:val="en-US" w:eastAsia="de-DE" w:bidi="en-US"/>
          <w14:ligatures w14:val="none"/>
        </w:rPr>
        <w:t xml:space="preserve"> in children with median age of 3.9 years</w:t>
      </w:r>
      <w:r w:rsidR="007643CA" w:rsidRPr="00ED1C46">
        <w:rPr>
          <w:rFonts w:ascii="Arial" w:hAnsi="Arial" w:cs="Arial"/>
          <w:color w:val="000000"/>
          <w:kern w:val="0"/>
          <w:lang w:val="en-US" w:eastAsia="de-DE" w:bidi="en-US"/>
          <w14:ligatures w14:val="none"/>
        </w:rPr>
        <w:t>.</w:t>
      </w:r>
      <w:sdt>
        <w:sdtPr>
          <w:rPr>
            <w:rFonts w:ascii="Arial" w:hAnsi="Arial" w:cs="Arial"/>
            <w:color w:val="000000"/>
            <w:kern w:val="0"/>
            <w:vertAlign w:val="superscript"/>
            <w:lang w:val="en-US" w:eastAsia="de-DE" w:bidi="en-US"/>
            <w14:ligatures w14:val="none"/>
          </w:rPr>
          <w:tag w:val="MENDELEY_CITATION_v3_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"/>
          <w:id w:val="168769123"/>
          <w:placeholder>
            <w:docPart w:val="DefaultPlaceholder_-1854013440"/>
          </w:placeholder>
        </w:sdtPr>
        <w:sdtEndPr/>
        <w:sdtContent>
          <w:r w:rsidR="00FD72EB" w:rsidRPr="00FD72EB">
            <w:rPr>
              <w:rFonts w:ascii="Arial" w:hAnsi="Arial" w:cs="Arial"/>
              <w:color w:val="000000"/>
              <w:kern w:val="0"/>
              <w:vertAlign w:val="superscript"/>
              <w:lang w:val="en-US" w:eastAsia="de-DE" w:bidi="en-US"/>
              <w14:ligatures w14:val="none"/>
            </w:rPr>
            <w:t>7</w:t>
          </w:r>
        </w:sdtContent>
      </w:sdt>
      <w:r w:rsidR="007643CA" w:rsidRPr="00ED1C46">
        <w:rPr>
          <w:rFonts w:ascii="Arial" w:hAnsi="Arial" w:cs="Arial"/>
          <w:color w:val="000000"/>
          <w:kern w:val="0"/>
          <w:lang w:val="en-US" w:eastAsia="de-DE" w:bidi="en-US"/>
          <w14:ligatures w14:val="none"/>
        </w:rPr>
        <w:t xml:space="preserve">  </w:t>
      </w:r>
      <w:r w:rsidR="009B3A48" w:rsidRPr="00D52560">
        <w:rPr>
          <w:rFonts w:ascii="Arial" w:hAnsi="Arial" w:cs="Arial"/>
          <w:color w:val="000000"/>
          <w:kern w:val="0"/>
          <w:lang w:val="en-US" w:eastAsia="de-DE" w:bidi="en-US"/>
          <w14:ligatures w14:val="none"/>
        </w:rPr>
        <w:t>However, our data further reinforce the reliability of this method in children with a median age of 0.5 months. Therefore, employing ebSCr for AKI diagnosis appears to be a valid alternative to mbSCr when the latter is unavailable</w:t>
      </w:r>
      <w:r w:rsidR="009B3A48">
        <w:rPr>
          <w:rFonts w:ascii="Arial" w:hAnsi="Arial" w:cs="Arial"/>
          <w:color w:val="000000"/>
          <w:kern w:val="0"/>
          <w:lang w:val="en-US" w:eastAsia="de-DE" w:bidi="en-US"/>
          <w14:ligatures w14:val="none"/>
        </w:rPr>
        <w:t>.</w:t>
      </w:r>
    </w:p>
    <w:p w14:paraId="4312507C" w14:textId="5D23A039" w:rsidR="00B50FFC" w:rsidRPr="00ED1C46" w:rsidRDefault="006B2C85" w:rsidP="007643CA">
      <w:pPr>
        <w:spacing w:line="480" w:lineRule="auto"/>
        <w:rPr>
          <w:rFonts w:ascii="Arial" w:hAnsi="Arial" w:cs="Arial"/>
          <w:b/>
          <w:bCs/>
          <w:color w:val="000000"/>
          <w:kern w:val="0"/>
          <w:lang w:val="en-US" w:eastAsia="de-DE" w:bidi="en-US"/>
          <w14:ligatures w14:val="none"/>
        </w:rPr>
      </w:pPr>
      <w:r w:rsidRPr="00ED1C46">
        <w:rPr>
          <w:rFonts w:ascii="Arial" w:hAnsi="Arial" w:cs="Arial"/>
          <w:b/>
          <w:bCs/>
          <w:color w:val="000000"/>
          <w:kern w:val="0"/>
          <w:lang w:val="en-US" w:eastAsia="de-DE" w:bidi="en-US"/>
          <w14:ligatures w14:val="none"/>
        </w:rPr>
        <w:t xml:space="preserve">Supplementary </w:t>
      </w:r>
      <w:r w:rsidR="00B50FFC" w:rsidRPr="00ED1C46">
        <w:rPr>
          <w:rFonts w:ascii="Arial" w:hAnsi="Arial" w:cs="Arial"/>
          <w:b/>
          <w:bCs/>
          <w:color w:val="000000"/>
          <w:kern w:val="0"/>
          <w:lang w:val="en-US" w:eastAsia="de-DE" w:bidi="en-US"/>
          <w14:ligatures w14:val="none"/>
        </w:rPr>
        <w:t>References</w:t>
      </w:r>
    </w:p>
    <w:sdt>
      <w:sdtPr>
        <w:rPr>
          <w:rFonts w:ascii="Arial" w:hAnsi="Arial" w:cs="Arial"/>
          <w:color w:val="000000"/>
          <w:kern w:val="0"/>
          <w:lang w:val="en-US" w:eastAsia="de-DE" w:bidi="en-US"/>
          <w14:ligatures w14:val="none"/>
        </w:rPr>
        <w:tag w:val="MENDELEY_BIBLIOGRAPHY"/>
        <w:id w:val="1296564013"/>
        <w:placeholder>
          <w:docPart w:val="DefaultPlaceholder_-1854013440"/>
        </w:placeholder>
      </w:sdtPr>
      <w:sdtEndPr/>
      <w:sdtContent>
        <w:p w14:paraId="205C7D39" w14:textId="50CCBBB1" w:rsidR="00FD72EB" w:rsidRPr="00D52560" w:rsidRDefault="00FD72EB">
          <w:pPr>
            <w:autoSpaceDE w:val="0"/>
            <w:autoSpaceDN w:val="0"/>
            <w:ind w:hanging="640"/>
            <w:divId w:val="462160114"/>
            <w:rPr>
              <w:rFonts w:eastAsia="Times New Roman"/>
              <w:kern w:val="0"/>
              <w:lang w:val="en-US"/>
              <w14:ligatures w14:val="none"/>
            </w:rPr>
          </w:pPr>
          <w:r w:rsidRPr="00D52560">
            <w:rPr>
              <w:rFonts w:eastAsia="Times New Roman"/>
              <w:lang w:val="en-US"/>
            </w:rPr>
            <w:t xml:space="preserve">1. </w:t>
          </w:r>
          <w:r w:rsidRPr="00D52560">
            <w:rPr>
              <w:rFonts w:eastAsia="Times New Roman"/>
              <w:lang w:val="en-US"/>
            </w:rPr>
            <w:tab/>
          </w:r>
          <w:proofErr w:type="spellStart"/>
          <w:r w:rsidRPr="00D52560">
            <w:rPr>
              <w:rFonts w:eastAsia="Times New Roman"/>
              <w:lang w:val="en-US"/>
            </w:rPr>
            <w:t>Kellum</w:t>
          </w:r>
          <w:proofErr w:type="spellEnd"/>
          <w:r w:rsidRPr="00D52560">
            <w:rPr>
              <w:rFonts w:eastAsia="Times New Roman"/>
              <w:lang w:val="en-US"/>
            </w:rPr>
            <w:t xml:space="preserve"> JA, </w:t>
          </w:r>
          <w:proofErr w:type="spellStart"/>
          <w:r w:rsidRPr="00D52560">
            <w:rPr>
              <w:rFonts w:eastAsia="Times New Roman"/>
              <w:lang w:val="en-US"/>
            </w:rPr>
            <w:t>Lameire</w:t>
          </w:r>
          <w:proofErr w:type="spellEnd"/>
          <w:r w:rsidRPr="00D52560">
            <w:rPr>
              <w:rFonts w:eastAsia="Times New Roman"/>
              <w:lang w:val="en-US"/>
            </w:rPr>
            <w:t xml:space="preserve"> N, </w:t>
          </w:r>
          <w:proofErr w:type="spellStart"/>
          <w:proofErr w:type="gramStart"/>
          <w:r w:rsidRPr="00D52560">
            <w:rPr>
              <w:rFonts w:eastAsia="Times New Roman"/>
              <w:lang w:val="en-US"/>
            </w:rPr>
            <w:t>Aspelin</w:t>
          </w:r>
          <w:proofErr w:type="spellEnd"/>
          <w:proofErr w:type="gramEnd"/>
          <w:r w:rsidRPr="00D52560">
            <w:rPr>
              <w:rFonts w:eastAsia="Times New Roman"/>
              <w:lang w:val="en-US"/>
            </w:rPr>
            <w:t xml:space="preserve"> P, et al</w:t>
          </w:r>
          <w:r w:rsidR="002142A2">
            <w:rPr>
              <w:rFonts w:eastAsia="Times New Roman"/>
              <w:lang w:val="en-US"/>
            </w:rPr>
            <w:t>.</w:t>
          </w:r>
          <w:r w:rsidRPr="00D52560">
            <w:rPr>
              <w:rFonts w:eastAsia="Times New Roman"/>
              <w:lang w:val="en-US"/>
            </w:rPr>
            <w:t xml:space="preserve"> Kidney disease: Improving global outcomes (KDIGO) acute kidney injury work group. KDIGO clinical practice guideline for acute kidney injury. </w:t>
          </w:r>
          <w:r w:rsidRPr="00D52560">
            <w:rPr>
              <w:rFonts w:eastAsia="Times New Roman"/>
              <w:i/>
              <w:iCs/>
              <w:lang w:val="en-US"/>
            </w:rPr>
            <w:t>Kidney Int Suppl</w:t>
          </w:r>
          <w:r w:rsidRPr="00D52560">
            <w:rPr>
              <w:rFonts w:eastAsia="Times New Roman"/>
              <w:lang w:val="en-US"/>
            </w:rPr>
            <w:t xml:space="preserve"> 2012; 2: 1–138. </w:t>
          </w:r>
        </w:p>
        <w:p w14:paraId="173CB4F9" w14:textId="6F7EA671" w:rsidR="00FD72EB" w:rsidRPr="00D52560" w:rsidRDefault="00FD72EB">
          <w:pPr>
            <w:autoSpaceDE w:val="0"/>
            <w:autoSpaceDN w:val="0"/>
            <w:ind w:hanging="640"/>
            <w:divId w:val="821431147"/>
            <w:rPr>
              <w:rFonts w:eastAsia="Times New Roman"/>
              <w:lang w:val="en-US"/>
            </w:rPr>
          </w:pPr>
          <w:r w:rsidRPr="00034332">
            <w:rPr>
              <w:rFonts w:eastAsia="Times New Roman"/>
              <w:lang w:val="sv-SE"/>
            </w:rPr>
            <w:t xml:space="preserve">2. </w:t>
          </w:r>
          <w:r w:rsidRPr="00034332">
            <w:rPr>
              <w:rFonts w:eastAsia="Times New Roman"/>
              <w:lang w:val="sv-SE"/>
            </w:rPr>
            <w:tab/>
          </w:r>
          <w:proofErr w:type="spellStart"/>
          <w:r w:rsidRPr="00034332">
            <w:rPr>
              <w:rFonts w:eastAsia="Times New Roman"/>
              <w:lang w:val="sv-SE"/>
            </w:rPr>
            <w:t>Pottel</w:t>
          </w:r>
          <w:proofErr w:type="spellEnd"/>
          <w:r w:rsidRPr="00034332">
            <w:rPr>
              <w:rFonts w:eastAsia="Times New Roman"/>
              <w:lang w:val="sv-SE"/>
            </w:rPr>
            <w:t xml:space="preserve"> H, </w:t>
          </w:r>
          <w:proofErr w:type="spellStart"/>
          <w:r w:rsidRPr="00034332">
            <w:rPr>
              <w:rFonts w:eastAsia="Times New Roman"/>
              <w:lang w:val="sv-SE"/>
            </w:rPr>
            <w:t>Hoste</w:t>
          </w:r>
          <w:proofErr w:type="spellEnd"/>
          <w:r w:rsidRPr="00034332">
            <w:rPr>
              <w:rFonts w:eastAsia="Times New Roman"/>
              <w:lang w:val="sv-SE"/>
            </w:rPr>
            <w:t xml:space="preserve"> L, </w:t>
          </w:r>
          <w:proofErr w:type="spellStart"/>
          <w:r w:rsidRPr="00034332">
            <w:rPr>
              <w:rFonts w:eastAsia="Times New Roman"/>
              <w:lang w:val="sv-SE"/>
            </w:rPr>
            <w:t>Dubourg</w:t>
          </w:r>
          <w:proofErr w:type="spellEnd"/>
          <w:r w:rsidRPr="00034332">
            <w:rPr>
              <w:rFonts w:eastAsia="Times New Roman"/>
              <w:lang w:val="sv-SE"/>
            </w:rPr>
            <w:t xml:space="preserve"> L, et al</w:t>
          </w:r>
          <w:r w:rsidR="002142A2" w:rsidRPr="00034332">
            <w:rPr>
              <w:rFonts w:eastAsia="Times New Roman"/>
              <w:lang w:val="sv-SE"/>
            </w:rPr>
            <w:t>.</w:t>
          </w:r>
          <w:r w:rsidRPr="00034332">
            <w:rPr>
              <w:rFonts w:eastAsia="Times New Roman"/>
              <w:lang w:val="sv-SE"/>
            </w:rPr>
            <w:t xml:space="preserve"> </w:t>
          </w:r>
          <w:r w:rsidRPr="00D52560">
            <w:rPr>
              <w:rFonts w:eastAsia="Times New Roman"/>
              <w:lang w:val="en-US"/>
            </w:rPr>
            <w:t xml:space="preserve">An estimated glomerular filtration rate equation for the full age spectrum. </w:t>
          </w:r>
          <w:r w:rsidRPr="00D52560">
            <w:rPr>
              <w:rFonts w:eastAsia="Times New Roman"/>
              <w:i/>
              <w:iCs/>
              <w:lang w:val="en-US"/>
            </w:rPr>
            <w:t>Nephrol Dial Transplant</w:t>
          </w:r>
          <w:r w:rsidRPr="00D52560">
            <w:rPr>
              <w:rFonts w:eastAsia="Times New Roman"/>
              <w:lang w:val="en-US"/>
            </w:rPr>
            <w:t xml:space="preserve"> 2016; 31: 798–806. </w:t>
          </w:r>
        </w:p>
        <w:p w14:paraId="0EF76FF4" w14:textId="68C4304A" w:rsidR="00FD72EB" w:rsidRPr="00D52560" w:rsidRDefault="00FD72EB">
          <w:pPr>
            <w:autoSpaceDE w:val="0"/>
            <w:autoSpaceDN w:val="0"/>
            <w:ind w:hanging="640"/>
            <w:divId w:val="608391706"/>
            <w:rPr>
              <w:rFonts w:eastAsia="Times New Roman"/>
              <w:lang w:val="en-US"/>
            </w:rPr>
          </w:pPr>
          <w:r w:rsidRPr="00D52560">
            <w:rPr>
              <w:rFonts w:eastAsia="Times New Roman"/>
            </w:rPr>
            <w:lastRenderedPageBreak/>
            <w:t xml:space="preserve">3. </w:t>
          </w:r>
          <w:r w:rsidRPr="00D52560">
            <w:rPr>
              <w:rFonts w:eastAsia="Times New Roman"/>
            </w:rPr>
            <w:tab/>
          </w:r>
          <w:r w:rsidRPr="002142A2">
            <w:rPr>
              <w:rFonts w:eastAsia="Times New Roman"/>
            </w:rPr>
            <w:t>Marzuillo P, Baldascino M, Guarino S, et al</w:t>
          </w:r>
          <w:r w:rsidR="002142A2" w:rsidRPr="00D52560">
            <w:rPr>
              <w:rFonts w:eastAsia="Times New Roman"/>
            </w:rPr>
            <w:t>.</w:t>
          </w:r>
          <w:r w:rsidRPr="002142A2">
            <w:rPr>
              <w:rFonts w:eastAsia="Times New Roman"/>
            </w:rPr>
            <w:t xml:space="preserve"> </w:t>
          </w:r>
          <w:r w:rsidRPr="00D52560">
            <w:rPr>
              <w:rFonts w:eastAsia="Times New Roman"/>
              <w:lang w:val="en-US"/>
            </w:rPr>
            <w:t xml:space="preserve">Acute Kidney Injury in children hospitalized for acute gastroenteritis: prevalence and risk factors. </w:t>
          </w:r>
          <w:r w:rsidRPr="00D52560">
            <w:rPr>
              <w:rFonts w:eastAsia="Times New Roman"/>
              <w:i/>
              <w:iCs/>
              <w:lang w:val="en-US"/>
            </w:rPr>
            <w:t>Pediatric Nephrology</w:t>
          </w:r>
          <w:r w:rsidRPr="00D52560">
            <w:rPr>
              <w:rFonts w:eastAsia="Times New Roman"/>
              <w:lang w:val="en-US"/>
            </w:rPr>
            <w:t xml:space="preserve"> 2021; 36: 1627–1635.</w:t>
          </w:r>
        </w:p>
        <w:p w14:paraId="458E9FA8" w14:textId="497D6EA9" w:rsidR="00FD72EB" w:rsidRPr="00D52560" w:rsidRDefault="00FD72EB">
          <w:pPr>
            <w:autoSpaceDE w:val="0"/>
            <w:autoSpaceDN w:val="0"/>
            <w:ind w:hanging="640"/>
            <w:divId w:val="1866793291"/>
            <w:rPr>
              <w:rFonts w:eastAsia="Times New Roman"/>
              <w:lang w:val="en-US"/>
            </w:rPr>
          </w:pPr>
          <w:r w:rsidRPr="00D52560">
            <w:rPr>
              <w:rFonts w:eastAsia="Times New Roman"/>
              <w:lang w:val="en-US"/>
            </w:rPr>
            <w:t xml:space="preserve">4. </w:t>
          </w:r>
          <w:r w:rsidRPr="00D52560">
            <w:rPr>
              <w:rFonts w:eastAsia="Times New Roman"/>
              <w:lang w:val="en-US"/>
            </w:rPr>
            <w:tab/>
          </w:r>
          <w:r w:rsidRPr="002142A2">
            <w:rPr>
              <w:rFonts w:eastAsia="Times New Roman"/>
            </w:rPr>
            <w:t>Marzuillo P, Pezzella V, Guarino S, et al</w:t>
          </w:r>
          <w:r w:rsidR="002142A2" w:rsidRPr="00D52560">
            <w:rPr>
              <w:rFonts w:eastAsia="Times New Roman"/>
            </w:rPr>
            <w:t>.</w:t>
          </w:r>
          <w:r w:rsidRPr="002142A2">
            <w:rPr>
              <w:rFonts w:eastAsia="Times New Roman"/>
            </w:rPr>
            <w:t xml:space="preserve"> </w:t>
          </w:r>
          <w:r w:rsidRPr="00D52560">
            <w:rPr>
              <w:rFonts w:eastAsia="Times New Roman"/>
              <w:lang w:val="en-US"/>
            </w:rPr>
            <w:t xml:space="preserve">Acute Kidney Injury in children hospitalized for community acquired pneumonia. </w:t>
          </w:r>
          <w:r w:rsidRPr="00D52560">
            <w:rPr>
              <w:rFonts w:eastAsia="Times New Roman"/>
              <w:i/>
              <w:iCs/>
              <w:lang w:val="en-US"/>
            </w:rPr>
            <w:t>Pediatric Nephrology</w:t>
          </w:r>
          <w:r w:rsidRPr="00D52560">
            <w:rPr>
              <w:rFonts w:eastAsia="Times New Roman"/>
              <w:lang w:val="en-US"/>
            </w:rPr>
            <w:t xml:space="preserve"> 2021; 36: 2883–2890.</w:t>
          </w:r>
        </w:p>
        <w:p w14:paraId="0B8FDCD5" w14:textId="7FDE02CA" w:rsidR="00FD72EB" w:rsidRPr="00D52560" w:rsidRDefault="00FD72EB">
          <w:pPr>
            <w:autoSpaceDE w:val="0"/>
            <w:autoSpaceDN w:val="0"/>
            <w:ind w:hanging="640"/>
            <w:divId w:val="1779374767"/>
            <w:rPr>
              <w:rFonts w:eastAsia="Times New Roman"/>
              <w:lang w:val="en-US"/>
            </w:rPr>
          </w:pPr>
          <w:r w:rsidRPr="00D52560">
            <w:rPr>
              <w:rFonts w:eastAsia="Times New Roman"/>
              <w:lang w:val="en-US"/>
            </w:rPr>
            <w:t xml:space="preserve">5. </w:t>
          </w:r>
          <w:r w:rsidRPr="00D52560">
            <w:rPr>
              <w:rFonts w:eastAsia="Times New Roman"/>
              <w:lang w:val="en-US"/>
            </w:rPr>
            <w:tab/>
          </w:r>
          <w:r w:rsidRPr="002142A2">
            <w:rPr>
              <w:rFonts w:eastAsia="Times New Roman"/>
            </w:rPr>
            <w:t>Marzuillo P, Coppola C, Caiazzo R, et al</w:t>
          </w:r>
          <w:r w:rsidR="002142A2" w:rsidRPr="00D52560">
            <w:rPr>
              <w:rFonts w:eastAsia="Times New Roman"/>
            </w:rPr>
            <w:t>.</w:t>
          </w:r>
          <w:r w:rsidRPr="002142A2">
            <w:rPr>
              <w:rFonts w:eastAsia="Times New Roman"/>
            </w:rPr>
            <w:t xml:space="preserve"> </w:t>
          </w:r>
          <w:r w:rsidRPr="00D52560">
            <w:rPr>
              <w:rFonts w:eastAsia="Times New Roman"/>
              <w:lang w:val="en-US"/>
            </w:rPr>
            <w:t xml:space="preserve">Acute Kidney Injury in Children with Acute Appendicitis. </w:t>
          </w:r>
          <w:r w:rsidRPr="00D52560">
            <w:rPr>
              <w:rFonts w:eastAsia="Times New Roman"/>
              <w:i/>
              <w:iCs/>
              <w:lang w:val="en-US"/>
            </w:rPr>
            <w:t>Children</w:t>
          </w:r>
          <w:r w:rsidRPr="00D52560">
            <w:rPr>
              <w:rFonts w:eastAsia="Times New Roman"/>
              <w:lang w:val="en-US"/>
            </w:rPr>
            <w:t xml:space="preserve"> 2022; 9: 620. </w:t>
          </w:r>
        </w:p>
        <w:p w14:paraId="291780F7" w14:textId="2E1A0F50" w:rsidR="00FD72EB" w:rsidRPr="00D52560" w:rsidRDefault="00FD72EB">
          <w:pPr>
            <w:autoSpaceDE w:val="0"/>
            <w:autoSpaceDN w:val="0"/>
            <w:ind w:hanging="640"/>
            <w:divId w:val="1372875767"/>
            <w:rPr>
              <w:rFonts w:eastAsia="Times New Roman"/>
              <w:lang w:val="en-US"/>
            </w:rPr>
          </w:pPr>
          <w:r w:rsidRPr="00D52560">
            <w:rPr>
              <w:rFonts w:eastAsia="Times New Roman"/>
            </w:rPr>
            <w:t xml:space="preserve">6. </w:t>
          </w:r>
          <w:r w:rsidRPr="00D52560">
            <w:rPr>
              <w:rFonts w:eastAsia="Times New Roman"/>
            </w:rPr>
            <w:tab/>
          </w:r>
          <w:r w:rsidRPr="002142A2">
            <w:rPr>
              <w:rFonts w:eastAsia="Times New Roman"/>
            </w:rPr>
            <w:t>Marzuillo P, Di Sessa A, Golino R, et al</w:t>
          </w:r>
          <w:r w:rsidR="002142A2" w:rsidRPr="00D52560">
            <w:rPr>
              <w:rFonts w:eastAsia="Times New Roman"/>
            </w:rPr>
            <w:t>.</w:t>
          </w:r>
          <w:r w:rsidRPr="002142A2">
            <w:rPr>
              <w:rFonts w:eastAsia="Times New Roman"/>
            </w:rPr>
            <w:t xml:space="preserve"> </w:t>
          </w:r>
          <w:r w:rsidRPr="00D52560">
            <w:rPr>
              <w:rFonts w:eastAsia="Times New Roman"/>
              <w:lang w:val="en-US"/>
            </w:rPr>
            <w:t>Acute kidney injury in infants hospitalized for viral bronchiolitis.</w:t>
          </w:r>
          <w:r w:rsidRPr="00D52560">
            <w:rPr>
              <w:rFonts w:eastAsia="Times New Roman"/>
              <w:i/>
              <w:iCs/>
              <w:lang w:val="en-US"/>
            </w:rPr>
            <w:t xml:space="preserve"> </w:t>
          </w:r>
          <w:proofErr w:type="spellStart"/>
          <w:r w:rsidRPr="00D52560">
            <w:rPr>
              <w:rFonts w:eastAsia="Times New Roman"/>
              <w:i/>
              <w:iCs/>
              <w:lang w:val="en-US"/>
            </w:rPr>
            <w:t>Eur</w:t>
          </w:r>
          <w:proofErr w:type="spellEnd"/>
          <w:r w:rsidRPr="00D52560">
            <w:rPr>
              <w:rFonts w:eastAsia="Times New Roman"/>
              <w:i/>
              <w:iCs/>
              <w:lang w:val="en-US"/>
            </w:rPr>
            <w:t xml:space="preserve"> J </w:t>
          </w:r>
          <w:proofErr w:type="spellStart"/>
          <w:r w:rsidRPr="00D52560">
            <w:rPr>
              <w:rFonts w:eastAsia="Times New Roman"/>
              <w:i/>
              <w:iCs/>
              <w:lang w:val="en-US"/>
            </w:rPr>
            <w:t>Pediatr</w:t>
          </w:r>
          <w:proofErr w:type="spellEnd"/>
          <w:r w:rsidRPr="00D52560">
            <w:rPr>
              <w:rFonts w:eastAsia="Times New Roman"/>
              <w:i/>
              <w:iCs/>
              <w:lang w:val="en-US"/>
            </w:rPr>
            <w:t xml:space="preserve"> </w:t>
          </w:r>
          <w:r w:rsidRPr="00D52560">
            <w:rPr>
              <w:rFonts w:eastAsia="Times New Roman"/>
              <w:lang w:val="en-US"/>
            </w:rPr>
            <w:t>2023</w:t>
          </w:r>
          <w:r w:rsidR="002142A2">
            <w:rPr>
              <w:rFonts w:eastAsia="Times New Roman"/>
              <w:lang w:val="en-US"/>
            </w:rPr>
            <w:t xml:space="preserve">; </w:t>
          </w:r>
          <w:r w:rsidR="002142A2" w:rsidRPr="003F77AE">
            <w:rPr>
              <w:rFonts w:eastAsia="Times New Roman"/>
              <w:lang w:val="en-US"/>
            </w:rPr>
            <w:t>182: 3569-3576</w:t>
          </w:r>
          <w:r w:rsidR="002142A2">
            <w:rPr>
              <w:rFonts w:eastAsia="Times New Roman"/>
              <w:lang w:val="en-US"/>
            </w:rPr>
            <w:t>.</w:t>
          </w:r>
        </w:p>
        <w:p w14:paraId="05BB564E" w14:textId="38CA42A3" w:rsidR="00FD72EB" w:rsidRPr="00D52560" w:rsidRDefault="00FD72EB">
          <w:pPr>
            <w:autoSpaceDE w:val="0"/>
            <w:autoSpaceDN w:val="0"/>
            <w:ind w:hanging="640"/>
            <w:divId w:val="1482311583"/>
            <w:rPr>
              <w:rFonts w:eastAsia="Times New Roman"/>
              <w:lang w:val="en-US"/>
            </w:rPr>
          </w:pPr>
          <w:r w:rsidRPr="00D52560">
            <w:rPr>
              <w:rFonts w:eastAsia="Times New Roman"/>
            </w:rPr>
            <w:t xml:space="preserve">7. </w:t>
          </w:r>
          <w:r w:rsidRPr="00D52560">
            <w:rPr>
              <w:rFonts w:eastAsia="Times New Roman"/>
            </w:rPr>
            <w:tab/>
          </w:r>
          <w:r w:rsidRPr="002142A2">
            <w:rPr>
              <w:rFonts w:eastAsia="Times New Roman"/>
            </w:rPr>
            <w:t>Hessey E, Ali R, Dorais M, et al</w:t>
          </w:r>
          <w:r w:rsidR="002142A2" w:rsidRPr="00D52560">
            <w:rPr>
              <w:rFonts w:eastAsia="Times New Roman"/>
            </w:rPr>
            <w:t>.</w:t>
          </w:r>
          <w:r w:rsidRPr="002142A2">
            <w:rPr>
              <w:rFonts w:eastAsia="Times New Roman"/>
            </w:rPr>
            <w:t xml:space="preserve"> </w:t>
          </w:r>
          <w:r w:rsidRPr="00D52560">
            <w:rPr>
              <w:rFonts w:eastAsia="Times New Roman"/>
              <w:lang w:val="en-US"/>
            </w:rPr>
            <w:t xml:space="preserve">Evaluation of height-dependent and height-independent methods of estimating baseline serum creatinine in critically ill children. </w:t>
          </w:r>
          <w:r w:rsidRPr="00D52560">
            <w:rPr>
              <w:rFonts w:eastAsia="Times New Roman"/>
              <w:i/>
              <w:iCs/>
              <w:lang w:val="en-US"/>
            </w:rPr>
            <w:t>Pediatric Nephrology</w:t>
          </w:r>
          <w:r w:rsidRPr="00D52560">
            <w:rPr>
              <w:rFonts w:eastAsia="Times New Roman"/>
              <w:lang w:val="en-US"/>
            </w:rPr>
            <w:t xml:space="preserve"> 2017; 32: 1953–1962.</w:t>
          </w:r>
        </w:p>
        <w:p w14:paraId="7EEAA841" w14:textId="426B3823" w:rsidR="00FD72EB" w:rsidRPr="00D52560" w:rsidRDefault="00FD72EB">
          <w:pPr>
            <w:autoSpaceDE w:val="0"/>
            <w:autoSpaceDN w:val="0"/>
            <w:ind w:hanging="640"/>
            <w:divId w:val="1158494353"/>
            <w:rPr>
              <w:rFonts w:eastAsia="Times New Roman"/>
              <w:lang w:val="en-US"/>
            </w:rPr>
          </w:pPr>
          <w:r w:rsidRPr="00D52560">
            <w:rPr>
              <w:rFonts w:eastAsia="Times New Roman"/>
              <w:lang w:val="en-US"/>
            </w:rPr>
            <w:t xml:space="preserve">8. </w:t>
          </w:r>
          <w:r w:rsidRPr="00D52560">
            <w:rPr>
              <w:rFonts w:eastAsia="Times New Roman"/>
              <w:lang w:val="en-US"/>
            </w:rPr>
            <w:tab/>
          </w:r>
          <w:r w:rsidRPr="002142A2">
            <w:rPr>
              <w:rFonts w:eastAsia="Times New Roman"/>
            </w:rPr>
            <w:t>Hoste L, Dubourg L, Selistre L, et al</w:t>
          </w:r>
          <w:r w:rsidR="002142A2" w:rsidRPr="00D52560">
            <w:rPr>
              <w:rFonts w:eastAsia="Times New Roman"/>
            </w:rPr>
            <w:t>.</w:t>
          </w:r>
          <w:r w:rsidRPr="002142A2">
            <w:rPr>
              <w:rFonts w:eastAsia="Times New Roman"/>
            </w:rPr>
            <w:t xml:space="preserve"> </w:t>
          </w:r>
          <w:r w:rsidRPr="00D52560">
            <w:rPr>
              <w:rFonts w:eastAsia="Times New Roman"/>
              <w:lang w:val="en-US"/>
            </w:rPr>
            <w:t xml:space="preserve">A new equation to estimate the glomerular filtration rate in children, adolescents and young adults. </w:t>
          </w:r>
          <w:r w:rsidRPr="00D52560">
            <w:rPr>
              <w:rFonts w:eastAsia="Times New Roman"/>
              <w:i/>
              <w:iCs/>
              <w:lang w:val="en-US"/>
            </w:rPr>
            <w:t>Nephrology Dialysis Transplantation</w:t>
          </w:r>
          <w:r w:rsidRPr="00D52560">
            <w:rPr>
              <w:rFonts w:eastAsia="Times New Roman"/>
              <w:lang w:val="en-US"/>
            </w:rPr>
            <w:t xml:space="preserve"> 2014; 29: 1082–1091.</w:t>
          </w:r>
        </w:p>
        <w:p w14:paraId="0B45AF1E" w14:textId="37C8BDE1" w:rsidR="00FD72EB" w:rsidRPr="00D52560" w:rsidRDefault="00FD72EB">
          <w:pPr>
            <w:autoSpaceDE w:val="0"/>
            <w:autoSpaceDN w:val="0"/>
            <w:ind w:hanging="640"/>
            <w:divId w:val="804079306"/>
            <w:rPr>
              <w:rFonts w:eastAsia="Times New Roman"/>
              <w:lang w:val="en-US"/>
            </w:rPr>
          </w:pPr>
          <w:r w:rsidRPr="00D52560">
            <w:rPr>
              <w:rFonts w:eastAsia="Times New Roman"/>
              <w:lang w:val="en-US"/>
            </w:rPr>
            <w:t xml:space="preserve">9. </w:t>
          </w:r>
          <w:r w:rsidRPr="00D52560">
            <w:rPr>
              <w:rFonts w:eastAsia="Times New Roman"/>
              <w:lang w:val="en-US"/>
            </w:rPr>
            <w:tab/>
          </w:r>
          <w:proofErr w:type="spellStart"/>
          <w:r w:rsidRPr="00D52560">
            <w:rPr>
              <w:rFonts w:eastAsia="Times New Roman"/>
              <w:lang w:val="en-US"/>
            </w:rPr>
            <w:t>Piepsz</w:t>
          </w:r>
          <w:proofErr w:type="spellEnd"/>
          <w:r w:rsidRPr="00D52560">
            <w:rPr>
              <w:rFonts w:eastAsia="Times New Roman"/>
              <w:lang w:val="en-US"/>
            </w:rPr>
            <w:t xml:space="preserve"> A, </w:t>
          </w:r>
          <w:proofErr w:type="spellStart"/>
          <w:r w:rsidRPr="00D52560">
            <w:rPr>
              <w:rFonts w:eastAsia="Times New Roman"/>
              <w:lang w:val="en-US"/>
            </w:rPr>
            <w:t>Tondeur</w:t>
          </w:r>
          <w:proofErr w:type="spellEnd"/>
          <w:r w:rsidRPr="00D52560">
            <w:rPr>
              <w:rFonts w:eastAsia="Times New Roman"/>
              <w:lang w:val="en-US"/>
            </w:rPr>
            <w:t xml:space="preserve"> M</w:t>
          </w:r>
          <w:r w:rsidR="002142A2">
            <w:rPr>
              <w:rFonts w:eastAsia="Times New Roman"/>
              <w:lang w:val="en-US"/>
            </w:rPr>
            <w:t xml:space="preserve">, </w:t>
          </w:r>
          <w:r w:rsidRPr="00D52560">
            <w:rPr>
              <w:rFonts w:eastAsia="Times New Roman"/>
              <w:lang w:val="en-US"/>
            </w:rPr>
            <w:t>Ham H</w:t>
          </w:r>
          <w:r w:rsidR="002142A2">
            <w:rPr>
              <w:rFonts w:eastAsia="Times New Roman"/>
              <w:lang w:val="en-US"/>
            </w:rPr>
            <w:t>.</w:t>
          </w:r>
          <w:r w:rsidRPr="00D52560">
            <w:rPr>
              <w:rFonts w:eastAsia="Times New Roman"/>
              <w:lang w:val="en-US"/>
            </w:rPr>
            <w:t xml:space="preserve"> Revisiting normal 51Cr-ethylenediaminetetraacetic acid clearance values in children. </w:t>
          </w:r>
          <w:proofErr w:type="spellStart"/>
          <w:r w:rsidRPr="00D52560">
            <w:rPr>
              <w:rFonts w:eastAsia="Times New Roman"/>
              <w:i/>
              <w:iCs/>
              <w:lang w:val="en-US"/>
            </w:rPr>
            <w:t>Eur</w:t>
          </w:r>
          <w:proofErr w:type="spellEnd"/>
          <w:r w:rsidRPr="00D52560">
            <w:rPr>
              <w:rFonts w:eastAsia="Times New Roman"/>
              <w:i/>
              <w:iCs/>
              <w:lang w:val="en-US"/>
            </w:rPr>
            <w:t xml:space="preserve"> J </w:t>
          </w:r>
          <w:proofErr w:type="spellStart"/>
          <w:r w:rsidRPr="00D52560">
            <w:rPr>
              <w:rFonts w:eastAsia="Times New Roman"/>
              <w:i/>
              <w:iCs/>
              <w:lang w:val="en-US"/>
            </w:rPr>
            <w:t>Nucl</w:t>
          </w:r>
          <w:proofErr w:type="spellEnd"/>
          <w:r w:rsidRPr="00D52560">
            <w:rPr>
              <w:rFonts w:eastAsia="Times New Roman"/>
              <w:i/>
              <w:iCs/>
              <w:lang w:val="en-US"/>
            </w:rPr>
            <w:t xml:space="preserve"> Med Mol Imaging</w:t>
          </w:r>
          <w:r w:rsidRPr="00D52560">
            <w:rPr>
              <w:rFonts w:eastAsia="Times New Roman"/>
              <w:lang w:val="en-US"/>
            </w:rPr>
            <w:t xml:space="preserve"> 2006; 33: 1477–1482.</w:t>
          </w:r>
        </w:p>
        <w:p w14:paraId="598F0DD1" w14:textId="6E221BCC" w:rsidR="00B50FFC" w:rsidRPr="00ED1C46" w:rsidRDefault="00FD72EB" w:rsidP="0054545C">
          <w:pPr>
            <w:spacing w:line="480" w:lineRule="auto"/>
            <w:rPr>
              <w:rFonts w:ascii="Arial" w:hAnsi="Arial" w:cs="Arial"/>
              <w:color w:val="000000"/>
              <w:kern w:val="0"/>
              <w:lang w:val="en-US" w:eastAsia="de-DE" w:bidi="en-US"/>
              <w14:ligatures w14:val="none"/>
            </w:rPr>
          </w:pPr>
          <w:r w:rsidRPr="00D52560">
            <w:rPr>
              <w:rFonts w:eastAsia="Times New Roman"/>
              <w:lang w:val="en-US"/>
            </w:rPr>
            <w:t> </w:t>
          </w:r>
        </w:p>
      </w:sdtContent>
    </w:sdt>
    <w:sectPr w:rsidR="00B50FFC" w:rsidRPr="00ED1C46" w:rsidSect="009C1135">
      <w:footerReference w:type="first" r:id="rId10"/>
      <w:pgSz w:w="11906" w:h="16838" w:code="9"/>
      <w:pgMar w:top="1418" w:right="1134" w:bottom="1134" w:left="1134" w:header="1021" w:footer="340" w:gutter="0"/>
      <w:lnNumType w:countBy="1" w:distance="255" w:restart="continuous"/>
      <w:cols w:space="708"/>
      <w:titlePg/>
      <w:bidi/>
      <w:docGrid w:type="lines"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87F98C" w14:textId="77777777" w:rsidR="00F4705C" w:rsidRDefault="00F4705C" w:rsidP="006D7683">
      <w:r>
        <w:separator/>
      </w:r>
    </w:p>
  </w:endnote>
  <w:endnote w:type="continuationSeparator" w:id="0">
    <w:p w14:paraId="3C8F5D8B" w14:textId="77777777" w:rsidR="00F4705C" w:rsidRDefault="00F4705C" w:rsidP="006D76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8003600"/>
      <w:docPartObj>
        <w:docPartGallery w:val="Page Numbers (Bottom of Page)"/>
        <w:docPartUnique/>
      </w:docPartObj>
    </w:sdtPr>
    <w:sdtEndPr/>
    <w:sdtContent>
      <w:p w14:paraId="78631A4F" w14:textId="36A4B291" w:rsidR="006D7683" w:rsidRDefault="006D7683">
        <w:pPr>
          <w:pStyle w:val="Sidfot"/>
          <w:jc w:val="right"/>
        </w:pPr>
        <w:r>
          <w:fldChar w:fldCharType="begin"/>
        </w:r>
        <w:r>
          <w:instrText>PAGE   \* MERGEFORMAT</w:instrText>
        </w:r>
        <w:r>
          <w:fldChar w:fldCharType="separate"/>
        </w:r>
        <w:r w:rsidR="002833A4">
          <w:rPr>
            <w:noProof/>
          </w:rPr>
          <w:t>1</w:t>
        </w:r>
        <w:r>
          <w:fldChar w:fldCharType="end"/>
        </w:r>
      </w:p>
    </w:sdtContent>
  </w:sdt>
  <w:p w14:paraId="5D0C7E3E" w14:textId="77777777" w:rsidR="006D7683" w:rsidRDefault="006D7683">
    <w:pPr>
      <w:pStyle w:val="Sidfo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8AAB47" w14:textId="77777777" w:rsidR="00F4705C" w:rsidRDefault="00F4705C" w:rsidP="006D7683">
      <w:r>
        <w:separator/>
      </w:r>
    </w:p>
  </w:footnote>
  <w:footnote w:type="continuationSeparator" w:id="0">
    <w:p w14:paraId="4849854D" w14:textId="77777777" w:rsidR="00F4705C" w:rsidRDefault="00F4705C" w:rsidP="006D768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4"/>
  <w:proofState w:spelling="clean" w:grammar="clean"/>
  <w:defaultTabStop w:val="708"/>
  <w:hyphenationZone w:val="283"/>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3CFE"/>
    <w:rsid w:val="00000A12"/>
    <w:rsid w:val="000233DB"/>
    <w:rsid w:val="00025D36"/>
    <w:rsid w:val="00034332"/>
    <w:rsid w:val="00042590"/>
    <w:rsid w:val="0008185E"/>
    <w:rsid w:val="00083885"/>
    <w:rsid w:val="000B23A2"/>
    <w:rsid w:val="000C3034"/>
    <w:rsid w:val="00121D58"/>
    <w:rsid w:val="001328E0"/>
    <w:rsid w:val="0015319B"/>
    <w:rsid w:val="00172109"/>
    <w:rsid w:val="00191715"/>
    <w:rsid w:val="00195C2F"/>
    <w:rsid w:val="001B0ADC"/>
    <w:rsid w:val="001C2CA5"/>
    <w:rsid w:val="001C318F"/>
    <w:rsid w:val="001D2666"/>
    <w:rsid w:val="001D7012"/>
    <w:rsid w:val="001F0730"/>
    <w:rsid w:val="001F4EFA"/>
    <w:rsid w:val="0020213E"/>
    <w:rsid w:val="002142A2"/>
    <w:rsid w:val="002242EA"/>
    <w:rsid w:val="002500BD"/>
    <w:rsid w:val="00270ADF"/>
    <w:rsid w:val="002833A4"/>
    <w:rsid w:val="0029063F"/>
    <w:rsid w:val="002E1030"/>
    <w:rsid w:val="003063C1"/>
    <w:rsid w:val="00311D01"/>
    <w:rsid w:val="00344333"/>
    <w:rsid w:val="0037278B"/>
    <w:rsid w:val="0037356C"/>
    <w:rsid w:val="0037645E"/>
    <w:rsid w:val="0038280B"/>
    <w:rsid w:val="003948AA"/>
    <w:rsid w:val="003A0C05"/>
    <w:rsid w:val="00402CFA"/>
    <w:rsid w:val="004443D8"/>
    <w:rsid w:val="004469B4"/>
    <w:rsid w:val="004C7D77"/>
    <w:rsid w:val="004E21ED"/>
    <w:rsid w:val="005062FE"/>
    <w:rsid w:val="005064B7"/>
    <w:rsid w:val="005439E2"/>
    <w:rsid w:val="0054545C"/>
    <w:rsid w:val="005540B0"/>
    <w:rsid w:val="005835CB"/>
    <w:rsid w:val="005D7357"/>
    <w:rsid w:val="005F20D7"/>
    <w:rsid w:val="0060496C"/>
    <w:rsid w:val="00611F9E"/>
    <w:rsid w:val="0062607A"/>
    <w:rsid w:val="006746E2"/>
    <w:rsid w:val="00680304"/>
    <w:rsid w:val="006825DD"/>
    <w:rsid w:val="006B2C85"/>
    <w:rsid w:val="006D7683"/>
    <w:rsid w:val="00741BB0"/>
    <w:rsid w:val="007643CA"/>
    <w:rsid w:val="007721DA"/>
    <w:rsid w:val="007C41C5"/>
    <w:rsid w:val="007E5DA5"/>
    <w:rsid w:val="00870612"/>
    <w:rsid w:val="008A6B3F"/>
    <w:rsid w:val="008C548A"/>
    <w:rsid w:val="008E2211"/>
    <w:rsid w:val="008F230E"/>
    <w:rsid w:val="00910D23"/>
    <w:rsid w:val="00911FE8"/>
    <w:rsid w:val="00920B38"/>
    <w:rsid w:val="00924A49"/>
    <w:rsid w:val="009514DB"/>
    <w:rsid w:val="009B3A48"/>
    <w:rsid w:val="009C1135"/>
    <w:rsid w:val="009E1745"/>
    <w:rsid w:val="00A20329"/>
    <w:rsid w:val="00AE4155"/>
    <w:rsid w:val="00B037E8"/>
    <w:rsid w:val="00B2222E"/>
    <w:rsid w:val="00B2551C"/>
    <w:rsid w:val="00B50FFC"/>
    <w:rsid w:val="00BD2531"/>
    <w:rsid w:val="00C16B90"/>
    <w:rsid w:val="00CF0685"/>
    <w:rsid w:val="00D52560"/>
    <w:rsid w:val="00DA0CE9"/>
    <w:rsid w:val="00DA3E62"/>
    <w:rsid w:val="00DA79B5"/>
    <w:rsid w:val="00DC7D3F"/>
    <w:rsid w:val="00DD1E61"/>
    <w:rsid w:val="00E310D0"/>
    <w:rsid w:val="00E33CFE"/>
    <w:rsid w:val="00E37ED0"/>
    <w:rsid w:val="00E448B7"/>
    <w:rsid w:val="00E53779"/>
    <w:rsid w:val="00E5434B"/>
    <w:rsid w:val="00E62E05"/>
    <w:rsid w:val="00E87F6E"/>
    <w:rsid w:val="00ED1C46"/>
    <w:rsid w:val="00F20ADE"/>
    <w:rsid w:val="00F4705C"/>
    <w:rsid w:val="00F54055"/>
    <w:rsid w:val="00F56B92"/>
    <w:rsid w:val="00F629C4"/>
    <w:rsid w:val="00F82925"/>
    <w:rsid w:val="00FA1EB8"/>
    <w:rsid w:val="00FB5E9B"/>
    <w:rsid w:val="00FC70DC"/>
    <w:rsid w:val="00FD0BB6"/>
    <w:rsid w:val="00FD72E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9F9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Radnummer">
    <w:name w:val="line number"/>
    <w:basedOn w:val="Standardstycketeckensnitt"/>
    <w:uiPriority w:val="99"/>
    <w:semiHidden/>
    <w:unhideWhenUsed/>
    <w:rsid w:val="00E33CFE"/>
  </w:style>
  <w:style w:type="paragraph" w:customStyle="1" w:styleId="MDPI31text">
    <w:name w:val="MDPI_3.1_text"/>
    <w:qFormat/>
    <w:rsid w:val="001B0ADC"/>
    <w:pPr>
      <w:adjustRightInd w:val="0"/>
      <w:snapToGrid w:val="0"/>
      <w:spacing w:line="228" w:lineRule="auto"/>
      <w:ind w:left="2608" w:firstLine="425"/>
      <w:jc w:val="both"/>
    </w:pPr>
    <w:rPr>
      <w:rFonts w:ascii="Palatino Linotype" w:eastAsia="Times New Roman" w:hAnsi="Palatino Linotype" w:cs="Times New Roman"/>
      <w:snapToGrid w:val="0"/>
      <w:color w:val="000000"/>
      <w:kern w:val="0"/>
      <w:sz w:val="20"/>
      <w:szCs w:val="22"/>
      <w:lang w:val="en-US" w:eastAsia="de-DE" w:bidi="en-US"/>
      <w14:ligatures w14:val="none"/>
    </w:rPr>
  </w:style>
  <w:style w:type="paragraph" w:styleId="HTML-frformaterad">
    <w:name w:val="HTML Preformatted"/>
    <w:basedOn w:val="Normal"/>
    <w:link w:val="HTML-frformateradChar"/>
    <w:uiPriority w:val="99"/>
    <w:unhideWhenUsed/>
    <w:rsid w:val="00911F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eastAsia="it-IT"/>
      <w14:ligatures w14:val="none"/>
    </w:rPr>
  </w:style>
  <w:style w:type="character" w:customStyle="1" w:styleId="HTML-frformateradChar">
    <w:name w:val="HTML - förformaterad Char"/>
    <w:basedOn w:val="Standardstycketeckensnitt"/>
    <w:link w:val="HTML-frformaterad"/>
    <w:uiPriority w:val="99"/>
    <w:rsid w:val="00911FE8"/>
    <w:rPr>
      <w:rFonts w:ascii="Courier New" w:eastAsia="Times New Roman" w:hAnsi="Courier New" w:cs="Courier New"/>
      <w:kern w:val="0"/>
      <w:sz w:val="20"/>
      <w:szCs w:val="20"/>
      <w:lang w:eastAsia="it-IT"/>
      <w14:ligatures w14:val="none"/>
    </w:rPr>
  </w:style>
  <w:style w:type="character" w:customStyle="1" w:styleId="gnd-iwgdn2b">
    <w:name w:val="gnd-iwgdn2b"/>
    <w:basedOn w:val="Standardstycketeckensnitt"/>
    <w:rsid w:val="00911FE8"/>
  </w:style>
  <w:style w:type="character" w:customStyle="1" w:styleId="gnd-iwgdh3b">
    <w:name w:val="gnd-iwgdh3b"/>
    <w:basedOn w:val="Standardstycketeckensnitt"/>
    <w:rsid w:val="00911FE8"/>
  </w:style>
  <w:style w:type="character" w:styleId="Kommentarsreferens">
    <w:name w:val="annotation reference"/>
    <w:basedOn w:val="Standardstycketeckensnitt"/>
    <w:uiPriority w:val="99"/>
    <w:semiHidden/>
    <w:unhideWhenUsed/>
    <w:rsid w:val="00A20329"/>
    <w:rPr>
      <w:sz w:val="16"/>
      <w:szCs w:val="16"/>
    </w:rPr>
  </w:style>
  <w:style w:type="paragraph" w:styleId="Kommentarer">
    <w:name w:val="annotation text"/>
    <w:basedOn w:val="Normal"/>
    <w:link w:val="KommentarerChar"/>
    <w:uiPriority w:val="99"/>
    <w:semiHidden/>
    <w:unhideWhenUsed/>
    <w:rsid w:val="00A20329"/>
    <w:rPr>
      <w:sz w:val="20"/>
      <w:szCs w:val="20"/>
    </w:rPr>
  </w:style>
  <w:style w:type="character" w:customStyle="1" w:styleId="KommentarerChar">
    <w:name w:val="Kommentarer Char"/>
    <w:basedOn w:val="Standardstycketeckensnitt"/>
    <w:link w:val="Kommentarer"/>
    <w:uiPriority w:val="99"/>
    <w:semiHidden/>
    <w:rsid w:val="00A20329"/>
    <w:rPr>
      <w:sz w:val="20"/>
      <w:szCs w:val="20"/>
    </w:rPr>
  </w:style>
  <w:style w:type="paragraph" w:styleId="Kommentarsmne">
    <w:name w:val="annotation subject"/>
    <w:basedOn w:val="Kommentarer"/>
    <w:next w:val="Kommentarer"/>
    <w:link w:val="KommentarsmneChar"/>
    <w:uiPriority w:val="99"/>
    <w:semiHidden/>
    <w:unhideWhenUsed/>
    <w:rsid w:val="00A20329"/>
    <w:rPr>
      <w:b/>
      <w:bCs/>
    </w:rPr>
  </w:style>
  <w:style w:type="character" w:customStyle="1" w:styleId="KommentarsmneChar">
    <w:name w:val="Kommentarsämne Char"/>
    <w:basedOn w:val="KommentarerChar"/>
    <w:link w:val="Kommentarsmne"/>
    <w:uiPriority w:val="99"/>
    <w:semiHidden/>
    <w:rsid w:val="00A20329"/>
    <w:rPr>
      <w:b/>
      <w:bCs/>
      <w:sz w:val="20"/>
      <w:szCs w:val="20"/>
    </w:rPr>
  </w:style>
  <w:style w:type="paragraph" w:styleId="Revision">
    <w:name w:val="Revision"/>
    <w:hidden/>
    <w:uiPriority w:val="99"/>
    <w:semiHidden/>
    <w:rsid w:val="00A20329"/>
  </w:style>
  <w:style w:type="table" w:styleId="Tabellrutnt">
    <w:name w:val="Table Grid"/>
    <w:basedOn w:val="Normaltabell"/>
    <w:uiPriority w:val="39"/>
    <w:rsid w:val="009514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shllartext">
    <w:name w:val="Placeholder Text"/>
    <w:basedOn w:val="Standardstycketeckensnitt"/>
    <w:uiPriority w:val="99"/>
    <w:semiHidden/>
    <w:rsid w:val="00E62E05"/>
    <w:rPr>
      <w:color w:val="808080"/>
    </w:rPr>
  </w:style>
  <w:style w:type="paragraph" w:styleId="Sidhuvud">
    <w:name w:val="header"/>
    <w:basedOn w:val="Normal"/>
    <w:link w:val="SidhuvudChar"/>
    <w:uiPriority w:val="99"/>
    <w:unhideWhenUsed/>
    <w:rsid w:val="006D7683"/>
    <w:pPr>
      <w:tabs>
        <w:tab w:val="center" w:pos="4819"/>
        <w:tab w:val="right" w:pos="9638"/>
      </w:tabs>
    </w:pPr>
  </w:style>
  <w:style w:type="character" w:customStyle="1" w:styleId="SidhuvudChar">
    <w:name w:val="Sidhuvud Char"/>
    <w:basedOn w:val="Standardstycketeckensnitt"/>
    <w:link w:val="Sidhuvud"/>
    <w:uiPriority w:val="99"/>
    <w:rsid w:val="006D7683"/>
  </w:style>
  <w:style w:type="paragraph" w:styleId="Sidfot">
    <w:name w:val="footer"/>
    <w:basedOn w:val="Normal"/>
    <w:link w:val="SidfotChar"/>
    <w:uiPriority w:val="99"/>
    <w:unhideWhenUsed/>
    <w:rsid w:val="006D7683"/>
    <w:pPr>
      <w:tabs>
        <w:tab w:val="center" w:pos="4819"/>
        <w:tab w:val="right" w:pos="9638"/>
      </w:tabs>
    </w:pPr>
  </w:style>
  <w:style w:type="character" w:customStyle="1" w:styleId="SidfotChar">
    <w:name w:val="Sidfot Char"/>
    <w:basedOn w:val="Standardstycketeckensnitt"/>
    <w:link w:val="Sidfot"/>
    <w:uiPriority w:val="99"/>
    <w:rsid w:val="006D7683"/>
  </w:style>
  <w:style w:type="paragraph" w:styleId="Ballongtext">
    <w:name w:val="Balloon Text"/>
    <w:basedOn w:val="Normal"/>
    <w:link w:val="BallongtextChar"/>
    <w:uiPriority w:val="99"/>
    <w:semiHidden/>
    <w:unhideWhenUsed/>
    <w:rsid w:val="00034332"/>
    <w:rPr>
      <w:rFonts w:ascii="Tahoma" w:hAnsi="Tahoma" w:cs="Tahoma"/>
      <w:sz w:val="16"/>
      <w:szCs w:val="16"/>
    </w:rPr>
  </w:style>
  <w:style w:type="character" w:customStyle="1" w:styleId="BallongtextChar">
    <w:name w:val="Ballongtext Char"/>
    <w:basedOn w:val="Standardstycketeckensnitt"/>
    <w:link w:val="Ballongtext"/>
    <w:uiPriority w:val="99"/>
    <w:semiHidden/>
    <w:rsid w:val="0003433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Radnummer">
    <w:name w:val="line number"/>
    <w:basedOn w:val="Standardstycketeckensnitt"/>
    <w:uiPriority w:val="99"/>
    <w:semiHidden/>
    <w:unhideWhenUsed/>
    <w:rsid w:val="00E33CFE"/>
  </w:style>
  <w:style w:type="paragraph" w:customStyle="1" w:styleId="MDPI31text">
    <w:name w:val="MDPI_3.1_text"/>
    <w:qFormat/>
    <w:rsid w:val="001B0ADC"/>
    <w:pPr>
      <w:adjustRightInd w:val="0"/>
      <w:snapToGrid w:val="0"/>
      <w:spacing w:line="228" w:lineRule="auto"/>
      <w:ind w:left="2608" w:firstLine="425"/>
      <w:jc w:val="both"/>
    </w:pPr>
    <w:rPr>
      <w:rFonts w:ascii="Palatino Linotype" w:eastAsia="Times New Roman" w:hAnsi="Palatino Linotype" w:cs="Times New Roman"/>
      <w:snapToGrid w:val="0"/>
      <w:color w:val="000000"/>
      <w:kern w:val="0"/>
      <w:sz w:val="20"/>
      <w:szCs w:val="22"/>
      <w:lang w:val="en-US" w:eastAsia="de-DE" w:bidi="en-US"/>
      <w14:ligatures w14:val="none"/>
    </w:rPr>
  </w:style>
  <w:style w:type="paragraph" w:styleId="HTML-frformaterad">
    <w:name w:val="HTML Preformatted"/>
    <w:basedOn w:val="Normal"/>
    <w:link w:val="HTML-frformateradChar"/>
    <w:uiPriority w:val="99"/>
    <w:unhideWhenUsed/>
    <w:rsid w:val="00911F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kern w:val="0"/>
      <w:sz w:val="20"/>
      <w:szCs w:val="20"/>
      <w:lang w:eastAsia="it-IT"/>
      <w14:ligatures w14:val="none"/>
    </w:rPr>
  </w:style>
  <w:style w:type="character" w:customStyle="1" w:styleId="HTML-frformateradChar">
    <w:name w:val="HTML - förformaterad Char"/>
    <w:basedOn w:val="Standardstycketeckensnitt"/>
    <w:link w:val="HTML-frformaterad"/>
    <w:uiPriority w:val="99"/>
    <w:rsid w:val="00911FE8"/>
    <w:rPr>
      <w:rFonts w:ascii="Courier New" w:eastAsia="Times New Roman" w:hAnsi="Courier New" w:cs="Courier New"/>
      <w:kern w:val="0"/>
      <w:sz w:val="20"/>
      <w:szCs w:val="20"/>
      <w:lang w:eastAsia="it-IT"/>
      <w14:ligatures w14:val="none"/>
    </w:rPr>
  </w:style>
  <w:style w:type="character" w:customStyle="1" w:styleId="gnd-iwgdn2b">
    <w:name w:val="gnd-iwgdn2b"/>
    <w:basedOn w:val="Standardstycketeckensnitt"/>
    <w:rsid w:val="00911FE8"/>
  </w:style>
  <w:style w:type="character" w:customStyle="1" w:styleId="gnd-iwgdh3b">
    <w:name w:val="gnd-iwgdh3b"/>
    <w:basedOn w:val="Standardstycketeckensnitt"/>
    <w:rsid w:val="00911FE8"/>
  </w:style>
  <w:style w:type="character" w:styleId="Kommentarsreferens">
    <w:name w:val="annotation reference"/>
    <w:basedOn w:val="Standardstycketeckensnitt"/>
    <w:uiPriority w:val="99"/>
    <w:semiHidden/>
    <w:unhideWhenUsed/>
    <w:rsid w:val="00A20329"/>
    <w:rPr>
      <w:sz w:val="16"/>
      <w:szCs w:val="16"/>
    </w:rPr>
  </w:style>
  <w:style w:type="paragraph" w:styleId="Kommentarer">
    <w:name w:val="annotation text"/>
    <w:basedOn w:val="Normal"/>
    <w:link w:val="KommentarerChar"/>
    <w:uiPriority w:val="99"/>
    <w:semiHidden/>
    <w:unhideWhenUsed/>
    <w:rsid w:val="00A20329"/>
    <w:rPr>
      <w:sz w:val="20"/>
      <w:szCs w:val="20"/>
    </w:rPr>
  </w:style>
  <w:style w:type="character" w:customStyle="1" w:styleId="KommentarerChar">
    <w:name w:val="Kommentarer Char"/>
    <w:basedOn w:val="Standardstycketeckensnitt"/>
    <w:link w:val="Kommentarer"/>
    <w:uiPriority w:val="99"/>
    <w:semiHidden/>
    <w:rsid w:val="00A20329"/>
    <w:rPr>
      <w:sz w:val="20"/>
      <w:szCs w:val="20"/>
    </w:rPr>
  </w:style>
  <w:style w:type="paragraph" w:styleId="Kommentarsmne">
    <w:name w:val="annotation subject"/>
    <w:basedOn w:val="Kommentarer"/>
    <w:next w:val="Kommentarer"/>
    <w:link w:val="KommentarsmneChar"/>
    <w:uiPriority w:val="99"/>
    <w:semiHidden/>
    <w:unhideWhenUsed/>
    <w:rsid w:val="00A20329"/>
    <w:rPr>
      <w:b/>
      <w:bCs/>
    </w:rPr>
  </w:style>
  <w:style w:type="character" w:customStyle="1" w:styleId="KommentarsmneChar">
    <w:name w:val="Kommentarsämne Char"/>
    <w:basedOn w:val="KommentarerChar"/>
    <w:link w:val="Kommentarsmne"/>
    <w:uiPriority w:val="99"/>
    <w:semiHidden/>
    <w:rsid w:val="00A20329"/>
    <w:rPr>
      <w:b/>
      <w:bCs/>
      <w:sz w:val="20"/>
      <w:szCs w:val="20"/>
    </w:rPr>
  </w:style>
  <w:style w:type="paragraph" w:styleId="Revision">
    <w:name w:val="Revision"/>
    <w:hidden/>
    <w:uiPriority w:val="99"/>
    <w:semiHidden/>
    <w:rsid w:val="00A20329"/>
  </w:style>
  <w:style w:type="table" w:styleId="Tabellrutnt">
    <w:name w:val="Table Grid"/>
    <w:basedOn w:val="Normaltabell"/>
    <w:uiPriority w:val="39"/>
    <w:rsid w:val="009514D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tshllartext">
    <w:name w:val="Placeholder Text"/>
    <w:basedOn w:val="Standardstycketeckensnitt"/>
    <w:uiPriority w:val="99"/>
    <w:semiHidden/>
    <w:rsid w:val="00E62E05"/>
    <w:rPr>
      <w:color w:val="808080"/>
    </w:rPr>
  </w:style>
  <w:style w:type="paragraph" w:styleId="Sidhuvud">
    <w:name w:val="header"/>
    <w:basedOn w:val="Normal"/>
    <w:link w:val="SidhuvudChar"/>
    <w:uiPriority w:val="99"/>
    <w:unhideWhenUsed/>
    <w:rsid w:val="006D7683"/>
    <w:pPr>
      <w:tabs>
        <w:tab w:val="center" w:pos="4819"/>
        <w:tab w:val="right" w:pos="9638"/>
      </w:tabs>
    </w:pPr>
  </w:style>
  <w:style w:type="character" w:customStyle="1" w:styleId="SidhuvudChar">
    <w:name w:val="Sidhuvud Char"/>
    <w:basedOn w:val="Standardstycketeckensnitt"/>
    <w:link w:val="Sidhuvud"/>
    <w:uiPriority w:val="99"/>
    <w:rsid w:val="006D7683"/>
  </w:style>
  <w:style w:type="paragraph" w:styleId="Sidfot">
    <w:name w:val="footer"/>
    <w:basedOn w:val="Normal"/>
    <w:link w:val="SidfotChar"/>
    <w:uiPriority w:val="99"/>
    <w:unhideWhenUsed/>
    <w:rsid w:val="006D7683"/>
    <w:pPr>
      <w:tabs>
        <w:tab w:val="center" w:pos="4819"/>
        <w:tab w:val="right" w:pos="9638"/>
      </w:tabs>
    </w:pPr>
  </w:style>
  <w:style w:type="character" w:customStyle="1" w:styleId="SidfotChar">
    <w:name w:val="Sidfot Char"/>
    <w:basedOn w:val="Standardstycketeckensnitt"/>
    <w:link w:val="Sidfot"/>
    <w:uiPriority w:val="99"/>
    <w:rsid w:val="006D7683"/>
  </w:style>
  <w:style w:type="paragraph" w:styleId="Ballongtext">
    <w:name w:val="Balloon Text"/>
    <w:basedOn w:val="Normal"/>
    <w:link w:val="BallongtextChar"/>
    <w:uiPriority w:val="99"/>
    <w:semiHidden/>
    <w:unhideWhenUsed/>
    <w:rsid w:val="00034332"/>
    <w:rPr>
      <w:rFonts w:ascii="Tahoma" w:hAnsi="Tahoma" w:cs="Tahoma"/>
      <w:sz w:val="16"/>
      <w:szCs w:val="16"/>
    </w:rPr>
  </w:style>
  <w:style w:type="character" w:customStyle="1" w:styleId="BallongtextChar">
    <w:name w:val="Ballongtext Char"/>
    <w:basedOn w:val="Standardstycketeckensnitt"/>
    <w:link w:val="Ballongtext"/>
    <w:uiPriority w:val="99"/>
    <w:semiHidden/>
    <w:rsid w:val="0003433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3375710">
      <w:bodyDiv w:val="1"/>
      <w:marLeft w:val="0"/>
      <w:marRight w:val="0"/>
      <w:marTop w:val="0"/>
      <w:marBottom w:val="0"/>
      <w:divBdr>
        <w:top w:val="none" w:sz="0" w:space="0" w:color="auto"/>
        <w:left w:val="none" w:sz="0" w:space="0" w:color="auto"/>
        <w:bottom w:val="none" w:sz="0" w:space="0" w:color="auto"/>
        <w:right w:val="none" w:sz="0" w:space="0" w:color="auto"/>
      </w:divBdr>
    </w:div>
    <w:div w:id="598804564">
      <w:bodyDiv w:val="1"/>
      <w:marLeft w:val="0"/>
      <w:marRight w:val="0"/>
      <w:marTop w:val="0"/>
      <w:marBottom w:val="0"/>
      <w:divBdr>
        <w:top w:val="none" w:sz="0" w:space="0" w:color="auto"/>
        <w:left w:val="none" w:sz="0" w:space="0" w:color="auto"/>
        <w:bottom w:val="none" w:sz="0" w:space="0" w:color="auto"/>
        <w:right w:val="none" w:sz="0" w:space="0" w:color="auto"/>
      </w:divBdr>
      <w:divsChild>
        <w:div w:id="885217944">
          <w:marLeft w:val="640"/>
          <w:marRight w:val="0"/>
          <w:marTop w:val="0"/>
          <w:marBottom w:val="0"/>
          <w:divBdr>
            <w:top w:val="none" w:sz="0" w:space="0" w:color="auto"/>
            <w:left w:val="none" w:sz="0" w:space="0" w:color="auto"/>
            <w:bottom w:val="none" w:sz="0" w:space="0" w:color="auto"/>
            <w:right w:val="none" w:sz="0" w:space="0" w:color="auto"/>
          </w:divBdr>
        </w:div>
        <w:div w:id="613053868">
          <w:marLeft w:val="640"/>
          <w:marRight w:val="0"/>
          <w:marTop w:val="0"/>
          <w:marBottom w:val="0"/>
          <w:divBdr>
            <w:top w:val="none" w:sz="0" w:space="0" w:color="auto"/>
            <w:left w:val="none" w:sz="0" w:space="0" w:color="auto"/>
            <w:bottom w:val="none" w:sz="0" w:space="0" w:color="auto"/>
            <w:right w:val="none" w:sz="0" w:space="0" w:color="auto"/>
          </w:divBdr>
        </w:div>
        <w:div w:id="62720184">
          <w:marLeft w:val="640"/>
          <w:marRight w:val="0"/>
          <w:marTop w:val="0"/>
          <w:marBottom w:val="0"/>
          <w:divBdr>
            <w:top w:val="none" w:sz="0" w:space="0" w:color="auto"/>
            <w:left w:val="none" w:sz="0" w:space="0" w:color="auto"/>
            <w:bottom w:val="none" w:sz="0" w:space="0" w:color="auto"/>
            <w:right w:val="none" w:sz="0" w:space="0" w:color="auto"/>
          </w:divBdr>
        </w:div>
        <w:div w:id="2094743621">
          <w:marLeft w:val="640"/>
          <w:marRight w:val="0"/>
          <w:marTop w:val="0"/>
          <w:marBottom w:val="0"/>
          <w:divBdr>
            <w:top w:val="none" w:sz="0" w:space="0" w:color="auto"/>
            <w:left w:val="none" w:sz="0" w:space="0" w:color="auto"/>
            <w:bottom w:val="none" w:sz="0" w:space="0" w:color="auto"/>
            <w:right w:val="none" w:sz="0" w:space="0" w:color="auto"/>
          </w:divBdr>
        </w:div>
        <w:div w:id="611592185">
          <w:marLeft w:val="640"/>
          <w:marRight w:val="0"/>
          <w:marTop w:val="0"/>
          <w:marBottom w:val="0"/>
          <w:divBdr>
            <w:top w:val="none" w:sz="0" w:space="0" w:color="auto"/>
            <w:left w:val="none" w:sz="0" w:space="0" w:color="auto"/>
            <w:bottom w:val="none" w:sz="0" w:space="0" w:color="auto"/>
            <w:right w:val="none" w:sz="0" w:space="0" w:color="auto"/>
          </w:divBdr>
        </w:div>
        <w:div w:id="2119329565">
          <w:marLeft w:val="640"/>
          <w:marRight w:val="0"/>
          <w:marTop w:val="0"/>
          <w:marBottom w:val="0"/>
          <w:divBdr>
            <w:top w:val="none" w:sz="0" w:space="0" w:color="auto"/>
            <w:left w:val="none" w:sz="0" w:space="0" w:color="auto"/>
            <w:bottom w:val="none" w:sz="0" w:space="0" w:color="auto"/>
            <w:right w:val="none" w:sz="0" w:space="0" w:color="auto"/>
          </w:divBdr>
        </w:div>
        <w:div w:id="1756784998">
          <w:marLeft w:val="640"/>
          <w:marRight w:val="0"/>
          <w:marTop w:val="0"/>
          <w:marBottom w:val="0"/>
          <w:divBdr>
            <w:top w:val="none" w:sz="0" w:space="0" w:color="auto"/>
            <w:left w:val="none" w:sz="0" w:space="0" w:color="auto"/>
            <w:bottom w:val="none" w:sz="0" w:space="0" w:color="auto"/>
            <w:right w:val="none" w:sz="0" w:space="0" w:color="auto"/>
          </w:divBdr>
        </w:div>
      </w:divsChild>
    </w:div>
    <w:div w:id="1057511876">
      <w:bodyDiv w:val="1"/>
      <w:marLeft w:val="0"/>
      <w:marRight w:val="0"/>
      <w:marTop w:val="0"/>
      <w:marBottom w:val="0"/>
      <w:divBdr>
        <w:top w:val="none" w:sz="0" w:space="0" w:color="auto"/>
        <w:left w:val="none" w:sz="0" w:space="0" w:color="auto"/>
        <w:bottom w:val="none" w:sz="0" w:space="0" w:color="auto"/>
        <w:right w:val="none" w:sz="0" w:space="0" w:color="auto"/>
      </w:divBdr>
      <w:divsChild>
        <w:div w:id="234319210">
          <w:marLeft w:val="640"/>
          <w:marRight w:val="0"/>
          <w:marTop w:val="0"/>
          <w:marBottom w:val="0"/>
          <w:divBdr>
            <w:top w:val="none" w:sz="0" w:space="0" w:color="auto"/>
            <w:left w:val="none" w:sz="0" w:space="0" w:color="auto"/>
            <w:bottom w:val="none" w:sz="0" w:space="0" w:color="auto"/>
            <w:right w:val="none" w:sz="0" w:space="0" w:color="auto"/>
          </w:divBdr>
        </w:div>
        <w:div w:id="565844746">
          <w:marLeft w:val="640"/>
          <w:marRight w:val="0"/>
          <w:marTop w:val="0"/>
          <w:marBottom w:val="0"/>
          <w:divBdr>
            <w:top w:val="none" w:sz="0" w:space="0" w:color="auto"/>
            <w:left w:val="none" w:sz="0" w:space="0" w:color="auto"/>
            <w:bottom w:val="none" w:sz="0" w:space="0" w:color="auto"/>
            <w:right w:val="none" w:sz="0" w:space="0" w:color="auto"/>
          </w:divBdr>
        </w:div>
        <w:div w:id="1708097230">
          <w:marLeft w:val="640"/>
          <w:marRight w:val="0"/>
          <w:marTop w:val="0"/>
          <w:marBottom w:val="0"/>
          <w:divBdr>
            <w:top w:val="none" w:sz="0" w:space="0" w:color="auto"/>
            <w:left w:val="none" w:sz="0" w:space="0" w:color="auto"/>
            <w:bottom w:val="none" w:sz="0" w:space="0" w:color="auto"/>
            <w:right w:val="none" w:sz="0" w:space="0" w:color="auto"/>
          </w:divBdr>
        </w:div>
        <w:div w:id="1313561264">
          <w:marLeft w:val="640"/>
          <w:marRight w:val="0"/>
          <w:marTop w:val="0"/>
          <w:marBottom w:val="0"/>
          <w:divBdr>
            <w:top w:val="none" w:sz="0" w:space="0" w:color="auto"/>
            <w:left w:val="none" w:sz="0" w:space="0" w:color="auto"/>
            <w:bottom w:val="none" w:sz="0" w:space="0" w:color="auto"/>
            <w:right w:val="none" w:sz="0" w:space="0" w:color="auto"/>
          </w:divBdr>
        </w:div>
        <w:div w:id="1089350671">
          <w:marLeft w:val="640"/>
          <w:marRight w:val="0"/>
          <w:marTop w:val="0"/>
          <w:marBottom w:val="0"/>
          <w:divBdr>
            <w:top w:val="none" w:sz="0" w:space="0" w:color="auto"/>
            <w:left w:val="none" w:sz="0" w:space="0" w:color="auto"/>
            <w:bottom w:val="none" w:sz="0" w:space="0" w:color="auto"/>
            <w:right w:val="none" w:sz="0" w:space="0" w:color="auto"/>
          </w:divBdr>
        </w:div>
        <w:div w:id="1320886482">
          <w:marLeft w:val="640"/>
          <w:marRight w:val="0"/>
          <w:marTop w:val="0"/>
          <w:marBottom w:val="0"/>
          <w:divBdr>
            <w:top w:val="none" w:sz="0" w:space="0" w:color="auto"/>
            <w:left w:val="none" w:sz="0" w:space="0" w:color="auto"/>
            <w:bottom w:val="none" w:sz="0" w:space="0" w:color="auto"/>
            <w:right w:val="none" w:sz="0" w:space="0" w:color="auto"/>
          </w:divBdr>
        </w:div>
        <w:div w:id="610553079">
          <w:marLeft w:val="640"/>
          <w:marRight w:val="0"/>
          <w:marTop w:val="0"/>
          <w:marBottom w:val="0"/>
          <w:divBdr>
            <w:top w:val="none" w:sz="0" w:space="0" w:color="auto"/>
            <w:left w:val="none" w:sz="0" w:space="0" w:color="auto"/>
            <w:bottom w:val="none" w:sz="0" w:space="0" w:color="auto"/>
            <w:right w:val="none" w:sz="0" w:space="0" w:color="auto"/>
          </w:divBdr>
        </w:div>
      </w:divsChild>
    </w:div>
    <w:div w:id="1344434935">
      <w:bodyDiv w:val="1"/>
      <w:marLeft w:val="0"/>
      <w:marRight w:val="0"/>
      <w:marTop w:val="0"/>
      <w:marBottom w:val="0"/>
      <w:divBdr>
        <w:top w:val="none" w:sz="0" w:space="0" w:color="auto"/>
        <w:left w:val="none" w:sz="0" w:space="0" w:color="auto"/>
        <w:bottom w:val="none" w:sz="0" w:space="0" w:color="auto"/>
        <w:right w:val="none" w:sz="0" w:space="0" w:color="auto"/>
      </w:divBdr>
      <w:divsChild>
        <w:div w:id="1891723669">
          <w:marLeft w:val="640"/>
          <w:marRight w:val="0"/>
          <w:marTop w:val="0"/>
          <w:marBottom w:val="0"/>
          <w:divBdr>
            <w:top w:val="none" w:sz="0" w:space="0" w:color="auto"/>
            <w:left w:val="none" w:sz="0" w:space="0" w:color="auto"/>
            <w:bottom w:val="none" w:sz="0" w:space="0" w:color="auto"/>
            <w:right w:val="none" w:sz="0" w:space="0" w:color="auto"/>
          </w:divBdr>
        </w:div>
        <w:div w:id="742220019">
          <w:marLeft w:val="640"/>
          <w:marRight w:val="0"/>
          <w:marTop w:val="0"/>
          <w:marBottom w:val="0"/>
          <w:divBdr>
            <w:top w:val="none" w:sz="0" w:space="0" w:color="auto"/>
            <w:left w:val="none" w:sz="0" w:space="0" w:color="auto"/>
            <w:bottom w:val="none" w:sz="0" w:space="0" w:color="auto"/>
            <w:right w:val="none" w:sz="0" w:space="0" w:color="auto"/>
          </w:divBdr>
        </w:div>
        <w:div w:id="2028020991">
          <w:marLeft w:val="640"/>
          <w:marRight w:val="0"/>
          <w:marTop w:val="0"/>
          <w:marBottom w:val="0"/>
          <w:divBdr>
            <w:top w:val="none" w:sz="0" w:space="0" w:color="auto"/>
            <w:left w:val="none" w:sz="0" w:space="0" w:color="auto"/>
            <w:bottom w:val="none" w:sz="0" w:space="0" w:color="auto"/>
            <w:right w:val="none" w:sz="0" w:space="0" w:color="auto"/>
          </w:divBdr>
        </w:div>
        <w:div w:id="1794446606">
          <w:marLeft w:val="640"/>
          <w:marRight w:val="0"/>
          <w:marTop w:val="0"/>
          <w:marBottom w:val="0"/>
          <w:divBdr>
            <w:top w:val="none" w:sz="0" w:space="0" w:color="auto"/>
            <w:left w:val="none" w:sz="0" w:space="0" w:color="auto"/>
            <w:bottom w:val="none" w:sz="0" w:space="0" w:color="auto"/>
            <w:right w:val="none" w:sz="0" w:space="0" w:color="auto"/>
          </w:divBdr>
        </w:div>
        <w:div w:id="1312951814">
          <w:marLeft w:val="640"/>
          <w:marRight w:val="0"/>
          <w:marTop w:val="0"/>
          <w:marBottom w:val="0"/>
          <w:divBdr>
            <w:top w:val="none" w:sz="0" w:space="0" w:color="auto"/>
            <w:left w:val="none" w:sz="0" w:space="0" w:color="auto"/>
            <w:bottom w:val="none" w:sz="0" w:space="0" w:color="auto"/>
            <w:right w:val="none" w:sz="0" w:space="0" w:color="auto"/>
          </w:divBdr>
        </w:div>
        <w:div w:id="84956179">
          <w:marLeft w:val="640"/>
          <w:marRight w:val="0"/>
          <w:marTop w:val="0"/>
          <w:marBottom w:val="0"/>
          <w:divBdr>
            <w:top w:val="none" w:sz="0" w:space="0" w:color="auto"/>
            <w:left w:val="none" w:sz="0" w:space="0" w:color="auto"/>
            <w:bottom w:val="none" w:sz="0" w:space="0" w:color="auto"/>
            <w:right w:val="none" w:sz="0" w:space="0" w:color="auto"/>
          </w:divBdr>
        </w:div>
        <w:div w:id="1927225869">
          <w:marLeft w:val="640"/>
          <w:marRight w:val="0"/>
          <w:marTop w:val="0"/>
          <w:marBottom w:val="0"/>
          <w:divBdr>
            <w:top w:val="none" w:sz="0" w:space="0" w:color="auto"/>
            <w:left w:val="none" w:sz="0" w:space="0" w:color="auto"/>
            <w:bottom w:val="none" w:sz="0" w:space="0" w:color="auto"/>
            <w:right w:val="none" w:sz="0" w:space="0" w:color="auto"/>
          </w:divBdr>
        </w:div>
      </w:divsChild>
    </w:div>
    <w:div w:id="1609894638">
      <w:bodyDiv w:val="1"/>
      <w:marLeft w:val="0"/>
      <w:marRight w:val="0"/>
      <w:marTop w:val="0"/>
      <w:marBottom w:val="0"/>
      <w:divBdr>
        <w:top w:val="none" w:sz="0" w:space="0" w:color="auto"/>
        <w:left w:val="none" w:sz="0" w:space="0" w:color="auto"/>
        <w:bottom w:val="none" w:sz="0" w:space="0" w:color="auto"/>
        <w:right w:val="none" w:sz="0" w:space="0" w:color="auto"/>
      </w:divBdr>
      <w:divsChild>
        <w:div w:id="808548423">
          <w:marLeft w:val="640"/>
          <w:marRight w:val="0"/>
          <w:marTop w:val="0"/>
          <w:marBottom w:val="0"/>
          <w:divBdr>
            <w:top w:val="none" w:sz="0" w:space="0" w:color="auto"/>
            <w:left w:val="none" w:sz="0" w:space="0" w:color="auto"/>
            <w:bottom w:val="none" w:sz="0" w:space="0" w:color="auto"/>
            <w:right w:val="none" w:sz="0" w:space="0" w:color="auto"/>
          </w:divBdr>
        </w:div>
        <w:div w:id="1764109942">
          <w:marLeft w:val="640"/>
          <w:marRight w:val="0"/>
          <w:marTop w:val="0"/>
          <w:marBottom w:val="0"/>
          <w:divBdr>
            <w:top w:val="none" w:sz="0" w:space="0" w:color="auto"/>
            <w:left w:val="none" w:sz="0" w:space="0" w:color="auto"/>
            <w:bottom w:val="none" w:sz="0" w:space="0" w:color="auto"/>
            <w:right w:val="none" w:sz="0" w:space="0" w:color="auto"/>
          </w:divBdr>
        </w:div>
        <w:div w:id="2063942659">
          <w:marLeft w:val="640"/>
          <w:marRight w:val="0"/>
          <w:marTop w:val="0"/>
          <w:marBottom w:val="0"/>
          <w:divBdr>
            <w:top w:val="none" w:sz="0" w:space="0" w:color="auto"/>
            <w:left w:val="none" w:sz="0" w:space="0" w:color="auto"/>
            <w:bottom w:val="none" w:sz="0" w:space="0" w:color="auto"/>
            <w:right w:val="none" w:sz="0" w:space="0" w:color="auto"/>
          </w:divBdr>
        </w:div>
        <w:div w:id="1444231476">
          <w:marLeft w:val="640"/>
          <w:marRight w:val="0"/>
          <w:marTop w:val="0"/>
          <w:marBottom w:val="0"/>
          <w:divBdr>
            <w:top w:val="none" w:sz="0" w:space="0" w:color="auto"/>
            <w:left w:val="none" w:sz="0" w:space="0" w:color="auto"/>
            <w:bottom w:val="none" w:sz="0" w:space="0" w:color="auto"/>
            <w:right w:val="none" w:sz="0" w:space="0" w:color="auto"/>
          </w:divBdr>
        </w:div>
        <w:div w:id="145518054">
          <w:marLeft w:val="640"/>
          <w:marRight w:val="0"/>
          <w:marTop w:val="0"/>
          <w:marBottom w:val="0"/>
          <w:divBdr>
            <w:top w:val="none" w:sz="0" w:space="0" w:color="auto"/>
            <w:left w:val="none" w:sz="0" w:space="0" w:color="auto"/>
            <w:bottom w:val="none" w:sz="0" w:space="0" w:color="auto"/>
            <w:right w:val="none" w:sz="0" w:space="0" w:color="auto"/>
          </w:divBdr>
        </w:div>
        <w:div w:id="703866037">
          <w:marLeft w:val="640"/>
          <w:marRight w:val="0"/>
          <w:marTop w:val="0"/>
          <w:marBottom w:val="0"/>
          <w:divBdr>
            <w:top w:val="none" w:sz="0" w:space="0" w:color="auto"/>
            <w:left w:val="none" w:sz="0" w:space="0" w:color="auto"/>
            <w:bottom w:val="none" w:sz="0" w:space="0" w:color="auto"/>
            <w:right w:val="none" w:sz="0" w:space="0" w:color="auto"/>
          </w:divBdr>
        </w:div>
        <w:div w:id="1359817517">
          <w:marLeft w:val="640"/>
          <w:marRight w:val="0"/>
          <w:marTop w:val="0"/>
          <w:marBottom w:val="0"/>
          <w:divBdr>
            <w:top w:val="none" w:sz="0" w:space="0" w:color="auto"/>
            <w:left w:val="none" w:sz="0" w:space="0" w:color="auto"/>
            <w:bottom w:val="none" w:sz="0" w:space="0" w:color="auto"/>
            <w:right w:val="none" w:sz="0" w:space="0" w:color="auto"/>
          </w:divBdr>
        </w:div>
      </w:divsChild>
    </w:div>
    <w:div w:id="1619603989">
      <w:bodyDiv w:val="1"/>
      <w:marLeft w:val="0"/>
      <w:marRight w:val="0"/>
      <w:marTop w:val="0"/>
      <w:marBottom w:val="0"/>
      <w:divBdr>
        <w:top w:val="none" w:sz="0" w:space="0" w:color="auto"/>
        <w:left w:val="none" w:sz="0" w:space="0" w:color="auto"/>
        <w:bottom w:val="none" w:sz="0" w:space="0" w:color="auto"/>
        <w:right w:val="none" w:sz="0" w:space="0" w:color="auto"/>
      </w:divBdr>
      <w:divsChild>
        <w:div w:id="629476340">
          <w:marLeft w:val="640"/>
          <w:marRight w:val="0"/>
          <w:marTop w:val="0"/>
          <w:marBottom w:val="0"/>
          <w:divBdr>
            <w:top w:val="none" w:sz="0" w:space="0" w:color="auto"/>
            <w:left w:val="none" w:sz="0" w:space="0" w:color="auto"/>
            <w:bottom w:val="none" w:sz="0" w:space="0" w:color="auto"/>
            <w:right w:val="none" w:sz="0" w:space="0" w:color="auto"/>
          </w:divBdr>
        </w:div>
        <w:div w:id="241137016">
          <w:marLeft w:val="640"/>
          <w:marRight w:val="0"/>
          <w:marTop w:val="0"/>
          <w:marBottom w:val="0"/>
          <w:divBdr>
            <w:top w:val="none" w:sz="0" w:space="0" w:color="auto"/>
            <w:left w:val="none" w:sz="0" w:space="0" w:color="auto"/>
            <w:bottom w:val="none" w:sz="0" w:space="0" w:color="auto"/>
            <w:right w:val="none" w:sz="0" w:space="0" w:color="auto"/>
          </w:divBdr>
        </w:div>
        <w:div w:id="459881084">
          <w:marLeft w:val="640"/>
          <w:marRight w:val="0"/>
          <w:marTop w:val="0"/>
          <w:marBottom w:val="0"/>
          <w:divBdr>
            <w:top w:val="none" w:sz="0" w:space="0" w:color="auto"/>
            <w:left w:val="none" w:sz="0" w:space="0" w:color="auto"/>
            <w:bottom w:val="none" w:sz="0" w:space="0" w:color="auto"/>
            <w:right w:val="none" w:sz="0" w:space="0" w:color="auto"/>
          </w:divBdr>
        </w:div>
        <w:div w:id="1087114709">
          <w:marLeft w:val="640"/>
          <w:marRight w:val="0"/>
          <w:marTop w:val="0"/>
          <w:marBottom w:val="0"/>
          <w:divBdr>
            <w:top w:val="none" w:sz="0" w:space="0" w:color="auto"/>
            <w:left w:val="none" w:sz="0" w:space="0" w:color="auto"/>
            <w:bottom w:val="none" w:sz="0" w:space="0" w:color="auto"/>
            <w:right w:val="none" w:sz="0" w:space="0" w:color="auto"/>
          </w:divBdr>
        </w:div>
        <w:div w:id="758064105">
          <w:marLeft w:val="640"/>
          <w:marRight w:val="0"/>
          <w:marTop w:val="0"/>
          <w:marBottom w:val="0"/>
          <w:divBdr>
            <w:top w:val="none" w:sz="0" w:space="0" w:color="auto"/>
            <w:left w:val="none" w:sz="0" w:space="0" w:color="auto"/>
            <w:bottom w:val="none" w:sz="0" w:space="0" w:color="auto"/>
            <w:right w:val="none" w:sz="0" w:space="0" w:color="auto"/>
          </w:divBdr>
        </w:div>
        <w:div w:id="668866612">
          <w:marLeft w:val="640"/>
          <w:marRight w:val="0"/>
          <w:marTop w:val="0"/>
          <w:marBottom w:val="0"/>
          <w:divBdr>
            <w:top w:val="none" w:sz="0" w:space="0" w:color="auto"/>
            <w:left w:val="none" w:sz="0" w:space="0" w:color="auto"/>
            <w:bottom w:val="none" w:sz="0" w:space="0" w:color="auto"/>
            <w:right w:val="none" w:sz="0" w:space="0" w:color="auto"/>
          </w:divBdr>
        </w:div>
        <w:div w:id="590701644">
          <w:marLeft w:val="640"/>
          <w:marRight w:val="0"/>
          <w:marTop w:val="0"/>
          <w:marBottom w:val="0"/>
          <w:divBdr>
            <w:top w:val="none" w:sz="0" w:space="0" w:color="auto"/>
            <w:left w:val="none" w:sz="0" w:space="0" w:color="auto"/>
            <w:bottom w:val="none" w:sz="0" w:space="0" w:color="auto"/>
            <w:right w:val="none" w:sz="0" w:space="0" w:color="auto"/>
          </w:divBdr>
        </w:div>
      </w:divsChild>
    </w:div>
    <w:div w:id="2023311025">
      <w:bodyDiv w:val="1"/>
      <w:marLeft w:val="0"/>
      <w:marRight w:val="0"/>
      <w:marTop w:val="0"/>
      <w:marBottom w:val="0"/>
      <w:divBdr>
        <w:top w:val="none" w:sz="0" w:space="0" w:color="auto"/>
        <w:left w:val="none" w:sz="0" w:space="0" w:color="auto"/>
        <w:bottom w:val="none" w:sz="0" w:space="0" w:color="auto"/>
        <w:right w:val="none" w:sz="0" w:space="0" w:color="auto"/>
      </w:divBdr>
      <w:divsChild>
        <w:div w:id="1423069558">
          <w:marLeft w:val="640"/>
          <w:marRight w:val="0"/>
          <w:marTop w:val="0"/>
          <w:marBottom w:val="0"/>
          <w:divBdr>
            <w:top w:val="none" w:sz="0" w:space="0" w:color="auto"/>
            <w:left w:val="none" w:sz="0" w:space="0" w:color="auto"/>
            <w:bottom w:val="none" w:sz="0" w:space="0" w:color="auto"/>
            <w:right w:val="none" w:sz="0" w:space="0" w:color="auto"/>
          </w:divBdr>
          <w:divsChild>
            <w:div w:id="1263950867">
              <w:marLeft w:val="0"/>
              <w:marRight w:val="0"/>
              <w:marTop w:val="0"/>
              <w:marBottom w:val="0"/>
              <w:divBdr>
                <w:top w:val="none" w:sz="0" w:space="0" w:color="auto"/>
                <w:left w:val="none" w:sz="0" w:space="0" w:color="auto"/>
                <w:bottom w:val="none" w:sz="0" w:space="0" w:color="auto"/>
                <w:right w:val="none" w:sz="0" w:space="0" w:color="auto"/>
              </w:divBdr>
              <w:divsChild>
                <w:div w:id="110059150">
                  <w:marLeft w:val="640"/>
                  <w:marRight w:val="0"/>
                  <w:marTop w:val="0"/>
                  <w:marBottom w:val="0"/>
                  <w:divBdr>
                    <w:top w:val="none" w:sz="0" w:space="0" w:color="auto"/>
                    <w:left w:val="none" w:sz="0" w:space="0" w:color="auto"/>
                    <w:bottom w:val="none" w:sz="0" w:space="0" w:color="auto"/>
                    <w:right w:val="none" w:sz="0" w:space="0" w:color="auto"/>
                  </w:divBdr>
                </w:div>
                <w:div w:id="910502296">
                  <w:marLeft w:val="640"/>
                  <w:marRight w:val="0"/>
                  <w:marTop w:val="0"/>
                  <w:marBottom w:val="0"/>
                  <w:divBdr>
                    <w:top w:val="none" w:sz="0" w:space="0" w:color="auto"/>
                    <w:left w:val="none" w:sz="0" w:space="0" w:color="auto"/>
                    <w:bottom w:val="none" w:sz="0" w:space="0" w:color="auto"/>
                    <w:right w:val="none" w:sz="0" w:space="0" w:color="auto"/>
                  </w:divBdr>
                </w:div>
                <w:div w:id="1210997521">
                  <w:marLeft w:val="640"/>
                  <w:marRight w:val="0"/>
                  <w:marTop w:val="0"/>
                  <w:marBottom w:val="0"/>
                  <w:divBdr>
                    <w:top w:val="none" w:sz="0" w:space="0" w:color="auto"/>
                    <w:left w:val="none" w:sz="0" w:space="0" w:color="auto"/>
                    <w:bottom w:val="none" w:sz="0" w:space="0" w:color="auto"/>
                    <w:right w:val="none" w:sz="0" w:space="0" w:color="auto"/>
                  </w:divBdr>
                </w:div>
                <w:div w:id="1510673958">
                  <w:marLeft w:val="640"/>
                  <w:marRight w:val="0"/>
                  <w:marTop w:val="0"/>
                  <w:marBottom w:val="0"/>
                  <w:divBdr>
                    <w:top w:val="none" w:sz="0" w:space="0" w:color="auto"/>
                    <w:left w:val="none" w:sz="0" w:space="0" w:color="auto"/>
                    <w:bottom w:val="none" w:sz="0" w:space="0" w:color="auto"/>
                    <w:right w:val="none" w:sz="0" w:space="0" w:color="auto"/>
                  </w:divBdr>
                </w:div>
                <w:div w:id="439759383">
                  <w:marLeft w:val="640"/>
                  <w:marRight w:val="0"/>
                  <w:marTop w:val="0"/>
                  <w:marBottom w:val="0"/>
                  <w:divBdr>
                    <w:top w:val="none" w:sz="0" w:space="0" w:color="auto"/>
                    <w:left w:val="none" w:sz="0" w:space="0" w:color="auto"/>
                    <w:bottom w:val="none" w:sz="0" w:space="0" w:color="auto"/>
                    <w:right w:val="none" w:sz="0" w:space="0" w:color="auto"/>
                  </w:divBdr>
                </w:div>
                <w:div w:id="818544863">
                  <w:marLeft w:val="640"/>
                  <w:marRight w:val="0"/>
                  <w:marTop w:val="0"/>
                  <w:marBottom w:val="0"/>
                  <w:divBdr>
                    <w:top w:val="none" w:sz="0" w:space="0" w:color="auto"/>
                    <w:left w:val="none" w:sz="0" w:space="0" w:color="auto"/>
                    <w:bottom w:val="none" w:sz="0" w:space="0" w:color="auto"/>
                    <w:right w:val="none" w:sz="0" w:space="0" w:color="auto"/>
                  </w:divBdr>
                </w:div>
                <w:div w:id="981885543">
                  <w:marLeft w:val="640"/>
                  <w:marRight w:val="0"/>
                  <w:marTop w:val="0"/>
                  <w:marBottom w:val="0"/>
                  <w:divBdr>
                    <w:top w:val="none" w:sz="0" w:space="0" w:color="auto"/>
                    <w:left w:val="none" w:sz="0" w:space="0" w:color="auto"/>
                    <w:bottom w:val="none" w:sz="0" w:space="0" w:color="auto"/>
                    <w:right w:val="none" w:sz="0" w:space="0" w:color="auto"/>
                  </w:divBdr>
                </w:div>
              </w:divsChild>
            </w:div>
            <w:div w:id="918363394">
              <w:marLeft w:val="0"/>
              <w:marRight w:val="0"/>
              <w:marTop w:val="0"/>
              <w:marBottom w:val="0"/>
              <w:divBdr>
                <w:top w:val="none" w:sz="0" w:space="0" w:color="auto"/>
                <w:left w:val="none" w:sz="0" w:space="0" w:color="auto"/>
                <w:bottom w:val="none" w:sz="0" w:space="0" w:color="auto"/>
                <w:right w:val="none" w:sz="0" w:space="0" w:color="auto"/>
              </w:divBdr>
              <w:divsChild>
                <w:div w:id="36050246">
                  <w:marLeft w:val="640"/>
                  <w:marRight w:val="0"/>
                  <w:marTop w:val="0"/>
                  <w:marBottom w:val="0"/>
                  <w:divBdr>
                    <w:top w:val="none" w:sz="0" w:space="0" w:color="auto"/>
                    <w:left w:val="none" w:sz="0" w:space="0" w:color="auto"/>
                    <w:bottom w:val="none" w:sz="0" w:space="0" w:color="auto"/>
                    <w:right w:val="none" w:sz="0" w:space="0" w:color="auto"/>
                  </w:divBdr>
                </w:div>
                <w:div w:id="1050806946">
                  <w:marLeft w:val="640"/>
                  <w:marRight w:val="0"/>
                  <w:marTop w:val="0"/>
                  <w:marBottom w:val="0"/>
                  <w:divBdr>
                    <w:top w:val="none" w:sz="0" w:space="0" w:color="auto"/>
                    <w:left w:val="none" w:sz="0" w:space="0" w:color="auto"/>
                    <w:bottom w:val="none" w:sz="0" w:space="0" w:color="auto"/>
                    <w:right w:val="none" w:sz="0" w:space="0" w:color="auto"/>
                  </w:divBdr>
                </w:div>
                <w:div w:id="376780779">
                  <w:marLeft w:val="640"/>
                  <w:marRight w:val="0"/>
                  <w:marTop w:val="0"/>
                  <w:marBottom w:val="0"/>
                  <w:divBdr>
                    <w:top w:val="none" w:sz="0" w:space="0" w:color="auto"/>
                    <w:left w:val="none" w:sz="0" w:space="0" w:color="auto"/>
                    <w:bottom w:val="none" w:sz="0" w:space="0" w:color="auto"/>
                    <w:right w:val="none" w:sz="0" w:space="0" w:color="auto"/>
                  </w:divBdr>
                </w:div>
                <w:div w:id="1067918483">
                  <w:marLeft w:val="640"/>
                  <w:marRight w:val="0"/>
                  <w:marTop w:val="0"/>
                  <w:marBottom w:val="0"/>
                  <w:divBdr>
                    <w:top w:val="none" w:sz="0" w:space="0" w:color="auto"/>
                    <w:left w:val="none" w:sz="0" w:space="0" w:color="auto"/>
                    <w:bottom w:val="none" w:sz="0" w:space="0" w:color="auto"/>
                    <w:right w:val="none" w:sz="0" w:space="0" w:color="auto"/>
                  </w:divBdr>
                </w:div>
                <w:div w:id="1390152281">
                  <w:marLeft w:val="640"/>
                  <w:marRight w:val="0"/>
                  <w:marTop w:val="0"/>
                  <w:marBottom w:val="0"/>
                  <w:divBdr>
                    <w:top w:val="none" w:sz="0" w:space="0" w:color="auto"/>
                    <w:left w:val="none" w:sz="0" w:space="0" w:color="auto"/>
                    <w:bottom w:val="none" w:sz="0" w:space="0" w:color="auto"/>
                    <w:right w:val="none" w:sz="0" w:space="0" w:color="auto"/>
                  </w:divBdr>
                </w:div>
                <w:div w:id="262693756">
                  <w:marLeft w:val="640"/>
                  <w:marRight w:val="0"/>
                  <w:marTop w:val="0"/>
                  <w:marBottom w:val="0"/>
                  <w:divBdr>
                    <w:top w:val="none" w:sz="0" w:space="0" w:color="auto"/>
                    <w:left w:val="none" w:sz="0" w:space="0" w:color="auto"/>
                    <w:bottom w:val="none" w:sz="0" w:space="0" w:color="auto"/>
                    <w:right w:val="none" w:sz="0" w:space="0" w:color="auto"/>
                  </w:divBdr>
                </w:div>
                <w:div w:id="1541817797">
                  <w:marLeft w:val="640"/>
                  <w:marRight w:val="0"/>
                  <w:marTop w:val="0"/>
                  <w:marBottom w:val="0"/>
                  <w:divBdr>
                    <w:top w:val="none" w:sz="0" w:space="0" w:color="auto"/>
                    <w:left w:val="none" w:sz="0" w:space="0" w:color="auto"/>
                    <w:bottom w:val="none" w:sz="0" w:space="0" w:color="auto"/>
                    <w:right w:val="none" w:sz="0" w:space="0" w:color="auto"/>
                  </w:divBdr>
                </w:div>
              </w:divsChild>
            </w:div>
            <w:div w:id="389964268">
              <w:marLeft w:val="0"/>
              <w:marRight w:val="0"/>
              <w:marTop w:val="0"/>
              <w:marBottom w:val="0"/>
              <w:divBdr>
                <w:top w:val="none" w:sz="0" w:space="0" w:color="auto"/>
                <w:left w:val="none" w:sz="0" w:space="0" w:color="auto"/>
                <w:bottom w:val="none" w:sz="0" w:space="0" w:color="auto"/>
                <w:right w:val="none" w:sz="0" w:space="0" w:color="auto"/>
              </w:divBdr>
              <w:divsChild>
                <w:div w:id="1677076881">
                  <w:marLeft w:val="640"/>
                  <w:marRight w:val="0"/>
                  <w:marTop w:val="0"/>
                  <w:marBottom w:val="0"/>
                  <w:divBdr>
                    <w:top w:val="none" w:sz="0" w:space="0" w:color="auto"/>
                    <w:left w:val="none" w:sz="0" w:space="0" w:color="auto"/>
                    <w:bottom w:val="none" w:sz="0" w:space="0" w:color="auto"/>
                    <w:right w:val="none" w:sz="0" w:space="0" w:color="auto"/>
                  </w:divBdr>
                </w:div>
                <w:div w:id="260530489">
                  <w:marLeft w:val="640"/>
                  <w:marRight w:val="0"/>
                  <w:marTop w:val="0"/>
                  <w:marBottom w:val="0"/>
                  <w:divBdr>
                    <w:top w:val="none" w:sz="0" w:space="0" w:color="auto"/>
                    <w:left w:val="none" w:sz="0" w:space="0" w:color="auto"/>
                    <w:bottom w:val="none" w:sz="0" w:space="0" w:color="auto"/>
                    <w:right w:val="none" w:sz="0" w:space="0" w:color="auto"/>
                  </w:divBdr>
                </w:div>
                <w:div w:id="1524442275">
                  <w:marLeft w:val="640"/>
                  <w:marRight w:val="0"/>
                  <w:marTop w:val="0"/>
                  <w:marBottom w:val="0"/>
                  <w:divBdr>
                    <w:top w:val="none" w:sz="0" w:space="0" w:color="auto"/>
                    <w:left w:val="none" w:sz="0" w:space="0" w:color="auto"/>
                    <w:bottom w:val="none" w:sz="0" w:space="0" w:color="auto"/>
                    <w:right w:val="none" w:sz="0" w:space="0" w:color="auto"/>
                  </w:divBdr>
                </w:div>
                <w:div w:id="162933099">
                  <w:marLeft w:val="640"/>
                  <w:marRight w:val="0"/>
                  <w:marTop w:val="0"/>
                  <w:marBottom w:val="0"/>
                  <w:divBdr>
                    <w:top w:val="none" w:sz="0" w:space="0" w:color="auto"/>
                    <w:left w:val="none" w:sz="0" w:space="0" w:color="auto"/>
                    <w:bottom w:val="none" w:sz="0" w:space="0" w:color="auto"/>
                    <w:right w:val="none" w:sz="0" w:space="0" w:color="auto"/>
                  </w:divBdr>
                </w:div>
                <w:div w:id="301813834">
                  <w:marLeft w:val="640"/>
                  <w:marRight w:val="0"/>
                  <w:marTop w:val="0"/>
                  <w:marBottom w:val="0"/>
                  <w:divBdr>
                    <w:top w:val="none" w:sz="0" w:space="0" w:color="auto"/>
                    <w:left w:val="none" w:sz="0" w:space="0" w:color="auto"/>
                    <w:bottom w:val="none" w:sz="0" w:space="0" w:color="auto"/>
                    <w:right w:val="none" w:sz="0" w:space="0" w:color="auto"/>
                  </w:divBdr>
                </w:div>
                <w:div w:id="654529592">
                  <w:marLeft w:val="640"/>
                  <w:marRight w:val="0"/>
                  <w:marTop w:val="0"/>
                  <w:marBottom w:val="0"/>
                  <w:divBdr>
                    <w:top w:val="none" w:sz="0" w:space="0" w:color="auto"/>
                    <w:left w:val="none" w:sz="0" w:space="0" w:color="auto"/>
                    <w:bottom w:val="none" w:sz="0" w:space="0" w:color="auto"/>
                    <w:right w:val="none" w:sz="0" w:space="0" w:color="auto"/>
                  </w:divBdr>
                </w:div>
                <w:div w:id="2093432366">
                  <w:marLeft w:val="640"/>
                  <w:marRight w:val="0"/>
                  <w:marTop w:val="0"/>
                  <w:marBottom w:val="0"/>
                  <w:divBdr>
                    <w:top w:val="none" w:sz="0" w:space="0" w:color="auto"/>
                    <w:left w:val="none" w:sz="0" w:space="0" w:color="auto"/>
                    <w:bottom w:val="none" w:sz="0" w:space="0" w:color="auto"/>
                    <w:right w:val="none" w:sz="0" w:space="0" w:color="auto"/>
                  </w:divBdr>
                </w:div>
              </w:divsChild>
            </w:div>
            <w:div w:id="1465385829">
              <w:marLeft w:val="0"/>
              <w:marRight w:val="0"/>
              <w:marTop w:val="0"/>
              <w:marBottom w:val="0"/>
              <w:divBdr>
                <w:top w:val="none" w:sz="0" w:space="0" w:color="auto"/>
                <w:left w:val="none" w:sz="0" w:space="0" w:color="auto"/>
                <w:bottom w:val="none" w:sz="0" w:space="0" w:color="auto"/>
                <w:right w:val="none" w:sz="0" w:space="0" w:color="auto"/>
              </w:divBdr>
              <w:divsChild>
                <w:div w:id="801847209">
                  <w:marLeft w:val="640"/>
                  <w:marRight w:val="0"/>
                  <w:marTop w:val="0"/>
                  <w:marBottom w:val="0"/>
                  <w:divBdr>
                    <w:top w:val="none" w:sz="0" w:space="0" w:color="auto"/>
                    <w:left w:val="none" w:sz="0" w:space="0" w:color="auto"/>
                    <w:bottom w:val="none" w:sz="0" w:space="0" w:color="auto"/>
                    <w:right w:val="none" w:sz="0" w:space="0" w:color="auto"/>
                  </w:divBdr>
                </w:div>
                <w:div w:id="1385176102">
                  <w:marLeft w:val="640"/>
                  <w:marRight w:val="0"/>
                  <w:marTop w:val="0"/>
                  <w:marBottom w:val="0"/>
                  <w:divBdr>
                    <w:top w:val="none" w:sz="0" w:space="0" w:color="auto"/>
                    <w:left w:val="none" w:sz="0" w:space="0" w:color="auto"/>
                    <w:bottom w:val="none" w:sz="0" w:space="0" w:color="auto"/>
                    <w:right w:val="none" w:sz="0" w:space="0" w:color="auto"/>
                  </w:divBdr>
                </w:div>
                <w:div w:id="40447510">
                  <w:marLeft w:val="640"/>
                  <w:marRight w:val="0"/>
                  <w:marTop w:val="0"/>
                  <w:marBottom w:val="0"/>
                  <w:divBdr>
                    <w:top w:val="none" w:sz="0" w:space="0" w:color="auto"/>
                    <w:left w:val="none" w:sz="0" w:space="0" w:color="auto"/>
                    <w:bottom w:val="none" w:sz="0" w:space="0" w:color="auto"/>
                    <w:right w:val="none" w:sz="0" w:space="0" w:color="auto"/>
                  </w:divBdr>
                </w:div>
                <w:div w:id="1785539493">
                  <w:marLeft w:val="640"/>
                  <w:marRight w:val="0"/>
                  <w:marTop w:val="0"/>
                  <w:marBottom w:val="0"/>
                  <w:divBdr>
                    <w:top w:val="none" w:sz="0" w:space="0" w:color="auto"/>
                    <w:left w:val="none" w:sz="0" w:space="0" w:color="auto"/>
                    <w:bottom w:val="none" w:sz="0" w:space="0" w:color="auto"/>
                    <w:right w:val="none" w:sz="0" w:space="0" w:color="auto"/>
                  </w:divBdr>
                </w:div>
                <w:div w:id="1567884938">
                  <w:marLeft w:val="640"/>
                  <w:marRight w:val="0"/>
                  <w:marTop w:val="0"/>
                  <w:marBottom w:val="0"/>
                  <w:divBdr>
                    <w:top w:val="none" w:sz="0" w:space="0" w:color="auto"/>
                    <w:left w:val="none" w:sz="0" w:space="0" w:color="auto"/>
                    <w:bottom w:val="none" w:sz="0" w:space="0" w:color="auto"/>
                    <w:right w:val="none" w:sz="0" w:space="0" w:color="auto"/>
                  </w:divBdr>
                </w:div>
                <w:div w:id="422915532">
                  <w:marLeft w:val="640"/>
                  <w:marRight w:val="0"/>
                  <w:marTop w:val="0"/>
                  <w:marBottom w:val="0"/>
                  <w:divBdr>
                    <w:top w:val="none" w:sz="0" w:space="0" w:color="auto"/>
                    <w:left w:val="none" w:sz="0" w:space="0" w:color="auto"/>
                    <w:bottom w:val="none" w:sz="0" w:space="0" w:color="auto"/>
                    <w:right w:val="none" w:sz="0" w:space="0" w:color="auto"/>
                  </w:divBdr>
                </w:div>
                <w:div w:id="1546454536">
                  <w:marLeft w:val="640"/>
                  <w:marRight w:val="0"/>
                  <w:marTop w:val="0"/>
                  <w:marBottom w:val="0"/>
                  <w:divBdr>
                    <w:top w:val="none" w:sz="0" w:space="0" w:color="auto"/>
                    <w:left w:val="none" w:sz="0" w:space="0" w:color="auto"/>
                    <w:bottom w:val="none" w:sz="0" w:space="0" w:color="auto"/>
                    <w:right w:val="none" w:sz="0" w:space="0" w:color="auto"/>
                  </w:divBdr>
                </w:div>
                <w:div w:id="721711787">
                  <w:marLeft w:val="640"/>
                  <w:marRight w:val="0"/>
                  <w:marTop w:val="0"/>
                  <w:marBottom w:val="0"/>
                  <w:divBdr>
                    <w:top w:val="none" w:sz="0" w:space="0" w:color="auto"/>
                    <w:left w:val="none" w:sz="0" w:space="0" w:color="auto"/>
                    <w:bottom w:val="none" w:sz="0" w:space="0" w:color="auto"/>
                    <w:right w:val="none" w:sz="0" w:space="0" w:color="auto"/>
                  </w:divBdr>
                </w:div>
              </w:divsChild>
            </w:div>
            <w:div w:id="1641308157">
              <w:marLeft w:val="0"/>
              <w:marRight w:val="0"/>
              <w:marTop w:val="0"/>
              <w:marBottom w:val="0"/>
              <w:divBdr>
                <w:top w:val="none" w:sz="0" w:space="0" w:color="auto"/>
                <w:left w:val="none" w:sz="0" w:space="0" w:color="auto"/>
                <w:bottom w:val="none" w:sz="0" w:space="0" w:color="auto"/>
                <w:right w:val="none" w:sz="0" w:space="0" w:color="auto"/>
              </w:divBdr>
              <w:divsChild>
                <w:div w:id="462160114">
                  <w:marLeft w:val="640"/>
                  <w:marRight w:val="0"/>
                  <w:marTop w:val="0"/>
                  <w:marBottom w:val="0"/>
                  <w:divBdr>
                    <w:top w:val="none" w:sz="0" w:space="0" w:color="auto"/>
                    <w:left w:val="none" w:sz="0" w:space="0" w:color="auto"/>
                    <w:bottom w:val="none" w:sz="0" w:space="0" w:color="auto"/>
                    <w:right w:val="none" w:sz="0" w:space="0" w:color="auto"/>
                  </w:divBdr>
                </w:div>
                <w:div w:id="821431147">
                  <w:marLeft w:val="640"/>
                  <w:marRight w:val="0"/>
                  <w:marTop w:val="0"/>
                  <w:marBottom w:val="0"/>
                  <w:divBdr>
                    <w:top w:val="none" w:sz="0" w:space="0" w:color="auto"/>
                    <w:left w:val="none" w:sz="0" w:space="0" w:color="auto"/>
                    <w:bottom w:val="none" w:sz="0" w:space="0" w:color="auto"/>
                    <w:right w:val="none" w:sz="0" w:space="0" w:color="auto"/>
                  </w:divBdr>
                </w:div>
                <w:div w:id="608391706">
                  <w:marLeft w:val="640"/>
                  <w:marRight w:val="0"/>
                  <w:marTop w:val="0"/>
                  <w:marBottom w:val="0"/>
                  <w:divBdr>
                    <w:top w:val="none" w:sz="0" w:space="0" w:color="auto"/>
                    <w:left w:val="none" w:sz="0" w:space="0" w:color="auto"/>
                    <w:bottom w:val="none" w:sz="0" w:space="0" w:color="auto"/>
                    <w:right w:val="none" w:sz="0" w:space="0" w:color="auto"/>
                  </w:divBdr>
                </w:div>
                <w:div w:id="1866793291">
                  <w:marLeft w:val="640"/>
                  <w:marRight w:val="0"/>
                  <w:marTop w:val="0"/>
                  <w:marBottom w:val="0"/>
                  <w:divBdr>
                    <w:top w:val="none" w:sz="0" w:space="0" w:color="auto"/>
                    <w:left w:val="none" w:sz="0" w:space="0" w:color="auto"/>
                    <w:bottom w:val="none" w:sz="0" w:space="0" w:color="auto"/>
                    <w:right w:val="none" w:sz="0" w:space="0" w:color="auto"/>
                  </w:divBdr>
                </w:div>
                <w:div w:id="1779374767">
                  <w:marLeft w:val="640"/>
                  <w:marRight w:val="0"/>
                  <w:marTop w:val="0"/>
                  <w:marBottom w:val="0"/>
                  <w:divBdr>
                    <w:top w:val="none" w:sz="0" w:space="0" w:color="auto"/>
                    <w:left w:val="none" w:sz="0" w:space="0" w:color="auto"/>
                    <w:bottom w:val="none" w:sz="0" w:space="0" w:color="auto"/>
                    <w:right w:val="none" w:sz="0" w:space="0" w:color="auto"/>
                  </w:divBdr>
                </w:div>
                <w:div w:id="1372875767">
                  <w:marLeft w:val="640"/>
                  <w:marRight w:val="0"/>
                  <w:marTop w:val="0"/>
                  <w:marBottom w:val="0"/>
                  <w:divBdr>
                    <w:top w:val="none" w:sz="0" w:space="0" w:color="auto"/>
                    <w:left w:val="none" w:sz="0" w:space="0" w:color="auto"/>
                    <w:bottom w:val="none" w:sz="0" w:space="0" w:color="auto"/>
                    <w:right w:val="none" w:sz="0" w:space="0" w:color="auto"/>
                  </w:divBdr>
                </w:div>
                <w:div w:id="1482311583">
                  <w:marLeft w:val="640"/>
                  <w:marRight w:val="0"/>
                  <w:marTop w:val="0"/>
                  <w:marBottom w:val="0"/>
                  <w:divBdr>
                    <w:top w:val="none" w:sz="0" w:space="0" w:color="auto"/>
                    <w:left w:val="none" w:sz="0" w:space="0" w:color="auto"/>
                    <w:bottom w:val="none" w:sz="0" w:space="0" w:color="auto"/>
                    <w:right w:val="none" w:sz="0" w:space="0" w:color="auto"/>
                  </w:divBdr>
                </w:div>
                <w:div w:id="1158494353">
                  <w:marLeft w:val="640"/>
                  <w:marRight w:val="0"/>
                  <w:marTop w:val="0"/>
                  <w:marBottom w:val="0"/>
                  <w:divBdr>
                    <w:top w:val="none" w:sz="0" w:space="0" w:color="auto"/>
                    <w:left w:val="none" w:sz="0" w:space="0" w:color="auto"/>
                    <w:bottom w:val="none" w:sz="0" w:space="0" w:color="auto"/>
                    <w:right w:val="none" w:sz="0" w:space="0" w:color="auto"/>
                  </w:divBdr>
                </w:div>
                <w:div w:id="804079306">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789711846">
          <w:marLeft w:val="640"/>
          <w:marRight w:val="0"/>
          <w:marTop w:val="0"/>
          <w:marBottom w:val="0"/>
          <w:divBdr>
            <w:top w:val="none" w:sz="0" w:space="0" w:color="auto"/>
            <w:left w:val="none" w:sz="0" w:space="0" w:color="auto"/>
            <w:bottom w:val="none" w:sz="0" w:space="0" w:color="auto"/>
            <w:right w:val="none" w:sz="0" w:space="0" w:color="auto"/>
          </w:divBdr>
        </w:div>
        <w:div w:id="349110314">
          <w:marLeft w:val="640"/>
          <w:marRight w:val="0"/>
          <w:marTop w:val="0"/>
          <w:marBottom w:val="0"/>
          <w:divBdr>
            <w:top w:val="none" w:sz="0" w:space="0" w:color="auto"/>
            <w:left w:val="none" w:sz="0" w:space="0" w:color="auto"/>
            <w:bottom w:val="none" w:sz="0" w:space="0" w:color="auto"/>
            <w:right w:val="none" w:sz="0" w:space="0" w:color="auto"/>
          </w:divBdr>
        </w:div>
        <w:div w:id="1145388709">
          <w:marLeft w:val="640"/>
          <w:marRight w:val="0"/>
          <w:marTop w:val="0"/>
          <w:marBottom w:val="0"/>
          <w:divBdr>
            <w:top w:val="none" w:sz="0" w:space="0" w:color="auto"/>
            <w:left w:val="none" w:sz="0" w:space="0" w:color="auto"/>
            <w:bottom w:val="none" w:sz="0" w:space="0" w:color="auto"/>
            <w:right w:val="none" w:sz="0" w:space="0" w:color="auto"/>
          </w:divBdr>
        </w:div>
        <w:div w:id="1879858184">
          <w:marLeft w:val="640"/>
          <w:marRight w:val="0"/>
          <w:marTop w:val="0"/>
          <w:marBottom w:val="0"/>
          <w:divBdr>
            <w:top w:val="none" w:sz="0" w:space="0" w:color="auto"/>
            <w:left w:val="none" w:sz="0" w:space="0" w:color="auto"/>
            <w:bottom w:val="none" w:sz="0" w:space="0" w:color="auto"/>
            <w:right w:val="none" w:sz="0" w:space="0" w:color="auto"/>
          </w:divBdr>
        </w:div>
        <w:div w:id="436297265">
          <w:marLeft w:val="640"/>
          <w:marRight w:val="0"/>
          <w:marTop w:val="0"/>
          <w:marBottom w:val="0"/>
          <w:divBdr>
            <w:top w:val="none" w:sz="0" w:space="0" w:color="auto"/>
            <w:left w:val="none" w:sz="0" w:space="0" w:color="auto"/>
            <w:bottom w:val="none" w:sz="0" w:space="0" w:color="auto"/>
            <w:right w:val="none" w:sz="0" w:space="0" w:color="auto"/>
          </w:divBdr>
        </w:div>
        <w:div w:id="1834906477">
          <w:marLeft w:val="64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854013440"/>
        <w:category>
          <w:name w:val="Generale"/>
          <w:gallery w:val="placeholder"/>
        </w:category>
        <w:types>
          <w:type w:val="bbPlcHdr"/>
        </w:types>
        <w:behaviors>
          <w:behavior w:val="content"/>
        </w:behaviors>
        <w:guid w:val="{C418C05B-D0F0-FC43-8EA8-E7C5C0E3B49F}"/>
      </w:docPartPr>
      <w:docPartBody>
        <w:p w:rsidR="00FD58F6" w:rsidRDefault="00AA4CB0">
          <w:r w:rsidRPr="007D342C">
            <w:rPr>
              <w:rStyle w:val="Platshllartext"/>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CB0"/>
    <w:rsid w:val="00033CC1"/>
    <w:rsid w:val="000E2E6E"/>
    <w:rsid w:val="001332E3"/>
    <w:rsid w:val="00291632"/>
    <w:rsid w:val="004B7D83"/>
    <w:rsid w:val="007159DB"/>
    <w:rsid w:val="00727C63"/>
    <w:rsid w:val="00831755"/>
    <w:rsid w:val="00AA4CB0"/>
    <w:rsid w:val="00C17C29"/>
    <w:rsid w:val="00C77BB0"/>
    <w:rsid w:val="00D639CE"/>
    <w:rsid w:val="00D87A1E"/>
    <w:rsid w:val="00FD58F6"/>
    <w:rsid w:val="00FE5FE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it-IT" w:eastAsia="it-IT"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FE5FE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it-IT" w:eastAsia="it-IT"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styleId="Platshllartext">
    <w:name w:val="Placeholder Text"/>
    <w:basedOn w:val="Standardstycketeckensnitt"/>
    <w:uiPriority w:val="99"/>
    <w:semiHidden/>
    <w:rsid w:val="00FE5F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0E5D859-EB3B-CA45-90E1-FD8A5147EEAC}">
  <we:reference id="wa104382081" version="1.55.1.0" store="it-IT" storeType="OMEX"/>
  <we:alternateReferences>
    <we:reference id="WA104382081" version="1.55.1.0" store="it-IT" storeType="OMEX"/>
  </we:alternateReferences>
  <we:properties>
    <we:property name="MENDELEY_CITATIONS" value="[{&quot;citationID&quot;:&quot;MENDELEY_CITATION_9fd7d8c6-4922-4617-9f82-5adfcb8a687c&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&quot;,&quot;citationItems&quot;:[{&quot;id&quot;:&quot;f0927045-e880-3ec3-ac7b-7378fe340284&quot;,&quot;itemData&quot;:{&quot;type&quot;:&quot;article-journal&quot;,&quot;id&quot;:&quot;f0927045-e880-3ec3-ac7b-7378fe340284&quot;,&quot;title&quot;:&quot;Kidney disease: Improving global outcomes (KDIGO) acute kidney injury work group. KDIGO clinical practice guideline for acute kidney injury&quot;,&quot;author&quot;:[{&quot;family&quot;:&quot;Kellum&quot;,&quot;given&quot;:&quot;John A.&quot;,&quot;parse-names&quot;:false,&quot;dropping-particle&quot;:&quot;&quot;,&quot;non-dropping-particle&quot;:&quot;&quot;},{&quot;family&quot;:&quot;Lameire&quot;,&quot;given&quot;:&quot;Norbert&quot;,&quot;parse-names&quot;:false,&quot;dropping-particle&quot;:&quot;&quot;,&quot;non-dropping-particle&quot;:&quot;&quot;},{&quot;family&quot;:&quot;Aspelin&quot;,&quot;given&quot;:&quot;Peter&quot;,&quot;parse-names&quot;:false,&quot;dropping-particle&quot;:&quot;&quot;,&quot;non-dropping-particle&quot;:&quot;&quot;},{&quot;family&quot;:&quot;Barsoum&quot;,&quot;given&quot;:&quot;Rashad S.&quot;,&quot;parse-names&quot;:false,&quot;dropping-particle&quot;:&quot;&quot;,&quot;non-dropping-particle&quot;:&quot;&quot;},{&quot;family&quot;:&quot;Burdmann&quot;,&quot;given&quot;:&quot;Emmanuel A.&quot;,&quot;parse-names&quot;:false,&quot;dropping-particle&quot;:&quot;&quot;,&quot;non-dropping-particle&quot;:&quot;&quot;},{&quot;family&quot;:&quot;Goldstein&quot;,&quot;given&quot;:&quot;Stuart L.&quot;,&quot;parse-names&quot;:false,&quot;dropping-particle&quot;:&quot;&quot;,&quot;non-dropping-particle&quot;:&quot;&quot;},{&quot;family&quot;:&quot;Herzog&quot;,&quot;given&quot;:&quot;Charles A.&quot;,&quot;parse-names&quot;:false,&quot;dropping-particle&quot;:&quot;&quot;,&quot;non-dropping-particle&quot;:&quot;&quot;},{&quot;family&quot;:&quot;Joannidis&quot;,&quot;given&quot;:&quot;Michael&quot;,&quot;parse-names&quot;:false,&quot;dropping-particle&quot;:&quot;&quot;,&quot;non-dropping-particle&quot;:&quot;&quot;},{&quot;family&quot;:&quot;Kribben&quot;,&quot;given&quot;:&quot;Andreas&quot;,&quot;parse-names&quot;:false,&quot;dropping-particle&quot;:&quot;&quot;,&quot;non-dropping-particle&quot;:&quot;&quot;},{&quot;family&quot;:&quot;Levey&quot;,&quot;given&quot;:&quot;Andrew S.&quot;,&quot;parse-names&quot;:false,&quot;dropping-particle&quot;:&quot;&quot;,&quot;non-dropping-particle&quot;:&quot;&quot;},{&quot;family&quot;:&quot;MacLeod&quot;,&quot;given&quot;:&quot;Alison M.&quot;,&quot;parse-names&quot;:false,&quot;dropping-particle&quot;:&quot;&quot;,&quot;non-dropping-particle&quot;:&quot;&quot;},{&quot;family&quot;:&quot;Mehta&quot;,&quot;given&quot;:&quot;Ravindra L.&quot;,&quot;parse-names&quot;:false,&quot;dropping-particle&quot;:&quot;&quot;,&quot;non-dropping-particle&quot;:&quot;&quot;},{&quot;family&quot;:&quot;Murray&quot;,&quot;given&quot;:&quot;Patrick T.&quot;,&quot;parse-names&quot;:false,&quot;dropping-particle&quot;:&quot;&quot;,&quot;non-dropping-particle&quot;:&quot;&quot;},{&quot;family&quot;:&quot;Naicker&quot;,&quot;given&quot;:&quot;Saraladevi&quot;,&quot;parse-names&quot;:false,&quot;dropping-particle&quot;:&quot;&quot;,&quot;non-dropping-particle&quot;:&quot;&quot;},{&quot;family&quot;:&quot;Opal&quot;,&quot;given&quot;:&quot;Steven M.&quot;,&quot;parse-names&quot;:false,&quot;dropping-particle&quot;:&quot;&quot;,&quot;non-dropping-particle&quot;:&quot;&quot;},{&quot;family&quot;:&quot;Schaefer&quot;,&quot;given&quot;:&quot;Franz&quot;,&quot;parse-names&quot;:false,&quot;dropping-particle&quot;:&quot;&quot;,&quot;non-dropping-particle&quot;:&quot;&quot;},{&quot;family&quot;:&quot;Schetz&quot;,&quot;given&quot;:&quot;Miet&quot;,&quot;parse-names&quot;:false,&quot;dropping-particle&quot;:&quot;&quot;,&quot;non-dropping-particle&quot;:&quot;&quot;},{&quot;family&quot;:&quot;Uchino&quot;,&quot;given&quot;:&quot;Shigehiko&quot;,&quot;parse-names&quot;:false,&quot;dropping-particle&quot;:&quot;&quot;,&quot;non-dropping-particle&quot;:&quot;&quot;}],&quot;container-title&quot;:&quot;Kidney International Supplements&quot;,&quot;container-title-short&quot;:&quot;Kidney Int Suppl (2011)&quot;,&quot;accessed&quot;:{&quot;date-parts&quot;:[[2018,10,19]]},&quot;DOI&quot;:&quot;10.1038/kisup.2012.1&quot;,&quot;ISSN&quot;:&quot;21571716&quot;,&quot;URL&quot;:&quot;http://linkinghub.elsevier.com/retrieve/pii/S2157171615310388&quot;,&quot;issued&quot;:{&quot;date-parts&quot;:[[2012,3,1]]},&quot;page&quot;:&quot;1-138&quot;,&quot;abstract&quot;:&quot;The 2011 Kidney Disease: Improving Global Outcomes (KDIGO) Clinical Practice Guideline for Acute Kidney Injury (AKI) aims to assist practitioners caring for adults and children at risk for or with AKI, including contrast-induced acute kidney injury (CI-AKI). Guideline development followed an explicit process of evidence review and appraisal. The guideline contains chapters on definition, risk assessment, evaluation, prevention, and treatment. Definition and staging of AKI are based on the Risk, Injury, Failure; Loss, End-Stage Renal Disease (RIFLE) and Acute Kidney Injury Network (AKIN) criteria and studies on risk relationships. The treatment chapters cover pharmacological approaches to prevent or treat AKI, and management of renal replacement for kidney failure from AKI. Guideline recommendations are based on systematic reviews of relevant trials. Appraisal of the quality of the evidence and the strength of recommendations followed the GRADE approach. Limitations of the evidence are discussed and specific suggestions are provided for future research.&quot;,&quot;publisher&quot;:&quot;Nature Publishing Group&quot;,&quot;issue&quot;:&quot;1&quot;,&quot;volume&quot;:&quot;2&quot;},&quot;isTemporary&quot;:false}]},{&quot;citationID&quot;:&quot;MENDELEY_CITATION_dd0f7eab-8520-4cce-90c2-6bb19ebcd84e&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&quot;,&quot;citationItems&quot;:[{&quot;id&quot;:&quot;449a03ac-ef72-3ace-a1b5-dc9b9cc71b48&quot;,&quot;itemData&quot;:{&quot;type&quot;:&quot;article-journal&quot;,&quot;id&quot;:&quot;449a03ac-ef72-3ace-a1b5-dc9b9cc71b48&quot;,&quot;title&quot;:&quot;An estimated glomerular filtration rate equation for the full age spectrum.&quot;,&quot;author&quot;:[{&quot;family&quot;:&quot;Pottel&quot;,&quot;given&quot;:&quot;Hans&quot;,&quot;parse-names&quot;:false,&quot;dropping-particle&quot;:&quot;&quot;,&quot;non-dropping-particle&quot;:&quot;&quot;},{&quot;family&quot;:&quot;Hoste&quot;,&quot;given&quot;:&quot;Liesbeth&quot;,&quot;parse-names&quot;:false,&quot;dropping-particle&quot;:&quot;&quot;,&quot;non-dropping-particle&quot;:&quot;&quot;},{&quot;family&quot;:&quot;Dubourg&quot;,&quot;given&quot;:&quot;Laurence&quot;,&quot;parse-names&quot;:false,&quot;dropping-particle&quot;:&quot;&quot;,&quot;non-dropping-particle&quot;:&quot;&quot;},{&quot;family&quot;:&quot;Ebert&quot;,&quot;given&quot;:&quot;Natalie&quot;,&quot;parse-names&quot;:false,&quot;dropping-particle&quot;:&quot;&quot;,&quot;non-dropping-particle&quot;:&quot;&quot;},{&quot;family&quot;:&quot;Schaeffner&quot;,&quot;given&quot;:&quot;Elke&quot;,&quot;parse-names&quot;:false,&quot;dropping-particle&quot;:&quot;&quot;,&quot;non-dropping-particle&quot;:&quot;&quot;},{&quot;family&quot;:&quot;Eriksen&quot;,&quot;given&quot;:&quot;Bjørn Odvar&quot;,&quot;parse-names&quot;:false,&quot;dropping-particle&quot;:&quot;&quot;,&quot;non-dropping-particle&quot;:&quot;&quot;},{&quot;family&quot;:&quot;Melsom&quot;,&quot;given&quot;:&quot;Toralf&quot;,&quot;parse-names&quot;:false,&quot;dropping-particle&quot;:&quot;&quot;,&quot;non-dropping-particle&quot;:&quot;&quot;},{&quot;family&quot;:&quot;Lamb&quot;,&quot;given&quot;:&quot;Edmund J&quot;,&quot;parse-names&quot;:false,&quot;dropping-particle&quot;:&quot;&quot;,&quot;non-dropping-particle&quot;:&quot;&quot;},{&quot;family&quot;:&quot;Rule&quot;,&quot;given&quot;:&quot;Andrew D&quot;,&quot;parse-names&quot;:false,&quot;dropping-particle&quot;:&quot;&quot;,&quot;non-dropping-particle&quot;:&quot;&quot;},{&quot;family&quot;:&quot;Turner&quot;,&quot;given&quot;:&quot;Stephen T&quot;,&quot;parse-names&quot;:false,&quot;dropping-particle&quot;:&quot;&quot;,&quot;non-dropping-particle&quot;:&quot;&quot;},{&quot;family&quot;:&quot;Glassock&quot;,&quot;given&quot;:&quot;Richard J&quot;,&quot;parse-names&quot;:false,&quot;dropping-particle&quot;:&quot;&quot;,&quot;non-dropping-particle&quot;:&quot;&quot;},{&quot;family&quot;:&quot;Souza&quot;,&quot;given&quot;:&quot;Vandréa&quot;,&quot;parse-names&quot;:false,&quot;dropping-particle&quot;:&quot;&quot;,&quot;non-dropping-particle&quot;:&quot;De&quot;},{&quot;family&quot;:&quot;Selistre&quot;,&quot;given&quot;:&quot;Luciano&quot;,&quot;parse-names&quot;:false,&quot;dropping-particle&quot;:&quot;&quot;,&quot;non-dropping-particle&quot;:&quot;&quot;},{&quot;family&quot;:&quot;Mariat&quot;,&quot;given&quot;:&quot;Christophe&quot;,&quot;parse-names&quot;:false,&quot;dropping-particle&quot;:&quot;&quot;,&quot;non-dropping-particle&quot;:&quot;&quot;},{&quot;family&quot;:&quot;Martens&quot;,&quot;given&quot;:&quot;Frank&quot;,&quot;parse-names&quot;:false,&quot;dropping-particle&quot;:&quot;&quot;,&quot;non-dropping-particle&quot;:&quot;&quot;},{&quot;family&quot;:&quot;Delanaye&quot;,&quot;given&quot;:&quot;Pierre&quot;,&quot;parse-names&quot;:false,&quot;dropping-particle&quot;:&quot;&quot;,&quot;non-dropping-particle&quot;:&quot;&quot;}],&quot;container-title&quot;:&quot;Nephrology, dialysis, transplantation : official publication of the European Dialysis and Transplant Association - European Renal Association&quot;,&quot;container-title-short&quot;:&quot;Nephrol Dial Transplant&quot;,&quot;accessed&quot;:{&quot;date-parts&quot;:[[2020,3,30]]},&quot;DOI&quot;:&quot;10.1093/ndt/gfv454&quot;,&quot;ISSN&quot;:&quot;1460-2385&quot;,&quot;PMID&quot;:&quot;26932693&quot;,&quot;URL&quot;:&quot;http://www.ncbi.nlm.nih.gov/pubmed/26932693&quot;,&quot;issued&quot;:{&quot;date-parts&quot;:[[2016]]},&quot;page&quot;:&quot;798-806&quot;,&quot;abstract&quot;:&quot;BACKGROUND Glomerular filtration rate (GFR) is accepted as the best indicator of kidney function and is commonly estimated from serum creatinine (SCr)-based equations. Separate equations have been developed for children (Schwartz equation), younger and middle-age adults [Chronic Kidney Disease Epidemiology Collaboration (CKD-EPI) equation] and older adults [Berlin Initiative Study 1 (BIS1) equation], and these equations lack continuity with ageing. We developed and validated an equation for estimating the glomerular filtration rate that can be used across the full age spectrum (FAS). METHODS The new FAS equation is based on normalized serum creatinine (SCr/Q), where Q is the median SCr from healthy populations to account for age and sex. Coefficients for the equation are mathematically obtained by requiring continuity during the paediatric-adult and adult-elderly transition. Research studies containing a total of 6870 healthy and kidney-diseased white individuals, including 735 children, &lt;18 years of age, 4371 adults, between 18 and 70 years of age, and 1764 older adults, ≥70 years of age with measured GFR (inulin, iohexol and iothalamate clearance) and isotope dilution mass spectrometry-equivalent SCr, were used for the validation. Bias, precision and accuracy (P30) were evaluated. RESULTS The FAS equation was less biased [-1.7 (95% CI -3.4, -0.2) versus 6.0 (4.5, 7.5)] and more accurate [87.5% (85.1, 89.9) versus 83.8% (81.1, 86.5)] than the Schwartz equation for children and adolescents; less biased [5.0 (4.5, 5.5) versus 6.3 (5.9, 6.8)] and as accurate [81.6% (80.4, 82.7) versus 81.9% (80.7, 83.0)] as the CKD-EPI equation for young and middle-age adults; and less biased [-1.1 (-1.6, -0.6) versus 5.6 (5.1, 6.2)] and more accurate [86.1% (84.4, 87.7) versus 81.8% (79.7, 84.0)] than CKD-EPI for older adults. CONCLUSIONS The FAS equation has improved validity and continuity across the full age-spectrum and overcomes the problem of implausible eGFR changes in patients which would otherwise occur when switching between more age-specific equations.&quot;,&quot;issue&quot;:&quot;5&quot;,&quot;volume&quot;:&quot;31&quot;},&quot;isTemporary&quot;:false}]},{&quot;citationID&quot;:&quot;MENDELEY_CITATION_814c7c18-1e4f-4faf-a8a4-5f9d6b3fab96&quot;,&quot;properties&quot;:{&quot;noteIndex&quot;:0},&quot;isEdited&quot;:false,&quot;manualOverride&quot;:{&quot;isManuallyOverridden&quot;:false,&quot;citeprocText&quot;:&quot;&lt;sup&gt;3–6&lt;/sup&gt;&quot;,&quot;manualOverrideText&quot;:&quot;&quot;},&quot;citationTag&quot;:&quot;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&quot;,&quot;citationItems&quot;:[{&quot;id&quot;:&quot;dd3d87ce-459e-3e08-a432-8f40af9ffff3&quot;,&quot;itemData&quot;:{&quot;type&quot;:&quot;article-journal&quot;,&quot;id&quot;:&quot;dd3d87ce-459e-3e08-a432-8f40af9ffff3&quot;,&quot;title&quot;:&quot;Acute Kidney Injury in children hospitalized for acute gastroenteritis: prevalence and risk factors&quot;,&quot;author&quot;:[{&quot;family&quot;:&quot;Marzuillo&quot;,&quot;given&quot;:&quot;Pierluigi&quot;,&quot;parse-names&quot;:false,&quot;dropping-particle&quot;:&quot;&quot;,&quot;non-dropping-particle&quot;:&quot;&quot;},{&quot;family&quot;:&quot;Baldascino&quot;,&quot;given&quot;:&quot;Maria&quot;,&quot;parse-names&quot;:false,&quot;dropping-particle&quot;:&quot;&quot;,&quot;non-dropping-particle&quot;:&quot;&quot;},{&quot;family&quot;:&quot;Guarino&quot;,&quot;given&quot;:&quot;Stefano&quot;,&quot;parse-names&quot;:false,&quot;dropping-particle&quot;:&quot;&quot;,&quot;non-dropping-particle&quot;:&quot;&quot;},{&quot;family&quot;:&quot;Perrotta&quot;,&quot;given&quot;:&quot;Silverio&quot;,&quot;parse-names&quot;:false,&quot;dropping-particle&quot;:&quot;&quot;,&quot;non-dropping-particle&quot;:&quot;&quot;},{&quot;family&quot;:&quot;Miraglia del Giudice&quot;,&quot;given&quot;:&quot;Emanuele&quot;,&quot;parse-names&quot;:false,&quot;dropping-particle&quot;:&quot;&quot;,&quot;non-dropping-particle&quot;:&quot;&quot;},{&quot;family&quot;:&quot;Nunziata&quot;,&quot;given&quot;:&quot;Felice&quot;,&quot;parse-names&quot;:false,&quot;dropping-particle&quot;:&quot;&quot;,&quot;non-dropping-particle&quot;:&quot;&quot;}],&quot;container-title&quot;:&quot;Pediatric Nephrology&quot;,&quot;DOI&quot;:&quot;10.1007/s00467-020-04834-7&quot;,&quot;issued&quot;:{&quot;date-parts&quot;:[[2021]]},&quot;page&quot;:&quot;1627–1635&quot;,&quot;volume&quot;:&quot;36&quot;,&quot;container-title-short&quot;:&quot;&quot;},&quot;isTemporary&quot;:false},{&quot;id&quot;:&quot;77c66c0b-7fb5-34f3-968a-da034e9a9595&quot;,&quot;itemData&quot;:{&quot;type&quot;:&quot;article-journal&quot;,&quot;id&quot;:&quot;77c66c0b-7fb5-34f3-968a-da034e9a9595&quot;,&quot;title&quot;:&quot;Acute Kidney Injury in children hospitalized for community acquired pneumonia&quot;,&quot;author&quot;:[{&quot;family&quot;:&quot;Marzuillo&quot;,&quot;given&quot;:&quot;Pierluigi&quot;,&quot;parse-names&quot;:false,&quot;dropping-particle&quot;:&quot;&quot;,&quot;non-dropping-particle&quot;:&quot;&quot;},{&quot;family&quot;:&quot;Pezzella&quot;,&quot;given&quot;:&quot;Vincenza&quot;,&quot;parse-names&quot;:false,&quot;dropping-particle&quot;:&quot;&quot;,&quot;non-dropping-particle&quot;:&quot;&quot;},{&quot;family&quot;:&quot;Guarino&quot;,&quot;given&quot;:&quot;Stefano&quot;,&quot;parse-names&quot;:false,&quot;dropping-particle&quot;:&quot;&quot;,&quot;non-dropping-particle&quot;:&quot;&quot;},{&quot;family&quot;:&quot;Sessa&quot;,&quot;given&quot;:&quot;Anna&quot;,&quot;parse-names&quot;:false,&quot;dropping-particle&quot;:&quot;&quot;,&quot;non-dropping-particle&quot;:&quot;Di&quot;},{&quot;family&quot;:&quot;Baldascino&quot;,&quot;given&quot;:&quot;Maria&quot;,&quot;parse-names&quot;:false,&quot;dropping-particle&quot;:&quot;&quot;,&quot;non-dropping-particle&quot;:&quot;&quot;},{&quot;family&quot;:&quot;Polito&quot;,&quot;given&quot;:&quot;Cesare&quot;,&quot;parse-names&quot;:false,&quot;dropping-particle&quot;:&quot;&quot;,&quot;non-dropping-particle&quot;:&quot;&quot;},{&quot;family&quot;:&quot;Miraglia Del Giudice&quot;,&quot;given&quot;:&quot;Emanuele&quot;,&quot;parse-names&quot;:false,&quot;dropping-particle&quot;:&quot;&quot;,&quot;non-dropping-particle&quot;:&quot;&quot;},{&quot;family&quot;:&quot;Nunziata&quot;,&quot;given&quot;:&quot;Felice&quot;,&quot;parse-names&quot;:false,&quot;dropping-particle&quot;:&quot;&quot;,&quot;non-dropping-particle&quot;:&quot;&quot;}],&quot;container-title&quot;:&quot;Pediatric Nephrology&quot;,&quot;DOI&quot;:&quot;10.1007/s00467-021-05022-x&quot;,&quot;issued&quot;:{&quot;date-parts&quot;:[[2021]]},&quot;page&quot;:&quot;2883-2890&quot;,&quot;issue&quot;:&quot;9&quot;,&quot;volume&quot;:&quot;36&quot;,&quot;container-title-short&quot;:&quot;&quot;},&quot;isTemporary&quot;:false},{&quot;id&quot;:&quot;f3a67a39-eb71-34d4-8b3f-c1a7de4cec3e&quot;,&quot;itemData&quot;:{&quot;type&quot;:&quot;article-journal&quot;,&quot;id&quot;:&quot;f3a67a39-eb71-34d4-8b3f-c1a7de4cec3e&quot;,&quot;title&quot;:&quot;Acute Kidney Injury in Children with Acute Appendicitis&quot;,&quot;author&quot;:[{&quot;family&quot;:&quot;Marzuillo&quot;,&quot;given&quot;:&quot;Pierluigi&quot;,&quot;parse-names&quot;:false,&quot;dropping-particle&quot;:&quot;&quot;,&quot;non-dropping-particle&quot;:&quot;&quot;},{&quot;family&quot;:&quot;Coppola&quot;,&quot;given&quot;:&quot;Crescenzo&quot;,&quot;parse-names&quot;:false,&quot;dropping-particle&quot;:&quot;&quot;,&quot;non-dropping-particle&quot;:&quot;&quot;},{&quot;family&quot;:&quot;Caiazzo&quot;,&quot;given&quot;:&quot;Roberta&quot;,&quot;parse-names&quot;:false,&quot;dropping-particle&quot;:&quot;&quot;,&quot;non-dropping-particle&quot;:&quot;&quot;},{&quot;family&quot;:&quot;Macchini&quot;,&quot;given&quot;:&quot;Giulia&quot;,&quot;parse-names&quot;:false,&quot;dropping-particle&quot;:&quot;&quot;,&quot;non-dropping-particle&quot;:&quot;&quot;},{&quot;family&quot;:&quot;Sessa&quot;,&quot;given&quot;:&quot;Anna&quot;,&quot;parse-names&quot;:false,&quot;dropping-particle&quot;:&quot;&quot;,&quot;non-dropping-particle&quot;:&quot;Di&quot;},{&quot;family&quot;:&quot;Guarino&quot;,&quot;given&quot;:&quot;Stefano&quot;,&quot;parse-names&quot;:false,&quot;dropping-particle&quot;:&quot;&quot;,&quot;non-dropping-particle&quot;:&quot;&quot;},{&quot;family&quot;:&quot;Esposito&quot;,&quot;given&quot;:&quot;Francesco&quot;,&quot;parse-names&quot;:false,&quot;dropping-particle&quot;:&quot;&quot;,&quot;non-dropping-particle&quot;:&quot;&quot;},{&quot;family&quot;:&quot;Giudice&quot;,&quot;given&quot;:&quot;Emanuele Miraglia&quot;,&quot;parse-names&quot;:false,&quot;dropping-particle&quot;:&quot;&quot;,&quot;non-dropping-particle&quot;:&quot;del&quot;},{&quot;family&quot;:&quot;Tipo&quot;,&quot;given&quot;:&quot;Vincenzo&quot;,&quot;parse-names&quot;:false,&quot;dropping-particle&quot;:&quot;&quot;,&quot;non-dropping-particle&quot;:&quot;&quot;}],&quot;container-title&quot;:&quot;Children&quot;,&quot;accessed&quot;:{&quot;date-parts&quot;:[[2022,6,8]]},&quot;DOI&quot;:&quot;10.3390/CHILDREN9050620&quot;,&quot;ISSN&quot;:&quot;2227-9067&quot;,&quot;PMID&quot;:&quot;35626797&quot;,&quot;URL&quot;:&quot;https://pubmed.ncbi.nlm.nih.gov/35626797/&quot;,&quot;issued&quot;:{&quot;date-parts&quot;:[[2022,5,1]]},&quot;page&quot;:&quot;620&quot;,&quot;abstract&quot;:&quot;We hypothesized that—as in other common pediatric conditions—acute appendicitis (AA) could be complicated by acute kidney injury (AKI). We aimed to investigate the prevalence of, and the factors associated with AKI in a cohort of patients with AA. We retrospectively collected data of 122 children (63.9% of male gender; mean age 8.6 ± 2.9 years; range: 2.2–13.9 years) hospitalized for AA. AKI was defined according to the Kidney Disease/Improving Global Outcomes creatinine criteria. We considered a basal serum creatinine value as the value of creatinine estimated with the Hoste (age) equation, assuming that the basal estimated glomerular filtration rate (eGFR) was 120 mL/min/1.73 m2. Explorative univariate logistic regression analysis was used to explore the associations with AKI. Out of 122 patients, nine (7.4%) presented with AKI. One patient had stage two AKI and the remaining had stage one AKI. The maximum AKI stage was found at admission. The patients with AKI showed a higher prevalence of fever ≥ 38.5° C (p = 0.02), vomiting (p = 0.03), ≥5% dehydration (p = 0.03), and higher levels of both C-reactive protein (CRP) (p = 0.002) and neutrophils (p = 0.03) compared with patients without AKI. Because all patients with AKI also presented with vomiting, an Odds Ratio (OR) for the vomiting was not calculable. The exploratory univariate logistic regression analysis confirmed that fever ≥ 38.5° C (OR = 5.0; 95% CI: 1.2/21.5; p = 0.03), ≥5% dehydration (OR = 8.4; 95% CI: 1.1/69.6; p = 0.04), CRP (OR = 1.1; 95% CI: 1.05/1.2; p = 0.01), and neutrophil levels (OR = 1.1; 95% CI: 1.01/1.3; p = 0.04) were all predictive factors of AKI. AKI can occur in 7.4% of patients with AA. Particular attention should be paid to the kidney health of patients with AA especially in the presence of vomiting, ≥5% dehydration, fever ≥ 38.5◦ C, and high CRP and neutrophils levels.&quot;,&quot;publisher&quot;:&quot;Children (Basel)&quot;,&quot;issue&quot;:&quot;5&quot;,&quot;volume&quot;:&quot;9&quot;,&quot;container-title-short&quot;:&quot;&quot;},&quot;isTemporary&quot;:false},{&quot;id&quot;:&quot;1b7494df-9dc9-3f46-a490-8a177dadc2ff&quot;,&quot;itemData&quot;:{&quot;type&quot;:&quot;article-journal&quot;,&quot;id&quot;:&quot;1b7494df-9dc9-3f46-a490-8a177dadc2ff&quot;,&quot;title&quot;:&quot;Acute kidney injury in infants hospitalized for viral bronchiolitis&quot;,&quot;author&quot;:[{&quot;family&quot;:&quot;Marzuillo&quot;,&quot;given&quot;:&quot;Pierluigi&quot;,&quot;parse-names&quot;:false,&quot;dropping-particle&quot;:&quot;&quot;,&quot;non-dropping-particle&quot;:&quot;&quot;},{&quot;family&quot;:&quot;Sessa&quot;,&quot;given&quot;:&quot;Anna&quot;,&quot;parse-names&quot;:false,&quot;dropping-particle&quot;:&quot;&quot;,&quot;non-dropping-particle&quot;:&quot;Di&quot;},{&quot;family&quot;:&quot;Golino&quot;,&quot;given&quot;:&quot;Raffaella&quot;,&quot;parse-names&quot;:false,&quot;dropping-particle&quot;:&quot;&quot;,&quot;non-dropping-particle&quot;:&quot;&quot;},{&quot;family&quot;:&quot;Tirelli&quot;,&quot;given&quot;:&quot;Paola&quot;,&quot;parse-names&quot;:false,&quot;dropping-particle&quot;:&quot;&quot;,&quot;non-dropping-particle&quot;:&quot;&quot;},{&quot;family&quot;:&quot;Lucia&quot;,&quot;given&quot;:&quot;Maeva&quot;,&quot;parse-names&quot;:false,&quot;dropping-particle&quot;:&quot;&quot;,&quot;non-dropping-particle&quot;:&quot;De&quot;},{&quot;family&quot;:&quot;Rivetti&quot;,&quot;given&quot;:&quot;Giulio&quot;,&quot;parse-names&quot;:false,&quot;dropping-particle&quot;:&quot;&quot;,&quot;non-dropping-particle&quot;:&quot;&quot;},{&quot;family&quot;:&quot;Miraglia del Giudice&quot;,&quot;given&quot;:&quot;Emanuele&quot;,&quot;parse-names&quot;:false,&quot;dropping-particle&quot;:&quot;&quot;,&quot;non-dropping-particle&quot;:&quot;&quot;},{&quot;family&quot;:&quot;Guarino&quot;,&quot;given&quot;:&quot;Stefano&quot;,&quot;parse-names&quot;:false,&quot;dropping-particle&quot;:&quot;&quot;,&quot;non-dropping-particle&quot;:&quot;&quot;},{&quot;family&quot;:&quot;Nunziata&quot;,&quot;given&quot;:&quot;Felice&quot;,&quot;parse-names&quot;:false,&quot;dropping-particle&quot;:&quot;&quot;,&quot;non-dropping-particle&quot;:&quot;&quot;}],&quot;container-title&quot;:&quot;European journal of pediatrics&quot;,&quot;container-title-short&quot;:&quot;Eur J Pediatr&quot;,&quot;accessed&quot;:{&quot;date-parts&quot;:[[2023,6,1]]},&quot;DOI&quot;:&quot;10.1007/S00431-023-05029-6&quot;,&quot;ISSN&quot;:&quot;1432-1076&quot;,&quot;PMID&quot;:&quot;37222853&quot;,&quot;URL&quot;:&quot;https://pubmed.ncbi.nlm.nih.gov/37222853/&quot;,&quot;issued&quot;:{&quot;date-parts&quot;:[[2023,5,24]]},&quot;abstract&quot;:&quot;&lt;p&gt; We investigated prevalence of and factors associated with acute kidney injury (AKI) in a group of patients hospitalized with viral bronchiolitis. We retrospectively enrolled 139 children (mean age = 3.2 ± 2.1 months; males = 58.9%) hospitalized for viral bronchiolitis in a non-pediatric intensive care unit (PICU) setting. The Kidney Disease/Improving Global Outcomes creatinine criterion was used to diagnose AKI. We estimated basal serum creatinine by back-calculating it by Hoste (age) equation assuming that basal eGFR were the median age-based eGFR normative values. Univariate and multivariate logistic regression models were used to explore associations with AKI. Out of 139 patients, AKI was found in 15 (10.8%). AKI was found in 13 out of 74 (17.6%) patients with and in 2 out of 65 (3.1%) without respiratory syncytial virus (RSV) infection ( &lt;italic&gt;p&lt;/italic&gt;  = 0.006). No patient required renal replacement therapies, while 1 out of 15 (6.7%) developed AKI stage 3, 1 (6.7%) developed AKI stage 2, and 13 (86.6%) developed AKI stage 1. Among the 15 patients with AKI, 13 (86.6%) reached the maximum AKI stage at admission, 1 (6.7%) at 48 h, and 1 (6.7%) at 96 h. At multivariate analysis, birth weight &amp;lt; 10th percentile (odds ratio, OR = 34.1; 95% confidence interval, CI = 3.6–329.4; &lt;italic&gt;p&lt;/italic&gt;  = 0.002), preterm birth (OR = 20.3; 95% CI = 3.1–129.5; &lt;italic&gt;p&lt;/italic&gt;  = 0.002), RSV infection (OR = 27.0; 95% CI = 2.6–279.9; &lt;italic&gt;p&lt;/italic&gt;  = 0.006), and hematocrit levels &amp;gt; 2 standard deviation score (SDS) (OR = 22.4; 95% CI = 2.8–183.6; &lt;italic&gt;p&lt;/italic&gt;  = 0.001) were significantly associated with AKI. &lt;/p&gt;&quot;,&quot;publisher&quot;:&quot;Eur J Pediatr&quot;},&quot;isTemporary&quot;:false}]},{&quot;citationID&quot;:&quot;MENDELEY_CITATION_f8debb21-c37c-4c16-a241-52a5b4abac44&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&quot;,&quot;citationItems&quot;:[{&quot;id&quot;:&quot;8c348566-9eac-35a5-b37d-96f9a388105b&quot;,&quot;itemData&quot;:{&quot;type&quot;:&quot;article-journal&quot;,&quot;id&quot;:&quot;8c348566-9eac-35a5-b37d-96f9a388105b&quot;,&quot;title&quot;:&quot;Evaluation of height-dependent and height-independent methods of estimating baseline serum creatinine in critically ill children&quot;,&quot;author&quot;:[{&quot;family&quot;:&quot;Hessey&quot;,&quot;given&quot;:&quot;Erin&quot;,&quot;parse-names&quot;:false,&quot;dropping-particle&quot;:&quot;&quot;,&quot;non-dropping-particle&quot;:&quot;&quot;},{&quot;family&quot;:&quot;Ali&quot;,&quot;given&quot;:&quot;Rami&quot;,&quot;parse-names&quot;:false,&quot;dropping-particle&quot;:&quot;&quot;,&quot;non-dropping-particle&quot;:&quot;&quot;},{&quot;family&quot;:&quot;Dorais&quot;,&quot;given&quot;:&quot;Marc&quot;,&quot;parse-names&quot;:false,&quot;dropping-particle&quot;:&quot;&quot;,&quot;non-dropping-particle&quot;:&quot;&quot;},{&quot;family&quot;:&quot;Morissette&quot;,&quot;given&quot;:&quot;Geneviève&quot;,&quot;parse-names&quot;:false,&quot;dropping-particle&quot;:&quot;&quot;,&quot;non-dropping-particle&quot;:&quot;&quot;},{&quot;family&quot;:&quot;Pizzi&quot;,&quot;given&quot;:&quot;Michael&quot;,&quot;parse-names&quot;:false,&quot;dropping-particle&quot;:&quot;&quot;,&quot;non-dropping-particle&quot;:&quot;&quot;},{&quot;family&quot;:&quot;Rink&quot;,&quot;given&quot;:&quot;Nikki&quot;,&quot;parse-names&quot;:false,&quot;dropping-particle&quot;:&quot;&quot;,&quot;non-dropping-particle&quot;:&quot;&quot;},{&quot;family&quot;:&quot;Jouvet&quot;,&quot;given&quot;:&quot;Philippe&quot;,&quot;parse-names&quot;:false,&quot;dropping-particle&quot;:&quot;&quot;,&quot;non-dropping-particle&quot;:&quot;&quot;},{&quot;family&quot;:&quot;Lacroix&quot;,&quot;given&quot;:&quot;Jacques&quot;,&quot;parse-names&quot;:false,&quot;dropping-particle&quot;:&quot;&quot;,&quot;non-dropping-particle&quot;:&quot;&quot;},{&quot;family&quot;:&quot;Phan&quot;,&quot;given&quot;:&quot;Véronique&quot;,&quot;parse-names&quot;:false,&quot;dropping-particle&quot;:&quot;&quot;,&quot;non-dropping-particle&quot;:&quot;&quot;},{&quot;family&quot;:&quot;Zappitelli&quot;,&quot;given&quot;:&quot;Michael&quot;,&quot;parse-names&quot;:false,&quot;dropping-particle&quot;:&quot;&quot;,&quot;non-dropping-particle&quot;:&quot;&quot;}],&quot;container-title&quot;:&quot;Pediatric Nephrology&quot;,&quot;accessed&quot;:{&quot;date-parts&quot;:[[2020,5,25]]},&quot;DOI&quot;:&quot;10.1007/s00467-017-3670-z&quot;,&quot;ISSN&quot;:&quot;1432198X&quot;,&quot;issued&quot;:{&quot;date-parts&quot;:[[2017,10,1]]},&quot;page&quot;:&quot;1953-1962&quot;,&quot;abstract&quot;:&quot;Background: Baseline serum creatinine (bSCr) is required for diagnosing acute kidney injury (AKI). In children, bSCr is commonly defined as the lowest measurement within 3 months of admission. Measured values are often missing and estimating bSCr using height-based glomerular filtration rate (GFR) equations is problematic when height is unavailable. Methods: This is a retrospective cohort study including 538 children admitted to the intensive care unit (ICU) between 2003 and 2005 at two centers in Canada, with measured bSCr, height, and ICU-SCr values. We evaluated the bias, accuracy, and precision of back-calculating bSCr from height-dependent and height-independent GFR equations. Agreement of AKI defined using measured and estimated bSCr was calculated. Multivariate analyses were performed to assess the impact of bSCr estimation methods on the association between AKI and ICU mortality, length of stay, and duration of mechanical ventilation. Results: Both methods underestimated bSCr by 1–3%, showed good accuracy (∼30% of patients with estimated bSCr within 10% of measured bSCr), but poor precision (wide 95% limits of agreement). The agreement between AKI defined by estimated versus measured bSCr was &gt;80% (κ &gt;0.5). The height-independent method performed best in children &gt;13 years old; however, overall, both methods performed similarly across age subgroups. AKI was associated with longer stay, prolonged mechanical ventilation, and ICU mortality using measured and estimated bSCr. Conclusions: Height-dependent and height-independent bSCr estimation methods were comparable. This may have significant implications for performing pediatric AKI research using large databases, and in clinical care to define AKI when height is unknown.&quot;,&quot;publisher&quot;:&quot;Springer Verlag&quot;,&quot;issue&quot;:&quot;10&quot;,&quot;volume&quot;:&quot;32&quot;,&quot;container-title-short&quot;:&quot;&quot;},&quot;isTemporary&quot;:false}]},{&quot;citationID&quot;:&quot;MENDELEY_CITATION_f320db02-b1d6-46e3-88ce-1ed3af68f259&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&quot;,&quot;citationItems&quot;:[{&quot;id&quot;:&quot;a2ce452d-ab49-3e00-ab77-ec918360f7c2&quot;,&quot;itemData&quot;:{&quot;type&quot;:&quot;article-journal&quot;,&quot;id&quot;:&quot;a2ce452d-ab49-3e00-ab77-ec918360f7c2&quot;,&quot;title&quot;:&quot;A new equation to estimate the glomerular filtration rate in children, adolescents and young adults&quot;,&quot;author&quot;:[{&quot;family&quot;:&quot;Hoste&quot;,&quot;given&quot;:&quot;Liesbeth&quot;,&quot;parse-names&quot;:false,&quot;dropping-particle&quot;:&quot;&quot;,&quot;non-dropping-particle&quot;:&quot;&quot;},{&quot;family&quot;:&quot;Dubourg&quot;,&quot;given&quot;:&quot;Laurence&quot;,&quot;parse-names&quot;:false,&quot;dropping-particle&quot;:&quot;&quot;,&quot;non-dropping-particle&quot;:&quot;&quot;},{&quot;family&quot;:&quot;Selistre&quot;,&quot;given&quot;:&quot;Luciano&quot;,&quot;parse-names&quot;:false,&quot;dropping-particle&quot;:&quot;&quot;,&quot;non-dropping-particle&quot;:&quot;&quot;},{&quot;family&quot;:&quot;Souza&quot;,&quot;given&quot;:&quot;Vandrea Carla&quot;,&quot;parse-names&quot;:false,&quot;dropping-particle&quot;:&quot;&quot;,&quot;non-dropping-particle&quot;:&quot;De&quot;},{&quot;family&quot;:&quot;Ranchin&quot;,&quot;given&quot;:&quot;Bruno&quot;,&quot;parse-names&quot;:false,&quot;dropping-particle&quot;:&quot;&quot;,&quot;non-dropping-particle&quot;:&quot;&quot;},{&quot;family&quot;:&quot;Hadj-Aïssa&quot;,&quot;given&quot;:&quot;Aoumeur&quot;,&quot;parse-names&quot;:false,&quot;dropping-particle&quot;:&quot;&quot;,&quot;non-dropping-particle&quot;:&quot;&quot;},{&quot;family&quot;:&quot;Cochat&quot;,&quot;given&quot;:&quot;Pierre&quot;,&quot;parse-names&quot;:false,&quot;dropping-particle&quot;:&quot;&quot;,&quot;non-dropping-particle&quot;:&quot;&quot;},{&quot;family&quot;:&quot;Martens&quot;,&quot;given&quot;:&quot;Frank&quot;,&quot;parse-names&quot;:false,&quot;dropping-particle&quot;:&quot;&quot;,&quot;non-dropping-particle&quot;:&quot;&quot;},{&quot;family&quot;:&quot;Pottel&quot;,&quot;given&quot;:&quot;Hans&quot;,&quot;parse-names&quot;:false,&quot;dropping-particle&quot;:&quot;&quot;,&quot;non-dropping-particle&quot;:&quot;&quot;}],&quot;container-title&quot;:&quot;Nephrology Dialysis Transplantation&quot;,&quot;DOI&quot;:&quot;10.1093/ndt/gft277&quot;,&quot;ISSN&quot;:&quot;14602385&quot;,&quot;issued&quot;:{&quot;date-parts&quot;:[[2014]]},&quot;page&quot;:&quot;1082-1091&quot;,&quot;abstract&quot;:&quot;BackgroundA new estimated glomerular filtration rate (eGFR) equation, designed for isotope dilution mass spectrometry-standardized serum creatinine (Scr), is presented for use in children, adolescent boys and girls and young adults. MethodsThe new equation, eGFR = 107.3/(Scr/Q), is based on the concept of normalized Scr: Q is the normalization value and is considered as the Scr concentration for the average healthy child, adolescent or young adult of a specific height (L) and is modeled as a height-dependent polynomial of the fourth degree. ResultsThe well-known Schwartz equation [eGFR = kL/Scr, k = 0.413 (Schwartz) or k = 0.373 (Schwartz-Lyon)] for children between 1 and 14 years can be seen as a special case of the new equation for which the Q-polynomial is simplified to a linear equation: Q = 0.0035 × L (cm). The new eGFR equation has been validated in a data set of n = 750 children, adolescents and young adults aged 10-25, against the true GFR (inulin method), and outperforms the selected (but most used) creatinine-based eGFR equations for children, mainly in the healthy GFR region. ConclusionsThe new Q(height)-eGFR equation serves as an excellent screening tool for kidney disease in 1-25-year-old children, adolescents and young adults. © 2013 The Author.&quot;,&quot;issue&quot;:&quot;5&quot;,&quot;volume&quot;:&quot;29&quot;,&quot;container-title-short&quot;:&quot;&quot;},&quot;isTemporary&quot;:false}]},{&quot;citationID&quot;:&quot;MENDELEY_CITATION_32100d49-9c22-49dd-8902-6364a494beff&quot;,&quot;properties&quot;:{&quot;noteIndex&quot;:0},&quot;isEdited&quot;:false,&quot;manualOverride&quot;:{&quot;isManuallyOverridden&quot;:false,&quot;citeprocText&quot;:&quot;&lt;sup&gt;9&lt;/sup&gt;&quot;,&quot;manualOverrideText&quot;:&quot;&quot;},&quot;citationTag&quot;:&quot;MENDELEY_CITATION_v3_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&quot;,&quot;citationItems&quot;:[{&quot;id&quot;:&quot;dea0fff0-5858-3d17-a930-cd4d13c149ad&quot;,&quot;itemData&quot;:{&quot;type&quot;:&quot;article-journal&quot;,&quot;id&quot;:&quot;dea0fff0-5858-3d17-a930-cd4d13c149ad&quot;,&quot;title&quot;:&quot;Revisiting normal 51Cr-ethylenediaminetetraacetic acid clearance values in children&quot;,&quot;author&quot;:[{&quot;family&quot;:&quot;Piepsz&quot;,&quot;given&quot;:&quot;A.&quot;,&quot;parse-names&quot;:false,&quot;dropping-particle&quot;:&quot;&quot;,&quot;non-dropping-particle&quot;:&quot;&quot;},{&quot;family&quot;:&quot;Tondeur&quot;,&quot;given&quot;:&quot;M.&quot;,&quot;parse-names&quot;:false,&quot;dropping-particle&quot;:&quot;&quot;,&quot;non-dropping-particle&quot;:&quot;&quot;},{&quot;family&quot;:&quot;Ham&quot;,&quot;given&quot;:&quot;H.&quot;,&quot;parse-names&quot;:false,&quot;dropping-particle&quot;:&quot;&quot;,&quot;non-dropping-particle&quot;:&quot;&quot;}],&quot;container-title&quot;:&quot;European Journal of Nuclear Medicine and Molecular Imaging&quot;,&quot;container-title-short&quot;:&quot;Eur J Nucl Med Mol Imaging&quot;,&quot;accessed&quot;:{&quot;date-parts&quot;:[[2020,5,25]]},&quot;DOI&quot;:&quot;10.1007/s00259-006-0179-2&quot;,&quot;ISSN&quot;:&quot;16197070&quot;,&quot;issued&quot;:{&quot;date-parts&quot;:[[2006,12]]},&quot;page&quot;:&quot;1477-1482&quot;,&quot;abstract&quot;:&quot;Purpose: Normal 51Cr-ethylenediaminetetraacetic acid (EDTA) clearance values as a function of age were published a number of years ago. These values were based on data from children with a normal left to right ratio and a normal appearance on DMSA scintigraphy, despite the presence of an acute renal infection. At that time, the authors were unaware that hyperfiltration is a common phenomenon in patients with acute renal infection and that their normal values could have been significantly overestimated. The present work therefore aimed to re-appraise these normal values. Methods: In a first step, in order to verify the previous results, the same type of population was selected, namely patients with present or past urinary tract infection but normal images and a normal left to right ratio on DMSA scintigraphy. In a second step, the selection was based on patients who had had no recent urinary tract infection. In both series, a single blood sample method was used for the evaluation of 51Cr-EDTA clearance. Results: In the first group of patients, the results obtained were almost identical to those previously published. In the second group of patients, the results were significantly lower: after 2 years of age, the mean GFR value was 104 ml/min/1.73 m2 (10th and 90th percentiles 81 and 135 ml/min/1.73 m2, respectively), compared with 117 ml/min/1.73 m2 in the first group. Conclusion: The data of the second group are probably more representative of the true normal GFR values and can be applied to the entire paediatric population. © 2006 Springer-Verlag.&quot;,&quot;publisher&quot;:&quot;Eur J Nucl Med Mol Imaging&quot;,&quot;issue&quot;:&quot;12&quot;,&quot;volume&quot;:&quot;33&quot;},&quot;isTemporary&quot;:false}]},{&quot;citationID&quot;:&quot;MENDELEY_CITATION_0e48937a-e980-4b1f-bedd-d66ed0898967&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&quot;,&quot;citationItems&quot;:[{&quot;id&quot;:&quot;8c348566-9eac-35a5-b37d-96f9a388105b&quot;,&quot;itemData&quot;:{&quot;type&quot;:&quot;article-journal&quot;,&quot;id&quot;:&quot;8c348566-9eac-35a5-b37d-96f9a388105b&quot;,&quot;title&quot;:&quot;Evaluation of height-dependent and height-independent methods of estimating baseline serum creatinine in critically ill children&quot;,&quot;author&quot;:[{&quot;family&quot;:&quot;Hessey&quot;,&quot;given&quot;:&quot;Erin&quot;,&quot;parse-names&quot;:false,&quot;dropping-particle&quot;:&quot;&quot;,&quot;non-dropping-particle&quot;:&quot;&quot;},{&quot;family&quot;:&quot;Ali&quot;,&quot;given&quot;:&quot;Rami&quot;,&quot;parse-names&quot;:false,&quot;dropping-particle&quot;:&quot;&quot;,&quot;non-dropping-particle&quot;:&quot;&quot;},{&quot;family&quot;:&quot;Dorais&quot;,&quot;given&quot;:&quot;Marc&quot;,&quot;parse-names&quot;:false,&quot;dropping-particle&quot;:&quot;&quot;,&quot;non-dropping-particle&quot;:&quot;&quot;},{&quot;family&quot;:&quot;Morissette&quot;,&quot;given&quot;:&quot;Geneviève&quot;,&quot;parse-names&quot;:false,&quot;dropping-particle&quot;:&quot;&quot;,&quot;non-dropping-particle&quot;:&quot;&quot;},{&quot;family&quot;:&quot;Pizzi&quot;,&quot;given&quot;:&quot;Michael&quot;,&quot;parse-names&quot;:false,&quot;dropping-particle&quot;:&quot;&quot;,&quot;non-dropping-particle&quot;:&quot;&quot;},{&quot;family&quot;:&quot;Rink&quot;,&quot;given&quot;:&quot;Nikki&quot;,&quot;parse-names&quot;:false,&quot;dropping-particle&quot;:&quot;&quot;,&quot;non-dropping-particle&quot;:&quot;&quot;},{&quot;family&quot;:&quot;Jouvet&quot;,&quot;given&quot;:&quot;Philippe&quot;,&quot;parse-names&quot;:false,&quot;dropping-particle&quot;:&quot;&quot;,&quot;non-dropping-particle&quot;:&quot;&quot;},{&quot;family&quot;:&quot;Lacroix&quot;,&quot;given&quot;:&quot;Jacques&quot;,&quot;parse-names&quot;:false,&quot;dropping-particle&quot;:&quot;&quot;,&quot;non-dropping-particle&quot;:&quot;&quot;},{&quot;family&quot;:&quot;Phan&quot;,&quot;given&quot;:&quot;Véronique&quot;,&quot;parse-names&quot;:false,&quot;dropping-particle&quot;:&quot;&quot;,&quot;non-dropping-particle&quot;:&quot;&quot;},{&quot;family&quot;:&quot;Zappitelli&quot;,&quot;given&quot;:&quot;Michael&quot;,&quot;parse-names&quot;:false,&quot;dropping-particle&quot;:&quot;&quot;,&quot;non-dropping-particle&quot;:&quot;&quot;}],&quot;container-title&quot;:&quot;Pediatric Nephrology&quot;,&quot;accessed&quot;:{&quot;date-parts&quot;:[[2020,5,25]]},&quot;DOI&quot;:&quot;10.1007/s00467-017-3670-z&quot;,&quot;ISSN&quot;:&quot;1432198X&quot;,&quot;issued&quot;:{&quot;date-parts&quot;:[[2017,10,1]]},&quot;page&quot;:&quot;1953-1962&quot;,&quot;abstract&quot;:&quot;Background: Baseline serum creatinine (bSCr) is required for diagnosing acute kidney injury (AKI). In children, bSCr is commonly defined as the lowest measurement within 3 months of admission. Measured values are often missing and estimating bSCr using height-based glomerular filtration rate (GFR) equations is problematic when height is unavailable. Methods: This is a retrospective cohort study including 538 children admitted to the intensive care unit (ICU) between 2003 and 2005 at two centers in Canada, with measured bSCr, height, and ICU-SCr values. We evaluated the bias, accuracy, and precision of back-calculating bSCr from height-dependent and height-independent GFR equations. Agreement of AKI defined using measured and estimated bSCr was calculated. Multivariate analyses were performed to assess the impact of bSCr estimation methods on the association between AKI and ICU mortality, length of stay, and duration of mechanical ventilation. Results: Both methods underestimated bSCr by 1–3%, showed good accuracy (∼30% of patients with estimated bSCr within 10% of measured bSCr), but poor precision (wide 95% limits of agreement). The agreement between AKI defined by estimated versus measured bSCr was &gt;80% (κ &gt;0.5). The height-independent method performed best in children &gt;13 years old; however, overall, both methods performed similarly across age subgroups. AKI was associated with longer stay, prolonged mechanical ventilation, and ICU mortality using measured and estimated bSCr. Conclusions: Height-dependent and height-independent bSCr estimation methods were comparable. This may have significant implications for performing pediatric AKI research using large databases, and in clinical care to define AKI when height is unknown.&quot;,&quot;publisher&quot;:&quot;Springer Verlag&quot;,&quot;issue&quot;:&quot;10&quot;,&quot;volume&quot;:&quot;32&quot;,&quot;container-title-short&quot;:&quot;&quot;},&quot;isTemporary&quot;:false}]}]"/>
    <we:property name="MENDELEY_CITATIONS_LOCALE_CODE" value="&quot;en-US&quot;"/>
    <we:property name="MENDELEY_CITATIONS_STYLE" value="{&quot;id&quot;:&quot;https://www.zotero.org/styles/the-journal-of-urology&quot;,&quot;title&quot;:&quot;The Journal of Urology&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F5FDDC-DA8B-4E0D-9F85-EE45EAE1AA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1151</Words>
  <Characters>6566</Characters>
  <Application>Microsoft Office Word</Application>
  <DocSecurity>0</DocSecurity>
  <Lines>54</Lines>
  <Paragraphs>15</Paragraphs>
  <ScaleCrop>false</ScaleCrop>
  <HeadingPairs>
    <vt:vector size="4" baseType="variant">
      <vt:variant>
        <vt:lpstr>Rubrik</vt:lpstr>
      </vt:variant>
      <vt:variant>
        <vt:i4>1</vt:i4>
      </vt:variant>
      <vt:variant>
        <vt:lpstr>Titolo</vt:lpstr>
      </vt:variant>
      <vt:variant>
        <vt:i4>1</vt:i4>
      </vt:variant>
    </vt:vector>
  </HeadingPairs>
  <TitlesOfParts>
    <vt:vector size="2" baseType="lpstr">
      <vt:lpstr/>
      <vt:lpstr/>
    </vt:vector>
  </TitlesOfParts>
  <Company>Hewlett-Packard Company</Company>
  <LinksUpToDate>false</LinksUpToDate>
  <CharactersWithSpaces>7702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Pierluigi Marzuillo</dc:creator>
  <cp:lastModifiedBy>Elin Alvehag</cp:lastModifiedBy>
  <cp:revision>3</cp:revision>
  <dcterms:created xsi:type="dcterms:W3CDTF">2024-04-08T12:00:00Z</dcterms:created>
  <dcterms:modified xsi:type="dcterms:W3CDTF">2024-04-08T12:00:00Z</dcterms:modified>
</cp:coreProperties>
</file>