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09EEBCC3" w14:textId="77777777" w:rsidR="00C65C88" w:rsidRDefault="00C65C88">
      <w:pPr>
        <w:autoSpaceDE w:val="0"/>
        <w:jc w:val="center"/>
      </w:pPr>
      <w:r>
        <w:rPr>
          <w:b/>
          <w:bCs/>
          <w:sz w:val="24"/>
          <w:szCs w:val="24"/>
        </w:rPr>
        <w:t>Research Appendix for</w:t>
      </w:r>
    </w:p>
    <w:p w14:paraId="26CC3924" w14:textId="77777777" w:rsidR="00C65C88" w:rsidRDefault="00BB083B">
      <w:pPr>
        <w:spacing w:after="0"/>
        <w:jc w:val="center"/>
        <w:rPr>
          <w:rFonts w:cs="Calibri"/>
          <w:b/>
          <w:bCs/>
          <w:sz w:val="24"/>
          <w:szCs w:val="24"/>
        </w:rPr>
      </w:pPr>
      <w:r>
        <w:rPr>
          <w:rFonts w:cs="Calibri"/>
          <w:b/>
          <w:bCs/>
          <w:sz w:val="24"/>
          <w:szCs w:val="24"/>
        </w:rPr>
        <w:t>“Financial Regulatory Conundrums in the North Atlantic”</w:t>
      </w:r>
    </w:p>
    <w:p w14:paraId="03B8EBAE" w14:textId="77777777" w:rsidR="00B52156" w:rsidRDefault="00B52156">
      <w:pPr>
        <w:spacing w:after="0"/>
        <w:jc w:val="center"/>
        <w:rPr>
          <w:rFonts w:cs="Calibri"/>
          <w:b/>
          <w:bCs/>
          <w:sz w:val="24"/>
          <w:szCs w:val="24"/>
        </w:rPr>
      </w:pPr>
    </w:p>
    <w:p w14:paraId="68361E44" w14:textId="77777777" w:rsidR="002B783B" w:rsidRDefault="002B783B" w:rsidP="002B783B">
      <w:pPr>
        <w:autoSpaceDE w:val="0"/>
        <w:jc w:val="center"/>
      </w:pPr>
      <w:r w:rsidRPr="003B42D3">
        <w:t>E</w:t>
      </w:r>
      <w:r>
        <w:t>LLIOT POSNER</w:t>
      </w:r>
      <w:r w:rsidRPr="003B42D3">
        <w:t xml:space="preserve"> </w:t>
      </w:r>
      <w:r>
        <w:t>and LUCIA QUAGLIA</w:t>
      </w:r>
      <w:r w:rsidRPr="003B42D3">
        <w:t xml:space="preserve"> </w:t>
      </w:r>
    </w:p>
    <w:p w14:paraId="7F340F69" w14:textId="77777777" w:rsidR="00C65C88" w:rsidRDefault="00C65C88">
      <w:pPr>
        <w:autoSpaceDE w:val="0"/>
        <w:jc w:val="center"/>
        <w:rPr>
          <w:rFonts w:cs="Calibri"/>
          <w:b/>
          <w:bCs/>
          <w:sz w:val="24"/>
          <w:szCs w:val="24"/>
        </w:rPr>
      </w:pPr>
    </w:p>
    <w:p w14:paraId="0B4020E4" w14:textId="77777777" w:rsidR="00C65C88" w:rsidRDefault="00C65C88">
      <w:pPr>
        <w:spacing w:after="0"/>
        <w:jc w:val="center"/>
        <w:rPr>
          <w:rFonts w:cs="Calibri"/>
          <w:b/>
          <w:bCs/>
          <w:sz w:val="24"/>
          <w:szCs w:val="24"/>
        </w:rPr>
      </w:pPr>
    </w:p>
    <w:p w14:paraId="363A73F7" w14:textId="77777777" w:rsidR="00C65C88" w:rsidRDefault="00C65C88">
      <w:pPr>
        <w:spacing w:after="0"/>
        <w:jc w:val="center"/>
        <w:rPr>
          <w:rFonts w:cs="Calibri"/>
          <w:b/>
          <w:bCs/>
          <w:sz w:val="24"/>
          <w:szCs w:val="24"/>
        </w:rPr>
      </w:pPr>
    </w:p>
    <w:p w14:paraId="7B7F99DA" w14:textId="77777777" w:rsidR="00C65C88" w:rsidRDefault="00C65C88" w:rsidP="00FB11BD">
      <w:pPr>
        <w:spacing w:after="0" w:line="480" w:lineRule="auto"/>
        <w:jc w:val="both"/>
        <w:rPr>
          <w:rFonts w:cs="Calibri"/>
          <w:b/>
          <w:bCs/>
          <w:sz w:val="24"/>
          <w:szCs w:val="24"/>
        </w:rPr>
      </w:pPr>
    </w:p>
    <w:p w14:paraId="693E3934" w14:textId="77B75641" w:rsidR="00AF0042" w:rsidRDefault="00C65C88" w:rsidP="00AF0042">
      <w:pPr>
        <w:spacing w:line="480" w:lineRule="auto"/>
        <w:jc w:val="both"/>
        <w:rPr>
          <w:sz w:val="24"/>
          <w:szCs w:val="24"/>
        </w:rPr>
      </w:pPr>
      <w:r>
        <w:rPr>
          <w:sz w:val="24"/>
          <w:szCs w:val="24"/>
        </w:rPr>
        <w:t xml:space="preserve">The starting point of this </w:t>
      </w:r>
      <w:r w:rsidR="00AA1735">
        <w:rPr>
          <w:sz w:val="24"/>
          <w:szCs w:val="24"/>
        </w:rPr>
        <w:t>research project</w:t>
      </w:r>
      <w:r>
        <w:rPr>
          <w:sz w:val="24"/>
          <w:szCs w:val="24"/>
        </w:rPr>
        <w:t xml:space="preserve"> was a desire to explain the dominant, interesting, and puzzling financial regulatory patterns of the two jurisdictions most responsible for setting global trends in the </w:t>
      </w:r>
      <w:r w:rsidRPr="0040717C">
        <w:rPr>
          <w:sz w:val="24"/>
          <w:szCs w:val="24"/>
        </w:rPr>
        <w:t>domain. However, since those patterns were not obvious in either the qualitative literature or the commonly used indexes, a preliminary step was to create data of our own, usable for the purposes of</w:t>
      </w:r>
      <w:r w:rsidR="00AA1735" w:rsidRPr="0040717C">
        <w:rPr>
          <w:sz w:val="24"/>
          <w:szCs w:val="24"/>
        </w:rPr>
        <w:t xml:space="preserve"> </w:t>
      </w:r>
      <w:r w:rsidR="00AA1735" w:rsidRPr="0040717C">
        <w:rPr>
          <w:sz w:val="24"/>
          <w:szCs w:val="24"/>
        </w:rPr>
        <w:t xml:space="preserve">the </w:t>
      </w:r>
      <w:r w:rsidR="00B821C2">
        <w:rPr>
          <w:sz w:val="24"/>
          <w:szCs w:val="24"/>
        </w:rPr>
        <w:t>article</w:t>
      </w:r>
      <w:r w:rsidR="00AA1735" w:rsidRPr="0040717C">
        <w:rPr>
          <w:sz w:val="24"/>
          <w:szCs w:val="24"/>
        </w:rPr>
        <w:t>, “Financial</w:t>
      </w:r>
      <w:r w:rsidR="00AA1735">
        <w:rPr>
          <w:sz w:val="24"/>
          <w:szCs w:val="24"/>
        </w:rPr>
        <w:t xml:space="preserve"> Regulatory Conundrums in the North Atlantic,”</w:t>
      </w:r>
      <w:r>
        <w:rPr>
          <w:sz w:val="24"/>
          <w:szCs w:val="24"/>
        </w:rPr>
        <w:t xml:space="preserve"> and, we hope, for </w:t>
      </w:r>
      <w:r w:rsidR="002B783B">
        <w:rPr>
          <w:sz w:val="24"/>
          <w:szCs w:val="24"/>
        </w:rPr>
        <w:t>additional</w:t>
      </w:r>
      <w:r>
        <w:rPr>
          <w:sz w:val="24"/>
          <w:szCs w:val="24"/>
        </w:rPr>
        <w:t xml:space="preserve"> studies.</w:t>
      </w:r>
    </w:p>
    <w:p w14:paraId="13256738" w14:textId="77777777" w:rsidR="00AF0042" w:rsidRDefault="00AF0042" w:rsidP="00AF0042">
      <w:pPr>
        <w:spacing w:line="480" w:lineRule="auto"/>
        <w:jc w:val="both"/>
        <w:rPr>
          <w:sz w:val="24"/>
          <w:szCs w:val="24"/>
        </w:rPr>
      </w:pPr>
    </w:p>
    <w:p w14:paraId="1CF59554" w14:textId="77777777" w:rsidR="002D6E2A" w:rsidRPr="00AF0042" w:rsidRDefault="00C65C88" w:rsidP="00AF0042">
      <w:pPr>
        <w:spacing w:line="480" w:lineRule="auto"/>
        <w:jc w:val="both"/>
        <w:rPr>
          <w:sz w:val="24"/>
          <w:szCs w:val="24"/>
        </w:rPr>
      </w:pPr>
      <w:r>
        <w:rPr>
          <w:sz w:val="24"/>
          <w:szCs w:val="24"/>
        </w:rPr>
        <w:t xml:space="preserve">This part of the project forced us to </w:t>
      </w:r>
      <w:r>
        <w:rPr>
          <w:rFonts w:cs="Calibri"/>
          <w:sz w:val="24"/>
          <w:szCs w:val="24"/>
        </w:rPr>
        <w:t>confront a tension in our ambitions. On the one hand, we strove to preserve the benefits of qualitative research (</w:t>
      </w:r>
      <w:proofErr w:type="gramStart"/>
      <w:r>
        <w:rPr>
          <w:rFonts w:cs="Calibri"/>
          <w:sz w:val="24"/>
          <w:szCs w:val="24"/>
        </w:rPr>
        <w:t>e.g.</w:t>
      </w:r>
      <w:proofErr w:type="gramEnd"/>
      <w:r>
        <w:rPr>
          <w:rFonts w:cs="Calibri"/>
          <w:sz w:val="24"/>
          <w:szCs w:val="24"/>
        </w:rPr>
        <w:t xml:space="preserve"> high levels of confidence in the findings because of scholars’ detailed and nuanced knowledge of relatively few and carefully selected “thick” as opposed to “thin” cases). On the other hand, to find meaningful empirical patterns across cases and over </w:t>
      </w:r>
      <w:r w:rsidR="00AA1735">
        <w:rPr>
          <w:rFonts w:cs="Calibri"/>
          <w:sz w:val="24"/>
          <w:szCs w:val="24"/>
        </w:rPr>
        <w:t xml:space="preserve">a long </w:t>
      </w:r>
      <w:r>
        <w:rPr>
          <w:rFonts w:cs="Calibri"/>
          <w:sz w:val="24"/>
          <w:szCs w:val="24"/>
        </w:rPr>
        <w:t>span</w:t>
      </w:r>
      <w:r w:rsidR="00AA1735">
        <w:rPr>
          <w:rFonts w:cs="Calibri"/>
          <w:sz w:val="24"/>
          <w:szCs w:val="24"/>
        </w:rPr>
        <w:t xml:space="preserve"> </w:t>
      </w:r>
      <w:r w:rsidR="00481FC9">
        <w:rPr>
          <w:rFonts w:cs="Calibri"/>
          <w:sz w:val="24"/>
          <w:szCs w:val="24"/>
        </w:rPr>
        <w:t xml:space="preserve">of </w:t>
      </w:r>
      <w:r w:rsidR="00AA1735">
        <w:rPr>
          <w:rFonts w:cs="Calibri"/>
          <w:sz w:val="24"/>
          <w:szCs w:val="24"/>
        </w:rPr>
        <w:t>years</w:t>
      </w:r>
      <w:r>
        <w:rPr>
          <w:rFonts w:cs="Calibri"/>
          <w:sz w:val="24"/>
          <w:szCs w:val="24"/>
        </w:rPr>
        <w:t xml:space="preserve"> so as to accumulate knowledge,</w:t>
      </w:r>
      <w:r>
        <w:rPr>
          <w:rStyle w:val="Rimandonotaapidipagina1"/>
          <w:rFonts w:cs="Calibri"/>
          <w:sz w:val="24"/>
          <w:szCs w:val="24"/>
        </w:rPr>
        <w:footnoteReference w:id="1"/>
      </w:r>
      <w:r>
        <w:rPr>
          <w:rFonts w:cs="Calibri"/>
          <w:sz w:val="24"/>
          <w:szCs w:val="24"/>
        </w:rPr>
        <w:t xml:space="preserve"> we decided to include more cases</w:t>
      </w:r>
      <w:r w:rsidR="00D61A29">
        <w:rPr>
          <w:rFonts w:cs="Calibri"/>
          <w:sz w:val="24"/>
          <w:szCs w:val="24"/>
        </w:rPr>
        <w:t xml:space="preserve"> (that is, a </w:t>
      </w:r>
      <w:proofErr w:type="gramStart"/>
      <w:r w:rsidR="00D61A29">
        <w:rPr>
          <w:rFonts w:cs="Calibri"/>
          <w:sz w:val="24"/>
          <w:szCs w:val="24"/>
        </w:rPr>
        <w:t>medium-n</w:t>
      </w:r>
      <w:proofErr w:type="gramEnd"/>
      <w:r w:rsidR="00D61A29">
        <w:rPr>
          <w:rFonts w:cs="Calibri"/>
          <w:sz w:val="24"/>
          <w:szCs w:val="24"/>
        </w:rPr>
        <w:t>)</w:t>
      </w:r>
      <w:r>
        <w:rPr>
          <w:rFonts w:cs="Calibri"/>
          <w:sz w:val="24"/>
          <w:szCs w:val="24"/>
        </w:rPr>
        <w:t xml:space="preserve"> than is typical in qualitative research on the politics of finance. Thus, we not only had to create new data, but also devise ways to be systematic in our classification and analysis of multiple cases. Moreover, in addition to wanting to resolve this classic tension between confidence and generalizability, we aimed to do so while meeting the discipline’s rising expectations concerning </w:t>
      </w:r>
      <w:r>
        <w:rPr>
          <w:rFonts w:cs="Calibri"/>
          <w:sz w:val="24"/>
          <w:szCs w:val="24"/>
        </w:rPr>
        <w:lastRenderedPageBreak/>
        <w:t>research transparency</w:t>
      </w:r>
      <w:r>
        <w:rPr>
          <w:rStyle w:val="Rimandonotaapidipagina1"/>
          <w:rFonts w:cs="Calibri"/>
          <w:sz w:val="24"/>
          <w:szCs w:val="24"/>
        </w:rPr>
        <w:footnoteReference w:id="2"/>
      </w:r>
      <w:r>
        <w:rPr>
          <w:rFonts w:cs="Calibri"/>
          <w:sz w:val="24"/>
          <w:szCs w:val="24"/>
        </w:rPr>
        <w:t xml:space="preserve"> as well as our own related commitment to being reflective and explicit about the role of interpretation, judgment and positionality in the making of our data.</w:t>
      </w:r>
      <w:r>
        <w:rPr>
          <w:rStyle w:val="Rimandonotaapidipagina1"/>
          <w:rFonts w:cs="Calibri"/>
          <w:sz w:val="24"/>
          <w:szCs w:val="24"/>
        </w:rPr>
        <w:footnoteReference w:id="3"/>
      </w:r>
      <w:r>
        <w:rPr>
          <w:rFonts w:cs="Calibri"/>
          <w:sz w:val="24"/>
          <w:szCs w:val="24"/>
        </w:rPr>
        <w:t xml:space="preserve"> To manage these multiple goals, we created a package of protocols and techniques – including the inclusion of this </w:t>
      </w:r>
      <w:r w:rsidR="00F315C9">
        <w:rPr>
          <w:rFonts w:cs="Calibri"/>
          <w:sz w:val="24"/>
          <w:szCs w:val="24"/>
        </w:rPr>
        <w:t xml:space="preserve">short </w:t>
      </w:r>
      <w:r>
        <w:rPr>
          <w:rFonts w:cs="Calibri"/>
          <w:sz w:val="24"/>
          <w:szCs w:val="24"/>
        </w:rPr>
        <w:t>research appendix</w:t>
      </w:r>
      <w:r>
        <w:rPr>
          <w:rStyle w:val="Rimandonotaapidipagina1"/>
          <w:sz w:val="24"/>
          <w:szCs w:val="24"/>
        </w:rPr>
        <w:footnoteReference w:id="4"/>
      </w:r>
      <w:r>
        <w:rPr>
          <w:sz w:val="24"/>
          <w:szCs w:val="24"/>
        </w:rPr>
        <w:t xml:space="preserve"> and the publicly accessible storage of our data, replete with explanatory narratives for each coding decision </w:t>
      </w:r>
      <w:r w:rsidR="009C5045">
        <w:rPr>
          <w:sz w:val="24"/>
          <w:szCs w:val="24"/>
        </w:rPr>
        <w:t>(</w:t>
      </w:r>
      <w:r w:rsidR="009C5045" w:rsidRPr="00407213">
        <w:rPr>
          <w:rFonts w:ascii="Times New Roman" w:hAnsi="Times New Roman" w:cs="Times New Roman"/>
          <w:sz w:val="24"/>
          <w:szCs w:val="24"/>
        </w:rPr>
        <w:t>available</w:t>
      </w:r>
      <w:r w:rsidR="003F2755">
        <w:rPr>
          <w:rFonts w:ascii="Times New Roman" w:hAnsi="Times New Roman" w:cs="Times New Roman"/>
          <w:sz w:val="24"/>
          <w:szCs w:val="24"/>
        </w:rPr>
        <w:t xml:space="preserve"> </w:t>
      </w:r>
      <w:hyperlink r:id="rId7" w:history="1">
        <w:r w:rsidR="003F2755">
          <w:rPr>
            <w:rStyle w:val="Hyperlink"/>
            <w:rFonts w:cs="Calibri"/>
            <w:sz w:val="24"/>
            <w:szCs w:val="24"/>
          </w:rPr>
          <w:t>here</w:t>
        </w:r>
      </w:hyperlink>
      <w:r w:rsidR="003F2755">
        <w:rPr>
          <w:rFonts w:cs="Calibri"/>
          <w:sz w:val="24"/>
          <w:szCs w:val="24"/>
        </w:rPr>
        <w:t xml:space="preserve"> [</w:t>
      </w:r>
      <w:hyperlink r:id="rId8" w:tgtFrame="_blank" w:history="1">
        <w:r w:rsidR="003F2755">
          <w:rPr>
            <w:rStyle w:val="Hyperlink"/>
            <w:rFonts w:cs="Calibri"/>
          </w:rPr>
          <w:t>https://doi.org/10.5064/F6QR17WM</w:t>
        </w:r>
      </w:hyperlink>
      <w:r w:rsidR="003F2755">
        <w:rPr>
          <w:rStyle w:val="citation-select"/>
          <w:rFonts w:cs="Calibri"/>
        </w:rPr>
        <w:t>]</w:t>
      </w:r>
      <w:r w:rsidR="009C5045" w:rsidRPr="00407213">
        <w:rPr>
          <w:rFonts w:ascii="Times New Roman" w:hAnsi="Times New Roman" w:cs="Times New Roman"/>
          <w:sz w:val="24"/>
          <w:szCs w:val="24"/>
        </w:rPr>
        <w:t xml:space="preserve"> </w:t>
      </w:r>
      <w:r w:rsidR="008B1A1D" w:rsidRPr="00407213">
        <w:rPr>
          <w:rFonts w:ascii="Times New Roman" w:hAnsi="Times New Roman" w:cs="Times New Roman"/>
          <w:sz w:val="24"/>
          <w:szCs w:val="24"/>
        </w:rPr>
        <w:t>in the</w:t>
      </w:r>
      <w:r w:rsidR="008B1A1D">
        <w:rPr>
          <w:sz w:val="24"/>
          <w:szCs w:val="24"/>
        </w:rPr>
        <w:t xml:space="preserve"> Qualitative Data Repository)</w:t>
      </w:r>
      <w:r>
        <w:rPr>
          <w:sz w:val="24"/>
          <w:szCs w:val="24"/>
        </w:rPr>
        <w:t>.</w:t>
      </w:r>
      <w:r w:rsidR="003F2755">
        <w:rPr>
          <w:rStyle w:val="FootnoteReference"/>
          <w:sz w:val="24"/>
          <w:szCs w:val="24"/>
        </w:rPr>
        <w:footnoteReference w:id="5"/>
      </w:r>
    </w:p>
    <w:p w14:paraId="146E8405" w14:textId="77777777" w:rsidR="00C65C88" w:rsidRDefault="00C65C88" w:rsidP="00FB11BD">
      <w:pPr>
        <w:spacing w:after="0" w:line="480" w:lineRule="auto"/>
        <w:jc w:val="both"/>
        <w:rPr>
          <w:rFonts w:eastAsia="Times New Roman" w:cs="Calibri"/>
          <w:bCs/>
          <w:i/>
          <w:iCs/>
          <w:sz w:val="24"/>
          <w:szCs w:val="24"/>
          <w:lang w:val="en-US"/>
        </w:rPr>
      </w:pPr>
    </w:p>
    <w:p w14:paraId="6ECB78BF" w14:textId="77777777" w:rsidR="00C65C88" w:rsidRPr="00AF0042" w:rsidRDefault="003815A6" w:rsidP="00AF0042">
      <w:pPr>
        <w:spacing w:after="0" w:line="480" w:lineRule="auto"/>
        <w:jc w:val="both"/>
      </w:pPr>
      <w:r>
        <w:rPr>
          <w:rFonts w:eastAsia="Times New Roman" w:cs="Calibri"/>
          <w:sz w:val="24"/>
          <w:szCs w:val="24"/>
          <w:lang w:val="en-US"/>
        </w:rPr>
        <w:t>In carrying out this study, o</w:t>
      </w:r>
      <w:r w:rsidR="00C65C88">
        <w:rPr>
          <w:rFonts w:eastAsia="Times New Roman" w:cs="Calibri"/>
          <w:sz w:val="24"/>
          <w:szCs w:val="24"/>
          <w:lang w:val="en-US"/>
        </w:rPr>
        <w:t>ur positionality was</w:t>
      </w:r>
      <w:r>
        <w:rPr>
          <w:rFonts w:eastAsia="Times New Roman" w:cs="Calibri"/>
          <w:sz w:val="24"/>
          <w:szCs w:val="24"/>
          <w:lang w:val="en-US"/>
        </w:rPr>
        <w:t xml:space="preserve"> especially</w:t>
      </w:r>
      <w:r w:rsidR="00C65C88">
        <w:rPr>
          <w:rFonts w:eastAsia="Times New Roman" w:cs="Calibri"/>
          <w:sz w:val="24"/>
          <w:szCs w:val="24"/>
          <w:lang w:val="en-US"/>
        </w:rPr>
        <w:t xml:space="preserve"> “visible”</w:t>
      </w:r>
      <w:r>
        <w:rPr>
          <w:rFonts w:eastAsia="Times New Roman" w:cs="Calibri"/>
          <w:sz w:val="24"/>
          <w:szCs w:val="24"/>
          <w:lang w:val="en-US"/>
        </w:rPr>
        <w:t xml:space="preserve"> </w:t>
      </w:r>
      <w:r w:rsidR="00C65C88">
        <w:rPr>
          <w:rFonts w:eastAsia="Times New Roman" w:cs="Calibri"/>
          <w:sz w:val="24"/>
          <w:szCs w:val="24"/>
          <w:lang w:val="en-US"/>
        </w:rPr>
        <w:t>during the data-creation processes: in the initial decisions about the conceptualization of variables, the decisions about which subsectors to include (and indeed how to parcel, categorize and determine what constitutes a case) and the actual coding.</w:t>
      </w:r>
      <w:r w:rsidR="00C65C88">
        <w:rPr>
          <w:rStyle w:val="Caratterinotaapidipagina"/>
          <w:rFonts w:eastAsia="Times New Roman" w:cs="Calibri"/>
          <w:sz w:val="24"/>
          <w:szCs w:val="24"/>
          <w:lang w:val="en-US"/>
        </w:rPr>
        <w:footnoteReference w:id="6"/>
      </w:r>
      <w:r w:rsidR="00C65C88">
        <w:rPr>
          <w:rFonts w:eastAsia="Times New Roman" w:cs="Calibri"/>
          <w:sz w:val="24"/>
          <w:szCs w:val="24"/>
          <w:lang w:val="en-US"/>
        </w:rPr>
        <w:t xml:space="preserve"> In preparing the data, our approach was for the authors to code independently, then to compare our assessments, arguing back and forth to come to an agreement. </w:t>
      </w:r>
      <w:r w:rsidR="00CE1D15">
        <w:rPr>
          <w:rFonts w:eastAsia="Times New Roman" w:cs="Calibri"/>
          <w:sz w:val="24"/>
          <w:szCs w:val="24"/>
          <w:lang w:val="en-US"/>
        </w:rPr>
        <w:t xml:space="preserve">Hence, we did not opt for a division of </w:t>
      </w:r>
      <w:proofErr w:type="spellStart"/>
      <w:r w:rsidR="00CE1D15">
        <w:rPr>
          <w:rFonts w:eastAsia="Times New Roman" w:cs="Calibri"/>
          <w:sz w:val="24"/>
          <w:szCs w:val="24"/>
          <w:lang w:val="en-US"/>
        </w:rPr>
        <w:t>labour</w:t>
      </w:r>
      <w:proofErr w:type="spellEnd"/>
      <w:r w:rsidR="00CE1D15">
        <w:rPr>
          <w:rFonts w:eastAsia="Times New Roman" w:cs="Calibri"/>
          <w:sz w:val="24"/>
          <w:szCs w:val="24"/>
          <w:lang w:val="en-US"/>
        </w:rPr>
        <w:t xml:space="preserve"> in co-authoring, rather we hashed it out in each instance, harnessing our combined expertise and using argumentation</w:t>
      </w:r>
      <w:r w:rsidR="00D61A29">
        <w:rPr>
          <w:rFonts w:eastAsia="Times New Roman" w:cs="Calibri"/>
          <w:sz w:val="24"/>
          <w:szCs w:val="24"/>
          <w:lang w:val="en-US"/>
        </w:rPr>
        <w:t xml:space="preserve"> as a “control”</w:t>
      </w:r>
      <w:r w:rsidR="00CE1D15">
        <w:rPr>
          <w:rFonts w:eastAsia="Times New Roman" w:cs="Calibri"/>
          <w:sz w:val="24"/>
          <w:szCs w:val="24"/>
          <w:lang w:val="en-US"/>
        </w:rPr>
        <w:t xml:space="preserve">. Similarly, in later decisions about what is important, </w:t>
      </w:r>
      <w:proofErr w:type="gramStart"/>
      <w:r w:rsidR="00CE1D15">
        <w:rPr>
          <w:rFonts w:eastAsia="Times New Roman" w:cs="Calibri"/>
          <w:sz w:val="24"/>
          <w:szCs w:val="24"/>
          <w:lang w:val="en-US"/>
        </w:rPr>
        <w:t>interesting</w:t>
      </w:r>
      <w:proofErr w:type="gramEnd"/>
      <w:r w:rsidR="00CE1D15">
        <w:rPr>
          <w:rFonts w:eastAsia="Times New Roman" w:cs="Calibri"/>
          <w:sz w:val="24"/>
          <w:szCs w:val="24"/>
          <w:lang w:val="en-US"/>
        </w:rPr>
        <w:t xml:space="preserve"> and puzzling, we used a similar technique.</w:t>
      </w:r>
      <w:r w:rsidR="00D61A29">
        <w:rPr>
          <w:rFonts w:eastAsia="Times New Roman" w:cs="Calibri"/>
          <w:sz w:val="24"/>
          <w:szCs w:val="24"/>
          <w:lang w:val="en-US"/>
        </w:rPr>
        <w:t xml:space="preserve"> </w:t>
      </w:r>
      <w:r w:rsidR="00C65C88">
        <w:rPr>
          <w:rFonts w:eastAsia="Times New Roman" w:cs="Calibri"/>
          <w:sz w:val="24"/>
          <w:szCs w:val="24"/>
          <w:lang w:val="en-US"/>
        </w:rPr>
        <w:t xml:space="preserve">As noted, </w:t>
      </w:r>
      <w:r w:rsidR="00CE1D15">
        <w:rPr>
          <w:rFonts w:eastAsia="Times New Roman" w:cs="Calibri"/>
          <w:sz w:val="24"/>
          <w:szCs w:val="24"/>
          <w:lang w:val="en-US"/>
        </w:rPr>
        <w:t xml:space="preserve">for each </w:t>
      </w:r>
      <w:r w:rsidR="00D61A29">
        <w:rPr>
          <w:rFonts w:eastAsia="Times New Roman" w:cs="Calibri"/>
          <w:sz w:val="24"/>
          <w:szCs w:val="24"/>
          <w:lang w:val="en-US"/>
        </w:rPr>
        <w:t>coding decision</w:t>
      </w:r>
      <w:r w:rsidR="00CE1D15">
        <w:rPr>
          <w:rFonts w:eastAsia="Times New Roman" w:cs="Calibri"/>
          <w:sz w:val="24"/>
          <w:szCs w:val="24"/>
          <w:lang w:val="en-US"/>
        </w:rPr>
        <w:t xml:space="preserve">, readers will find  </w:t>
      </w:r>
      <w:r w:rsidR="00CE1D15">
        <w:rPr>
          <w:sz w:val="24"/>
          <w:szCs w:val="24"/>
        </w:rPr>
        <w:t>(</w:t>
      </w:r>
      <w:r w:rsidR="00CE1D15" w:rsidRPr="00407213">
        <w:rPr>
          <w:rFonts w:ascii="Times New Roman" w:hAnsi="Times New Roman" w:cs="Times New Roman"/>
          <w:sz w:val="24"/>
          <w:szCs w:val="24"/>
        </w:rPr>
        <w:t>available</w:t>
      </w:r>
      <w:r w:rsidR="003F2755">
        <w:rPr>
          <w:rFonts w:ascii="Times New Roman" w:hAnsi="Times New Roman" w:cs="Times New Roman"/>
          <w:sz w:val="24"/>
          <w:szCs w:val="24"/>
        </w:rPr>
        <w:t xml:space="preserve"> </w:t>
      </w:r>
      <w:hyperlink r:id="rId9" w:history="1">
        <w:r w:rsidR="003F2755" w:rsidRPr="003F2755">
          <w:rPr>
            <w:rStyle w:val="Hyperlink"/>
            <w:rFonts w:ascii="Times New Roman" w:hAnsi="Times New Roman" w:cs="Times New Roman"/>
            <w:sz w:val="24"/>
            <w:szCs w:val="24"/>
          </w:rPr>
          <w:t>here</w:t>
        </w:r>
      </w:hyperlink>
      <w:r w:rsidR="003F2755">
        <w:rPr>
          <w:rFonts w:ascii="Times New Roman" w:hAnsi="Times New Roman" w:cs="Times New Roman"/>
          <w:sz w:val="24"/>
          <w:szCs w:val="24"/>
        </w:rPr>
        <w:t xml:space="preserve"> [</w:t>
      </w:r>
      <w:hyperlink r:id="rId10" w:history="1">
        <w:r w:rsidR="003F2755" w:rsidRPr="009504B7">
          <w:rPr>
            <w:rStyle w:val="Hyperlink"/>
            <w:rFonts w:cs="Calibri"/>
          </w:rPr>
          <w:t>https://doi.org/10.5064/</w:t>
        </w:r>
        <w:r w:rsidR="003F2755" w:rsidRPr="009504B7">
          <w:rPr>
            <w:rStyle w:val="Hyperlink"/>
            <w:rFonts w:cs="Calibri"/>
          </w:rPr>
          <w:t>F</w:t>
        </w:r>
        <w:r w:rsidR="003F2755" w:rsidRPr="009504B7">
          <w:rPr>
            <w:rStyle w:val="Hyperlink"/>
            <w:rFonts w:cs="Calibri"/>
          </w:rPr>
          <w:t>6QR17WM</w:t>
        </w:r>
      </w:hyperlink>
      <w:r w:rsidR="003F2755">
        <w:rPr>
          <w:rStyle w:val="citation-select"/>
          <w:rFonts w:cs="Calibri"/>
        </w:rPr>
        <w:t>]</w:t>
      </w:r>
      <w:r w:rsidR="003F2755">
        <w:rPr>
          <w:rFonts w:ascii="Times New Roman" w:hAnsi="Times New Roman" w:cs="Times New Roman"/>
          <w:sz w:val="24"/>
          <w:szCs w:val="24"/>
        </w:rPr>
        <w:t xml:space="preserve"> </w:t>
      </w:r>
      <w:r w:rsidR="00CE1D15" w:rsidRPr="00407213">
        <w:rPr>
          <w:rFonts w:ascii="Times New Roman" w:hAnsi="Times New Roman" w:cs="Times New Roman"/>
          <w:sz w:val="24"/>
          <w:szCs w:val="24"/>
        </w:rPr>
        <w:t>in the</w:t>
      </w:r>
      <w:r w:rsidR="00CE1D15">
        <w:rPr>
          <w:sz w:val="24"/>
          <w:szCs w:val="24"/>
        </w:rPr>
        <w:t xml:space="preserve"> Qualitative Data Repository) </w:t>
      </w:r>
      <w:r w:rsidR="00CE1D15">
        <w:rPr>
          <w:rFonts w:eastAsia="Times New Roman" w:cs="Calibri"/>
          <w:sz w:val="24"/>
          <w:szCs w:val="24"/>
          <w:lang w:val="en-US"/>
        </w:rPr>
        <w:t xml:space="preserve">a </w:t>
      </w:r>
      <w:r w:rsidR="00C65C88">
        <w:rPr>
          <w:rFonts w:eastAsia="Times New Roman" w:cs="Calibri"/>
          <w:sz w:val="24"/>
          <w:szCs w:val="24"/>
          <w:lang w:val="en-US"/>
        </w:rPr>
        <w:t xml:space="preserve">short narrative explanation containing </w:t>
      </w:r>
      <w:r w:rsidR="00D61A29">
        <w:rPr>
          <w:rFonts w:eastAsia="Times New Roman" w:cs="Calibri"/>
          <w:sz w:val="24"/>
          <w:szCs w:val="24"/>
          <w:lang w:val="en-US"/>
        </w:rPr>
        <w:t>our</w:t>
      </w:r>
      <w:r w:rsidR="00C65C88">
        <w:rPr>
          <w:rFonts w:eastAsia="Times New Roman" w:cs="Calibri"/>
          <w:sz w:val="24"/>
          <w:szCs w:val="24"/>
          <w:lang w:val="en-US"/>
        </w:rPr>
        <w:t xml:space="preserve"> evidence and</w:t>
      </w:r>
      <w:r w:rsidR="00D61A29">
        <w:rPr>
          <w:rFonts w:eastAsia="Times New Roman" w:cs="Calibri"/>
          <w:sz w:val="24"/>
          <w:szCs w:val="24"/>
          <w:lang w:val="en-US"/>
        </w:rPr>
        <w:t xml:space="preserve"> </w:t>
      </w:r>
      <w:r w:rsidR="00C65C88">
        <w:rPr>
          <w:rFonts w:eastAsia="Times New Roman" w:cs="Calibri"/>
          <w:sz w:val="24"/>
          <w:szCs w:val="24"/>
          <w:lang w:val="en-US"/>
        </w:rPr>
        <w:t xml:space="preserve">reasoning. </w:t>
      </w:r>
    </w:p>
    <w:p w14:paraId="0EE43BCA" w14:textId="77777777" w:rsidR="00C65C88" w:rsidRDefault="00C65C88" w:rsidP="00A4538B">
      <w:pPr>
        <w:pageBreakBefore/>
        <w:spacing w:after="0" w:line="480" w:lineRule="auto"/>
      </w:pPr>
      <w:r>
        <w:rPr>
          <w:b/>
          <w:bCs/>
          <w:sz w:val="24"/>
          <w:szCs w:val="24"/>
        </w:rPr>
        <w:lastRenderedPageBreak/>
        <w:t>References</w:t>
      </w:r>
    </w:p>
    <w:p w14:paraId="64D6665C" w14:textId="77777777" w:rsidR="001B56E2" w:rsidRDefault="001B56E2" w:rsidP="00A4538B">
      <w:pPr>
        <w:spacing w:after="0" w:line="480" w:lineRule="auto"/>
      </w:pPr>
    </w:p>
    <w:p w14:paraId="1021B72F" w14:textId="148EDC74" w:rsidR="00C65C88" w:rsidRDefault="00C65C88" w:rsidP="00A4538B">
      <w:pPr>
        <w:spacing w:after="0" w:line="480" w:lineRule="auto"/>
        <w:jc w:val="both"/>
      </w:pPr>
      <w:r>
        <w:rPr>
          <w:rFonts w:cs="Calibri"/>
          <w:color w:val="000000"/>
          <w:sz w:val="24"/>
          <w:szCs w:val="24"/>
        </w:rPr>
        <w:t>Elman,</w:t>
      </w:r>
      <w:r w:rsidR="00B821C2">
        <w:rPr>
          <w:rFonts w:cs="Calibri"/>
          <w:color w:val="000000"/>
          <w:sz w:val="24"/>
          <w:szCs w:val="24"/>
        </w:rPr>
        <w:t xml:space="preserve"> C.</w:t>
      </w:r>
      <w:r>
        <w:rPr>
          <w:rFonts w:cs="Calibri"/>
          <w:color w:val="000000"/>
          <w:sz w:val="24"/>
          <w:szCs w:val="24"/>
        </w:rPr>
        <w:t xml:space="preserve">, </w:t>
      </w:r>
      <w:proofErr w:type="spellStart"/>
      <w:r>
        <w:rPr>
          <w:rFonts w:cs="Calibri"/>
          <w:color w:val="000000"/>
          <w:sz w:val="24"/>
          <w:szCs w:val="24"/>
        </w:rPr>
        <w:t>Gerring</w:t>
      </w:r>
      <w:proofErr w:type="spellEnd"/>
      <w:r>
        <w:rPr>
          <w:rFonts w:cs="Calibri"/>
          <w:color w:val="000000"/>
          <w:sz w:val="24"/>
          <w:szCs w:val="24"/>
        </w:rPr>
        <w:t>,</w:t>
      </w:r>
      <w:r w:rsidR="00B821C2">
        <w:rPr>
          <w:rFonts w:cs="Calibri"/>
          <w:color w:val="000000"/>
          <w:sz w:val="24"/>
          <w:szCs w:val="24"/>
        </w:rPr>
        <w:t xml:space="preserve"> J.,</w:t>
      </w:r>
      <w:r>
        <w:rPr>
          <w:rFonts w:cs="Calibri"/>
          <w:color w:val="000000"/>
          <w:sz w:val="24"/>
          <w:szCs w:val="24"/>
        </w:rPr>
        <w:t xml:space="preserve"> </w:t>
      </w:r>
      <w:r w:rsidR="00B821C2">
        <w:rPr>
          <w:rFonts w:cs="Calibri"/>
          <w:color w:val="000000"/>
          <w:sz w:val="24"/>
          <w:szCs w:val="24"/>
        </w:rPr>
        <w:t xml:space="preserve">&amp; </w:t>
      </w:r>
      <w:r>
        <w:rPr>
          <w:rFonts w:cs="Calibri"/>
          <w:color w:val="000000"/>
          <w:sz w:val="24"/>
          <w:szCs w:val="24"/>
        </w:rPr>
        <w:t>Mahoney,</w:t>
      </w:r>
      <w:r w:rsidR="00B821C2">
        <w:rPr>
          <w:rFonts w:cs="Calibri"/>
          <w:color w:val="000000"/>
          <w:sz w:val="24"/>
          <w:szCs w:val="24"/>
        </w:rPr>
        <w:t xml:space="preserve"> J.,</w:t>
      </w:r>
      <w:r>
        <w:rPr>
          <w:rFonts w:cs="Calibri"/>
          <w:color w:val="000000"/>
          <w:sz w:val="24"/>
          <w:szCs w:val="24"/>
        </w:rPr>
        <w:t xml:space="preserve"> eds. </w:t>
      </w:r>
      <w:r w:rsidR="00B821C2">
        <w:rPr>
          <w:rFonts w:cs="Calibri"/>
          <w:color w:val="000000"/>
          <w:sz w:val="24"/>
          <w:szCs w:val="24"/>
        </w:rPr>
        <w:t>(</w:t>
      </w:r>
      <w:r>
        <w:rPr>
          <w:rFonts w:cs="Calibri"/>
          <w:color w:val="000000"/>
          <w:sz w:val="24"/>
          <w:szCs w:val="24"/>
        </w:rPr>
        <w:t>2020</w:t>
      </w:r>
      <w:r w:rsidR="00B821C2">
        <w:rPr>
          <w:rFonts w:cs="Calibri"/>
          <w:color w:val="000000"/>
          <w:sz w:val="24"/>
          <w:szCs w:val="24"/>
        </w:rPr>
        <w:t>)</w:t>
      </w:r>
      <w:r>
        <w:rPr>
          <w:rFonts w:cs="Calibri"/>
          <w:color w:val="000000"/>
          <w:sz w:val="24"/>
          <w:szCs w:val="24"/>
        </w:rPr>
        <w:t xml:space="preserve">. </w:t>
      </w:r>
      <w:r>
        <w:rPr>
          <w:rFonts w:cs="Calibri"/>
          <w:i/>
          <w:iCs/>
          <w:color w:val="000000"/>
          <w:sz w:val="24"/>
          <w:szCs w:val="24"/>
        </w:rPr>
        <w:t xml:space="preserve">The </w:t>
      </w:r>
      <w:r w:rsidR="00B821C2">
        <w:rPr>
          <w:rFonts w:cs="Calibri"/>
          <w:i/>
          <w:iCs/>
          <w:color w:val="000000"/>
          <w:sz w:val="24"/>
          <w:szCs w:val="24"/>
        </w:rPr>
        <w:t>p</w:t>
      </w:r>
      <w:r>
        <w:rPr>
          <w:rFonts w:cs="Calibri"/>
          <w:i/>
          <w:iCs/>
          <w:color w:val="000000"/>
          <w:sz w:val="24"/>
          <w:szCs w:val="24"/>
        </w:rPr>
        <w:t xml:space="preserve">roduction of </w:t>
      </w:r>
      <w:r w:rsidR="00B821C2">
        <w:rPr>
          <w:rFonts w:cs="Calibri"/>
          <w:i/>
          <w:iCs/>
          <w:color w:val="000000"/>
          <w:sz w:val="24"/>
          <w:szCs w:val="24"/>
        </w:rPr>
        <w:t>k</w:t>
      </w:r>
      <w:r>
        <w:rPr>
          <w:rFonts w:cs="Calibri"/>
          <w:i/>
          <w:iCs/>
          <w:color w:val="000000"/>
          <w:sz w:val="24"/>
          <w:szCs w:val="24"/>
        </w:rPr>
        <w:t xml:space="preserve">nowledge: Enhancing </w:t>
      </w:r>
      <w:r w:rsidR="00B821C2">
        <w:rPr>
          <w:rFonts w:cs="Calibri"/>
          <w:i/>
          <w:iCs/>
          <w:color w:val="000000"/>
          <w:sz w:val="24"/>
          <w:szCs w:val="24"/>
        </w:rPr>
        <w:t>p</w:t>
      </w:r>
      <w:r>
        <w:rPr>
          <w:rFonts w:cs="Calibri"/>
          <w:i/>
          <w:iCs/>
          <w:color w:val="000000"/>
          <w:sz w:val="24"/>
          <w:szCs w:val="24"/>
        </w:rPr>
        <w:t xml:space="preserve">rogress in </w:t>
      </w:r>
      <w:r w:rsidR="00B821C2">
        <w:rPr>
          <w:rFonts w:cs="Calibri"/>
          <w:i/>
          <w:iCs/>
          <w:color w:val="000000"/>
          <w:sz w:val="24"/>
          <w:szCs w:val="24"/>
        </w:rPr>
        <w:t>s</w:t>
      </w:r>
      <w:r>
        <w:rPr>
          <w:rFonts w:cs="Calibri"/>
          <w:i/>
          <w:iCs/>
          <w:color w:val="000000"/>
          <w:sz w:val="24"/>
          <w:szCs w:val="24"/>
        </w:rPr>
        <w:t xml:space="preserve">ocial </w:t>
      </w:r>
      <w:r w:rsidR="00B821C2">
        <w:rPr>
          <w:rFonts w:cs="Calibri"/>
          <w:i/>
          <w:iCs/>
          <w:color w:val="000000"/>
          <w:sz w:val="24"/>
          <w:szCs w:val="24"/>
        </w:rPr>
        <w:t>s</w:t>
      </w:r>
      <w:r>
        <w:rPr>
          <w:rFonts w:cs="Calibri"/>
          <w:i/>
          <w:iCs/>
          <w:color w:val="000000"/>
          <w:sz w:val="24"/>
          <w:szCs w:val="24"/>
        </w:rPr>
        <w:t>cience.</w:t>
      </w:r>
      <w:r>
        <w:rPr>
          <w:rFonts w:cs="Calibri"/>
          <w:color w:val="000000"/>
          <w:sz w:val="24"/>
          <w:szCs w:val="24"/>
        </w:rPr>
        <w:t xml:space="preserve"> Cambridge University Press.</w:t>
      </w:r>
    </w:p>
    <w:p w14:paraId="787D3ECB" w14:textId="77777777" w:rsidR="00C65C88" w:rsidRDefault="00C65C88" w:rsidP="00A4538B">
      <w:pPr>
        <w:spacing w:after="0" w:line="480" w:lineRule="auto"/>
        <w:jc w:val="both"/>
        <w:rPr>
          <w:rFonts w:cs="Calibri"/>
          <w:color w:val="000000"/>
          <w:sz w:val="24"/>
          <w:szCs w:val="24"/>
        </w:rPr>
      </w:pPr>
    </w:p>
    <w:p w14:paraId="77DEDED7" w14:textId="2043D235" w:rsidR="00C65C88" w:rsidRDefault="00C65C88" w:rsidP="00A4538B">
      <w:pPr>
        <w:spacing w:after="0" w:line="480" w:lineRule="auto"/>
        <w:jc w:val="both"/>
      </w:pPr>
      <w:r>
        <w:rPr>
          <w:rFonts w:cs="Calibri"/>
          <w:color w:val="000000"/>
          <w:sz w:val="24"/>
          <w:szCs w:val="24"/>
        </w:rPr>
        <w:t>Jacobs, A</w:t>
      </w:r>
      <w:r w:rsidR="00B821C2">
        <w:rPr>
          <w:rFonts w:cs="Calibri"/>
          <w:color w:val="000000"/>
          <w:sz w:val="24"/>
          <w:szCs w:val="24"/>
        </w:rPr>
        <w:t>.</w:t>
      </w:r>
      <w:r>
        <w:rPr>
          <w:rFonts w:cs="Calibri"/>
          <w:color w:val="000000"/>
          <w:sz w:val="24"/>
          <w:szCs w:val="24"/>
        </w:rPr>
        <w:t xml:space="preserve">, </w:t>
      </w:r>
      <w:proofErr w:type="spellStart"/>
      <w:r>
        <w:rPr>
          <w:rFonts w:cs="Calibri"/>
          <w:color w:val="000000"/>
          <w:sz w:val="24"/>
          <w:szCs w:val="24"/>
        </w:rPr>
        <w:t>Büthe</w:t>
      </w:r>
      <w:proofErr w:type="spellEnd"/>
      <w:r>
        <w:rPr>
          <w:rFonts w:cs="Calibri"/>
          <w:color w:val="000000"/>
          <w:sz w:val="24"/>
          <w:szCs w:val="24"/>
        </w:rPr>
        <w:t>,</w:t>
      </w:r>
      <w:r w:rsidR="00B821C2">
        <w:rPr>
          <w:rFonts w:cs="Calibri"/>
          <w:color w:val="000000"/>
          <w:sz w:val="24"/>
          <w:szCs w:val="24"/>
        </w:rPr>
        <w:t xml:space="preserve"> T. et al. (</w:t>
      </w:r>
      <w:r>
        <w:rPr>
          <w:rFonts w:cs="Calibri"/>
          <w:color w:val="000000"/>
          <w:sz w:val="24"/>
          <w:szCs w:val="24"/>
        </w:rPr>
        <w:t>2021</w:t>
      </w:r>
      <w:r w:rsidR="00B821C2">
        <w:rPr>
          <w:rFonts w:cs="Calibri"/>
          <w:color w:val="000000"/>
          <w:sz w:val="24"/>
          <w:szCs w:val="24"/>
        </w:rPr>
        <w:t>)</w:t>
      </w:r>
      <w:r>
        <w:rPr>
          <w:rFonts w:cs="Calibri"/>
          <w:color w:val="000000"/>
          <w:sz w:val="24"/>
          <w:szCs w:val="24"/>
        </w:rPr>
        <w:t xml:space="preserve">. Qualitative </w:t>
      </w:r>
      <w:r w:rsidR="00B821C2">
        <w:rPr>
          <w:rFonts w:cs="Calibri"/>
          <w:color w:val="000000"/>
          <w:sz w:val="24"/>
          <w:szCs w:val="24"/>
        </w:rPr>
        <w:t>t</w:t>
      </w:r>
      <w:r>
        <w:rPr>
          <w:rFonts w:cs="Calibri"/>
          <w:color w:val="000000"/>
          <w:sz w:val="24"/>
          <w:szCs w:val="24"/>
        </w:rPr>
        <w:t xml:space="preserve">ransparency </w:t>
      </w:r>
      <w:r w:rsidR="00B821C2">
        <w:rPr>
          <w:rFonts w:cs="Calibri"/>
          <w:color w:val="000000"/>
          <w:sz w:val="24"/>
          <w:szCs w:val="24"/>
        </w:rPr>
        <w:t>d</w:t>
      </w:r>
      <w:r>
        <w:rPr>
          <w:rFonts w:cs="Calibri"/>
          <w:color w:val="000000"/>
          <w:sz w:val="24"/>
          <w:szCs w:val="24"/>
        </w:rPr>
        <w:t xml:space="preserve">eliberations: Insights and </w:t>
      </w:r>
      <w:r w:rsidR="00B821C2">
        <w:rPr>
          <w:rFonts w:cs="Calibri"/>
          <w:color w:val="000000"/>
          <w:sz w:val="24"/>
          <w:szCs w:val="24"/>
        </w:rPr>
        <w:t>i</w:t>
      </w:r>
      <w:r>
        <w:rPr>
          <w:rFonts w:cs="Calibri"/>
          <w:color w:val="000000"/>
          <w:sz w:val="24"/>
          <w:szCs w:val="24"/>
        </w:rPr>
        <w:t xml:space="preserve">mplications.” </w:t>
      </w:r>
      <w:r>
        <w:rPr>
          <w:rFonts w:cs="Calibri"/>
          <w:i/>
          <w:iCs/>
          <w:color w:val="000000"/>
          <w:sz w:val="24"/>
          <w:szCs w:val="24"/>
        </w:rPr>
        <w:t>Perspectives on Politics</w:t>
      </w:r>
      <w:r>
        <w:rPr>
          <w:rFonts w:cs="Calibri"/>
          <w:color w:val="000000"/>
          <w:sz w:val="24"/>
          <w:szCs w:val="24"/>
        </w:rPr>
        <w:t xml:space="preserve"> 19, no. 1: 171-208. doi:10.1017/S1537592720001164.</w:t>
      </w:r>
    </w:p>
    <w:p w14:paraId="3C17C9EE" w14:textId="77777777" w:rsidR="00C65C88" w:rsidRDefault="00C65C88" w:rsidP="00A4538B">
      <w:pPr>
        <w:spacing w:after="0" w:line="480" w:lineRule="auto"/>
        <w:jc w:val="both"/>
      </w:pPr>
    </w:p>
    <w:p w14:paraId="77AA719F" w14:textId="0CC8538E" w:rsidR="003F2755" w:rsidRDefault="00C65C88" w:rsidP="00A4538B">
      <w:pPr>
        <w:spacing w:after="0" w:line="480" w:lineRule="auto"/>
        <w:jc w:val="both"/>
      </w:pPr>
      <w:r>
        <w:rPr>
          <w:rFonts w:cs="Calibri"/>
          <w:color w:val="000000"/>
          <w:sz w:val="24"/>
          <w:szCs w:val="24"/>
        </w:rPr>
        <w:t>MacLean, L</w:t>
      </w:r>
      <w:r w:rsidR="00B821C2">
        <w:rPr>
          <w:rFonts w:cs="Calibri"/>
          <w:color w:val="000000"/>
          <w:sz w:val="24"/>
          <w:szCs w:val="24"/>
        </w:rPr>
        <w:t xml:space="preserve">. </w:t>
      </w:r>
      <w:r>
        <w:rPr>
          <w:rFonts w:cs="Calibri"/>
          <w:color w:val="000000"/>
          <w:sz w:val="24"/>
          <w:szCs w:val="24"/>
        </w:rPr>
        <w:t>M., Posner,</w:t>
      </w:r>
      <w:r w:rsidR="00B821C2">
        <w:rPr>
          <w:rFonts w:cs="Calibri"/>
          <w:color w:val="000000"/>
          <w:sz w:val="24"/>
          <w:szCs w:val="24"/>
        </w:rPr>
        <w:t xml:space="preserve"> E.,</w:t>
      </w:r>
      <w:r>
        <w:rPr>
          <w:rFonts w:cs="Calibri"/>
          <w:color w:val="000000"/>
          <w:sz w:val="24"/>
          <w:szCs w:val="24"/>
        </w:rPr>
        <w:t xml:space="preserve"> Thomson,</w:t>
      </w:r>
      <w:r w:rsidR="00B821C2">
        <w:rPr>
          <w:rFonts w:cs="Calibri"/>
          <w:color w:val="000000"/>
          <w:sz w:val="24"/>
          <w:szCs w:val="24"/>
        </w:rPr>
        <w:t xml:space="preserve"> S.</w:t>
      </w:r>
      <w:r>
        <w:rPr>
          <w:rFonts w:cs="Calibri"/>
          <w:color w:val="000000"/>
          <w:sz w:val="24"/>
          <w:szCs w:val="24"/>
        </w:rPr>
        <w:t xml:space="preserve"> </w:t>
      </w:r>
      <w:r w:rsidR="00B821C2">
        <w:rPr>
          <w:rFonts w:cs="Calibri"/>
          <w:color w:val="000000"/>
          <w:sz w:val="24"/>
          <w:szCs w:val="24"/>
        </w:rPr>
        <w:t xml:space="preserve">&amp; </w:t>
      </w:r>
      <w:r>
        <w:rPr>
          <w:rFonts w:cs="Calibri"/>
          <w:color w:val="000000"/>
          <w:sz w:val="24"/>
          <w:szCs w:val="24"/>
        </w:rPr>
        <w:t>Wood</w:t>
      </w:r>
      <w:r w:rsidR="00B821C2">
        <w:rPr>
          <w:rFonts w:cs="Calibri"/>
          <w:color w:val="000000"/>
          <w:sz w:val="24"/>
          <w:szCs w:val="24"/>
        </w:rPr>
        <w:t>, E</w:t>
      </w:r>
      <w:r>
        <w:rPr>
          <w:rFonts w:cs="Calibri"/>
          <w:color w:val="000000"/>
          <w:sz w:val="24"/>
          <w:szCs w:val="24"/>
        </w:rPr>
        <w:t xml:space="preserve">. </w:t>
      </w:r>
      <w:r w:rsidR="00B821C2">
        <w:rPr>
          <w:rFonts w:cs="Calibri"/>
          <w:color w:val="000000"/>
          <w:sz w:val="24"/>
          <w:szCs w:val="24"/>
        </w:rPr>
        <w:t>(</w:t>
      </w:r>
      <w:r>
        <w:rPr>
          <w:rFonts w:cs="Calibri"/>
          <w:color w:val="000000"/>
          <w:sz w:val="24"/>
          <w:szCs w:val="24"/>
        </w:rPr>
        <w:t>2019</w:t>
      </w:r>
      <w:r w:rsidR="00B821C2">
        <w:rPr>
          <w:rFonts w:cs="Calibri"/>
          <w:color w:val="000000"/>
          <w:sz w:val="24"/>
          <w:szCs w:val="24"/>
        </w:rPr>
        <w:t>)</w:t>
      </w:r>
      <w:r>
        <w:rPr>
          <w:rFonts w:cs="Calibri"/>
          <w:color w:val="000000"/>
          <w:sz w:val="24"/>
          <w:szCs w:val="24"/>
        </w:rPr>
        <w:t xml:space="preserve">. Research </w:t>
      </w:r>
      <w:r w:rsidR="00B821C2">
        <w:rPr>
          <w:rFonts w:cs="Calibri"/>
          <w:color w:val="000000"/>
          <w:sz w:val="24"/>
          <w:szCs w:val="24"/>
        </w:rPr>
        <w:t>e</w:t>
      </w:r>
      <w:r>
        <w:rPr>
          <w:rFonts w:cs="Calibri"/>
          <w:color w:val="000000"/>
          <w:sz w:val="24"/>
          <w:szCs w:val="24"/>
        </w:rPr>
        <w:t xml:space="preserve">thics and </w:t>
      </w:r>
      <w:r w:rsidR="00B821C2">
        <w:rPr>
          <w:rFonts w:cs="Calibri"/>
          <w:color w:val="000000"/>
          <w:sz w:val="24"/>
          <w:szCs w:val="24"/>
        </w:rPr>
        <w:t>h</w:t>
      </w:r>
      <w:r>
        <w:rPr>
          <w:rFonts w:cs="Calibri"/>
          <w:color w:val="000000"/>
          <w:sz w:val="24"/>
          <w:szCs w:val="24"/>
        </w:rPr>
        <w:t xml:space="preserve">uman </w:t>
      </w:r>
      <w:r w:rsidR="00B821C2">
        <w:rPr>
          <w:rFonts w:cs="Calibri"/>
          <w:color w:val="000000"/>
          <w:sz w:val="24"/>
          <w:szCs w:val="24"/>
        </w:rPr>
        <w:t>s</w:t>
      </w:r>
      <w:r>
        <w:rPr>
          <w:rFonts w:cs="Calibri"/>
          <w:color w:val="000000"/>
          <w:sz w:val="24"/>
          <w:szCs w:val="24"/>
        </w:rPr>
        <w:t xml:space="preserve">ubjects: A </w:t>
      </w:r>
      <w:r w:rsidR="00B821C2">
        <w:rPr>
          <w:rFonts w:cs="Calibri"/>
          <w:color w:val="000000"/>
          <w:sz w:val="24"/>
          <w:szCs w:val="24"/>
        </w:rPr>
        <w:t>r</w:t>
      </w:r>
      <w:r>
        <w:rPr>
          <w:rFonts w:cs="Calibri"/>
          <w:color w:val="000000"/>
          <w:sz w:val="24"/>
          <w:szCs w:val="24"/>
        </w:rPr>
        <w:t xml:space="preserve">eflexive </w:t>
      </w:r>
      <w:r w:rsidR="00B821C2">
        <w:rPr>
          <w:rFonts w:cs="Calibri"/>
          <w:color w:val="000000"/>
          <w:sz w:val="24"/>
          <w:szCs w:val="24"/>
        </w:rPr>
        <w:t>o</w:t>
      </w:r>
      <w:r>
        <w:rPr>
          <w:rFonts w:cs="Calibri"/>
          <w:color w:val="000000"/>
          <w:sz w:val="24"/>
          <w:szCs w:val="24"/>
        </w:rPr>
        <w:t xml:space="preserve">penness </w:t>
      </w:r>
      <w:r w:rsidR="00B821C2">
        <w:rPr>
          <w:rFonts w:cs="Calibri"/>
          <w:color w:val="000000"/>
          <w:sz w:val="24"/>
          <w:szCs w:val="24"/>
        </w:rPr>
        <w:t>a</w:t>
      </w:r>
      <w:r>
        <w:rPr>
          <w:rFonts w:cs="Calibri"/>
          <w:color w:val="000000"/>
          <w:sz w:val="24"/>
          <w:szCs w:val="24"/>
        </w:rPr>
        <w:t xml:space="preserve">pproach.” </w:t>
      </w:r>
      <w:r>
        <w:rPr>
          <w:rFonts w:cs="Calibri"/>
          <w:i/>
          <w:iCs/>
          <w:color w:val="000000"/>
          <w:sz w:val="24"/>
          <w:szCs w:val="24"/>
        </w:rPr>
        <w:t>APSA Organized Section for Qualitative and Multi-Method Research, Qualitative Transparency Deliberations</w:t>
      </w:r>
      <w:r>
        <w:rPr>
          <w:rFonts w:cs="Calibri"/>
          <w:color w:val="000000"/>
          <w:sz w:val="24"/>
          <w:szCs w:val="24"/>
        </w:rPr>
        <w:t xml:space="preserve">, Working Group Final Reports, Report I.2. </w:t>
      </w:r>
      <w:proofErr w:type="spellStart"/>
      <w:r>
        <w:rPr>
          <w:rFonts w:cs="Calibri"/>
          <w:color w:val="000000"/>
          <w:sz w:val="24"/>
          <w:szCs w:val="24"/>
        </w:rPr>
        <w:t>doi</w:t>
      </w:r>
      <w:proofErr w:type="spellEnd"/>
      <w:r>
        <w:rPr>
          <w:rFonts w:cs="Calibri"/>
          <w:color w:val="000000"/>
          <w:sz w:val="24"/>
          <w:szCs w:val="24"/>
        </w:rPr>
        <w:t xml:space="preserve">: </w:t>
      </w:r>
      <w:hyperlink r:id="rId11" w:history="1">
        <w:r>
          <w:rPr>
            <w:rStyle w:val="Hyperlink"/>
            <w:rFonts w:cs="Calibri"/>
            <w:color w:val="000000"/>
            <w:sz w:val="24"/>
            <w:szCs w:val="24"/>
            <w:u w:val="none"/>
          </w:rPr>
          <w:t>10.2139/ssrn.3332887.</w:t>
        </w:r>
      </w:hyperlink>
    </w:p>
    <w:p w14:paraId="60D5C983" w14:textId="77777777" w:rsidR="003F2755" w:rsidRPr="003F2755" w:rsidRDefault="003F2755" w:rsidP="00A4538B">
      <w:pPr>
        <w:spacing w:after="0" w:line="480" w:lineRule="auto"/>
        <w:jc w:val="both"/>
        <w:rPr>
          <w:sz w:val="24"/>
          <w:szCs w:val="24"/>
        </w:rPr>
      </w:pPr>
    </w:p>
    <w:p w14:paraId="04A07DE3" w14:textId="5D3C715B" w:rsidR="00C65C88" w:rsidRPr="003F2755" w:rsidRDefault="003F2755" w:rsidP="00A4538B">
      <w:pPr>
        <w:spacing w:after="0" w:line="480" w:lineRule="auto"/>
        <w:jc w:val="both"/>
        <w:rPr>
          <w:rFonts w:cs="Calibri"/>
          <w:color w:val="000000"/>
          <w:sz w:val="24"/>
          <w:szCs w:val="24"/>
        </w:rPr>
      </w:pPr>
      <w:r w:rsidRPr="003F2755">
        <w:rPr>
          <w:sz w:val="24"/>
          <w:szCs w:val="24"/>
        </w:rPr>
        <w:t xml:space="preserve">Posner, </w:t>
      </w:r>
      <w:r w:rsidRPr="003F2755">
        <w:rPr>
          <w:sz w:val="24"/>
          <w:szCs w:val="24"/>
        </w:rPr>
        <w:t xml:space="preserve">E. &amp; </w:t>
      </w:r>
      <w:proofErr w:type="spellStart"/>
      <w:r w:rsidRPr="003F2755">
        <w:rPr>
          <w:sz w:val="24"/>
          <w:szCs w:val="24"/>
        </w:rPr>
        <w:t>Quaglia</w:t>
      </w:r>
      <w:proofErr w:type="spellEnd"/>
      <w:r w:rsidRPr="003F2755">
        <w:rPr>
          <w:sz w:val="24"/>
          <w:szCs w:val="24"/>
        </w:rPr>
        <w:t xml:space="preserve">, </w:t>
      </w:r>
      <w:r w:rsidRPr="003F2755">
        <w:rPr>
          <w:sz w:val="24"/>
          <w:szCs w:val="24"/>
        </w:rPr>
        <w:t>L. 2023. Data for “Financial Regulatory Conundrums in the North Atlantic”. Qualitative Data Repository. https://doi.org/10.5064/F6QR17WM. QDR Main Collection.</w:t>
      </w:r>
      <w:hyperlink r:id="rId12" w:history="1"/>
    </w:p>
    <w:p w14:paraId="1C0A1208" w14:textId="77777777" w:rsidR="00C65C88" w:rsidRDefault="00C65C88" w:rsidP="00A4538B">
      <w:pPr>
        <w:spacing w:after="0" w:line="480" w:lineRule="auto"/>
        <w:jc w:val="both"/>
        <w:rPr>
          <w:rFonts w:cs="Calibri"/>
          <w:color w:val="000000"/>
          <w:sz w:val="24"/>
          <w:szCs w:val="24"/>
        </w:rPr>
      </w:pPr>
    </w:p>
    <w:p w14:paraId="496288F5" w14:textId="3B6977CF" w:rsidR="00C65C88" w:rsidRDefault="00C65C88" w:rsidP="00A4538B">
      <w:pPr>
        <w:spacing w:after="0" w:line="480" w:lineRule="auto"/>
        <w:jc w:val="both"/>
        <w:rPr>
          <w:rFonts w:cs="Calibri"/>
          <w:color w:val="000000"/>
          <w:sz w:val="24"/>
          <w:szCs w:val="24"/>
        </w:rPr>
      </w:pPr>
      <w:bookmarkStart w:id="0" w:name="-DgTN0Mn4owJ"/>
      <w:bookmarkStart w:id="1" w:name="page1586R_mcid511111111"/>
      <w:bookmarkEnd w:id="0"/>
      <w:bookmarkEnd w:id="1"/>
      <w:proofErr w:type="spellStart"/>
      <w:r>
        <w:rPr>
          <w:rFonts w:cs="Calibri"/>
          <w:color w:val="000000"/>
          <w:sz w:val="24"/>
          <w:szCs w:val="24"/>
        </w:rPr>
        <w:t>Shesterinina</w:t>
      </w:r>
      <w:proofErr w:type="spellEnd"/>
      <w:r>
        <w:rPr>
          <w:rFonts w:cs="Calibri"/>
          <w:color w:val="000000"/>
          <w:sz w:val="24"/>
          <w:szCs w:val="24"/>
        </w:rPr>
        <w:t>, A</w:t>
      </w:r>
      <w:r w:rsidR="00B821C2">
        <w:rPr>
          <w:rFonts w:cs="Calibri"/>
          <w:color w:val="000000"/>
          <w:sz w:val="24"/>
          <w:szCs w:val="24"/>
        </w:rPr>
        <w:t>.</w:t>
      </w:r>
      <w:r>
        <w:rPr>
          <w:rFonts w:cs="Calibri"/>
          <w:color w:val="000000"/>
          <w:sz w:val="24"/>
          <w:szCs w:val="24"/>
        </w:rPr>
        <w:t>,</w:t>
      </w:r>
      <w:r w:rsidR="00B821C2">
        <w:rPr>
          <w:rFonts w:cs="Calibri"/>
          <w:color w:val="000000"/>
          <w:sz w:val="24"/>
          <w:szCs w:val="24"/>
        </w:rPr>
        <w:t xml:space="preserve"> </w:t>
      </w:r>
      <w:r>
        <w:rPr>
          <w:rFonts w:cs="Calibri"/>
          <w:color w:val="000000"/>
          <w:sz w:val="24"/>
          <w:szCs w:val="24"/>
        </w:rPr>
        <w:t>Pollack,</w:t>
      </w:r>
      <w:r w:rsidR="00B821C2">
        <w:rPr>
          <w:rFonts w:cs="Calibri"/>
          <w:color w:val="000000"/>
          <w:sz w:val="24"/>
          <w:szCs w:val="24"/>
        </w:rPr>
        <w:t xml:space="preserve"> M. A. &amp; </w:t>
      </w:r>
      <w:r>
        <w:rPr>
          <w:rFonts w:cs="Calibri"/>
          <w:color w:val="000000"/>
          <w:sz w:val="24"/>
          <w:szCs w:val="24"/>
        </w:rPr>
        <w:t>Arriola</w:t>
      </w:r>
      <w:r w:rsidR="00B821C2">
        <w:rPr>
          <w:rFonts w:cs="Calibri"/>
          <w:color w:val="000000"/>
          <w:sz w:val="24"/>
          <w:szCs w:val="24"/>
        </w:rPr>
        <w:t>, L. R</w:t>
      </w:r>
      <w:r>
        <w:rPr>
          <w:rFonts w:cs="Calibri"/>
          <w:color w:val="000000"/>
          <w:sz w:val="24"/>
          <w:szCs w:val="24"/>
        </w:rPr>
        <w:t xml:space="preserve">. </w:t>
      </w:r>
      <w:r w:rsidR="00B821C2">
        <w:rPr>
          <w:rFonts w:cs="Calibri"/>
          <w:color w:val="000000"/>
          <w:sz w:val="24"/>
          <w:szCs w:val="24"/>
        </w:rPr>
        <w:t>(</w:t>
      </w:r>
      <w:r>
        <w:rPr>
          <w:rFonts w:cs="Calibri"/>
          <w:color w:val="000000"/>
          <w:sz w:val="24"/>
          <w:szCs w:val="24"/>
        </w:rPr>
        <w:t>2019</w:t>
      </w:r>
      <w:r w:rsidR="00B821C2">
        <w:rPr>
          <w:rFonts w:cs="Calibri"/>
          <w:color w:val="000000"/>
          <w:sz w:val="24"/>
          <w:szCs w:val="24"/>
        </w:rPr>
        <w:t>)</w:t>
      </w:r>
      <w:r>
        <w:rPr>
          <w:rFonts w:cs="Calibri"/>
          <w:color w:val="000000"/>
          <w:sz w:val="24"/>
          <w:szCs w:val="24"/>
        </w:rPr>
        <w:t xml:space="preserve">. Evidence from Researcher Interactions with Human Participants.  </w:t>
      </w:r>
      <w:r>
        <w:rPr>
          <w:rFonts w:cs="Calibri"/>
          <w:i/>
          <w:iCs/>
          <w:color w:val="000000"/>
          <w:sz w:val="24"/>
          <w:szCs w:val="24"/>
        </w:rPr>
        <w:t>A</w:t>
      </w:r>
      <w:r w:rsidR="00B821C2">
        <w:rPr>
          <w:rFonts w:cs="Calibri"/>
          <w:i/>
          <w:iCs/>
          <w:color w:val="000000"/>
          <w:sz w:val="24"/>
          <w:szCs w:val="24"/>
        </w:rPr>
        <w:t xml:space="preserve">PSA </w:t>
      </w:r>
      <w:r>
        <w:rPr>
          <w:rFonts w:cs="Calibri"/>
          <w:i/>
          <w:iCs/>
          <w:color w:val="000000"/>
          <w:sz w:val="24"/>
          <w:szCs w:val="24"/>
        </w:rPr>
        <w:t>Organized Section for Qualitative and Multi-Method Research, Qualitative Transparency Deliberations, Working Group Final Reports</w:t>
      </w:r>
      <w:r>
        <w:rPr>
          <w:rFonts w:cs="Calibri"/>
          <w:color w:val="000000"/>
          <w:sz w:val="24"/>
          <w:szCs w:val="24"/>
        </w:rPr>
        <w:t xml:space="preserve">, Report II.2. </w:t>
      </w:r>
      <w:hyperlink r:id="rId13" w:anchor="_blank" w:history="1">
        <w:r>
          <w:rPr>
            <w:rStyle w:val="Hyperlink"/>
            <w:rFonts w:cs="Calibri"/>
            <w:color w:val="000000"/>
            <w:sz w:val="24"/>
            <w:szCs w:val="24"/>
            <w:u w:val="none"/>
          </w:rPr>
          <w:t xml:space="preserve"> </w:t>
        </w:r>
        <w:proofErr w:type="spellStart"/>
        <w:r>
          <w:rPr>
            <w:rStyle w:val="Hyperlink"/>
            <w:rFonts w:cs="Calibri"/>
            <w:color w:val="000000"/>
            <w:sz w:val="24"/>
            <w:szCs w:val="24"/>
            <w:u w:val="none"/>
          </w:rPr>
          <w:t>doi</w:t>
        </w:r>
        <w:proofErr w:type="spellEnd"/>
        <w:r>
          <w:rPr>
            <w:rStyle w:val="Hyperlink"/>
            <w:rFonts w:cs="Calibri"/>
            <w:color w:val="000000"/>
            <w:sz w:val="24"/>
            <w:szCs w:val="24"/>
            <w:u w:val="none"/>
          </w:rPr>
          <w:t xml:space="preserve">: </w:t>
        </w:r>
      </w:hyperlink>
      <w:hyperlink r:id="rId14" w:anchor="_blank" w:history="1">
        <w:r>
          <w:rPr>
            <w:rStyle w:val="Hyperlink"/>
            <w:rFonts w:cs="Calibri"/>
            <w:color w:val="000000"/>
            <w:sz w:val="24"/>
            <w:szCs w:val="24"/>
            <w:u w:val="none"/>
          </w:rPr>
          <w:t>10.2139/ssrn.3333392</w:t>
        </w:r>
      </w:hyperlink>
      <w:hyperlink r:id="rId15" w:anchor="_blank" w:history="1">
        <w:r>
          <w:rPr>
            <w:rStyle w:val="Hyperlink"/>
            <w:rFonts w:cs="Calibri"/>
            <w:color w:val="000000"/>
            <w:sz w:val="24"/>
            <w:szCs w:val="24"/>
            <w:u w:val="none"/>
          </w:rPr>
          <w:t>.</w:t>
        </w:r>
      </w:hyperlink>
      <w:hyperlink r:id="rId16" w:anchor="_blank" w:history="1">
        <w:r>
          <w:rPr>
            <w:rStyle w:val="Hyperlink"/>
            <w:rFonts w:cs="Calibri"/>
            <w:color w:val="000000"/>
            <w:sz w:val="24"/>
            <w:szCs w:val="24"/>
            <w:u w:val="none"/>
          </w:rPr>
          <w:t xml:space="preserve"> </w:t>
        </w:r>
      </w:hyperlink>
    </w:p>
    <w:p w14:paraId="642D06DA" w14:textId="77777777" w:rsidR="00C65C88" w:rsidRDefault="00C65C88" w:rsidP="00A4538B">
      <w:pPr>
        <w:spacing w:after="0" w:line="480" w:lineRule="auto"/>
        <w:jc w:val="both"/>
      </w:pPr>
    </w:p>
    <w:p w14:paraId="2E6CCFF5" w14:textId="77777777" w:rsidR="00C65C88" w:rsidRDefault="00C65C88" w:rsidP="00A4538B">
      <w:pPr>
        <w:spacing w:after="0" w:line="480" w:lineRule="auto"/>
        <w:jc w:val="both"/>
      </w:pPr>
      <w:bookmarkStart w:id="2" w:name="_Hlk49503617"/>
      <w:bookmarkStart w:id="3" w:name="_Hlk72997838"/>
      <w:bookmarkEnd w:id="2"/>
      <w:bookmarkEnd w:id="3"/>
    </w:p>
    <w:sectPr w:rsidR="00C65C88" w:rsidSect="00AF0042">
      <w:headerReference w:type="even" r:id="rId17"/>
      <w:headerReference w:type="default" r:id="rId18"/>
      <w:footerReference w:type="even" r:id="rId19"/>
      <w:footerReference w:type="default" r:id="rId20"/>
      <w:headerReference w:type="first" r:id="rId21"/>
      <w:footerReference w:type="first" r:id="rId22"/>
      <w:pgSz w:w="11906" w:h="16838"/>
      <w:pgMar w:top="1411" w:right="1138" w:bottom="1800" w:left="1138" w:header="720" w:footer="706"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7A195E" w14:textId="77777777" w:rsidR="00B734A2" w:rsidRDefault="00B734A2">
      <w:pPr>
        <w:spacing w:after="0" w:line="240" w:lineRule="auto"/>
      </w:pPr>
      <w:r>
        <w:separator/>
      </w:r>
    </w:p>
  </w:endnote>
  <w:endnote w:type="continuationSeparator" w:id="0">
    <w:p w14:paraId="3C8C8057" w14:textId="77777777" w:rsidR="00B734A2" w:rsidRDefault="00B734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Liberation Serif">
    <w:altName w:val="Times New Roman"/>
    <w:panose1 w:val="020B0604020202020204"/>
    <w:charset w:val="01"/>
    <w:family w:val="roman"/>
    <w:pitch w:val="variable"/>
  </w:font>
  <w:font w:name="Noto Sans CJK SC">
    <w:panose1 w:val="020B0604020202020204"/>
    <w:charset w:val="01"/>
    <w:family w:val="auto"/>
    <w:pitch w:val="variable"/>
  </w:font>
  <w:font w:name="Lohit Devanagari">
    <w:altName w:val="Calibri"/>
    <w:panose1 w:val="020B0604020202020204"/>
    <w:charset w:val="01"/>
    <w:family w:val="auto"/>
    <w:pitch w:val="variable"/>
  </w:font>
  <w:font w:name="Courier New">
    <w:panose1 w:val="02070309020205020404"/>
    <w:charset w:val="00"/>
    <w:family w:val="modern"/>
    <w:pitch w:val="fixed"/>
    <w:sig w:usb0="E0002EFF" w:usb1="C0007843" w:usb2="00000009" w:usb3="00000000" w:csb0="000001FF" w:csb1="00000000"/>
  </w:font>
  <w:font w:name="Arno Pro">
    <w:altName w:val="Cambria"/>
    <w:panose1 w:val="020B0604020202020204"/>
    <w:charset w:val="01"/>
    <w:family w:val="roman"/>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Liberation Sans">
    <w:altName w:val="Arial"/>
    <w:panose1 w:val="020B0604020202020204"/>
    <w:charset w:val="01"/>
    <w:family w:val="roman"/>
    <w:pitch w:val="variable"/>
  </w:font>
  <w:font w:name="PJPMF A+ Adv T T 577916cc">
    <w:altName w:val="Cambria"/>
    <w:panose1 w:val="020B0604020202020204"/>
    <w:charset w:val="01"/>
    <w:family w:val="roman"/>
    <w:pitch w:val="variable"/>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732B6B" w14:textId="77777777" w:rsidR="00AF0042" w:rsidRDefault="00AF004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p w14:paraId="4655A154" w14:textId="77777777" w:rsidR="00C65C88" w:rsidRDefault="00C65C88" w:rsidP="00AF0042">
    <w:pP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9A3081" w14:textId="77777777" w:rsidR="00AF0042" w:rsidRDefault="00AF004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p w14:paraId="5243939D" w14:textId="77777777" w:rsidR="00C65C88" w:rsidRDefault="00C65C88" w:rsidP="00AF0042">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E6C90A" w14:textId="77777777" w:rsidR="00C65C88" w:rsidRDefault="00C65C8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FBA748" w14:textId="77777777" w:rsidR="00B734A2" w:rsidRDefault="00B734A2">
      <w:pPr>
        <w:spacing w:after="0" w:line="240" w:lineRule="auto"/>
      </w:pPr>
      <w:r>
        <w:separator/>
      </w:r>
    </w:p>
  </w:footnote>
  <w:footnote w:type="continuationSeparator" w:id="0">
    <w:p w14:paraId="583AE305" w14:textId="77777777" w:rsidR="00B734A2" w:rsidRDefault="00B734A2">
      <w:pPr>
        <w:spacing w:after="0" w:line="240" w:lineRule="auto"/>
      </w:pPr>
      <w:r>
        <w:continuationSeparator/>
      </w:r>
    </w:p>
  </w:footnote>
  <w:footnote w:id="1">
    <w:p w14:paraId="5FF86AFA" w14:textId="22782CF6" w:rsidR="00C65C88" w:rsidRDefault="00C65C88" w:rsidP="00414CA0">
      <w:pPr>
        <w:spacing w:after="0" w:line="240" w:lineRule="auto"/>
        <w:jc w:val="both"/>
      </w:pPr>
      <w:r>
        <w:rPr>
          <w:rStyle w:val="Caratterinotaapidipagina"/>
        </w:rPr>
        <w:footnoteRef/>
      </w:r>
      <w:r>
        <w:rPr>
          <w:rFonts w:cs="Calibri"/>
          <w:sz w:val="20"/>
          <w:szCs w:val="20"/>
        </w:rPr>
        <w:t xml:space="preserve"> </w:t>
      </w:r>
      <w:r>
        <w:rPr>
          <w:rStyle w:val="Emphasis"/>
          <w:i w:val="0"/>
          <w:iCs w:val="0"/>
          <w:sz w:val="20"/>
          <w:szCs w:val="20"/>
        </w:rPr>
        <w:t xml:space="preserve">Elman, </w:t>
      </w:r>
      <w:proofErr w:type="spellStart"/>
      <w:r>
        <w:rPr>
          <w:rStyle w:val="Emphasis"/>
          <w:rFonts w:cs="Calibri"/>
          <w:i w:val="0"/>
          <w:iCs w:val="0"/>
          <w:color w:val="000000"/>
          <w:sz w:val="20"/>
          <w:szCs w:val="20"/>
        </w:rPr>
        <w:t>Gerring</w:t>
      </w:r>
      <w:proofErr w:type="spellEnd"/>
      <w:r>
        <w:rPr>
          <w:rStyle w:val="Emphasis"/>
          <w:rFonts w:cs="Calibri"/>
          <w:i w:val="0"/>
          <w:iCs w:val="0"/>
          <w:color w:val="000000"/>
          <w:sz w:val="20"/>
          <w:szCs w:val="20"/>
        </w:rPr>
        <w:t xml:space="preserve"> </w:t>
      </w:r>
      <w:r w:rsidR="00833640">
        <w:rPr>
          <w:rStyle w:val="Emphasis"/>
          <w:rFonts w:cs="Calibri"/>
          <w:i w:val="0"/>
          <w:iCs w:val="0"/>
          <w:color w:val="000000"/>
          <w:sz w:val="20"/>
          <w:szCs w:val="20"/>
        </w:rPr>
        <w:t xml:space="preserve">&amp; </w:t>
      </w:r>
      <w:r>
        <w:rPr>
          <w:rStyle w:val="Emphasis"/>
          <w:rFonts w:cs="Calibri"/>
          <w:i w:val="0"/>
          <w:iCs w:val="0"/>
          <w:color w:val="000000"/>
          <w:sz w:val="20"/>
          <w:szCs w:val="20"/>
        </w:rPr>
        <w:t>Mahoney</w:t>
      </w:r>
      <w:r w:rsidR="00833640">
        <w:rPr>
          <w:rStyle w:val="Emphasis"/>
          <w:rFonts w:cs="Calibri"/>
          <w:i w:val="0"/>
          <w:iCs w:val="0"/>
          <w:color w:val="000000"/>
          <w:sz w:val="20"/>
          <w:szCs w:val="20"/>
        </w:rPr>
        <w:t>,</w:t>
      </w:r>
      <w:r>
        <w:rPr>
          <w:rStyle w:val="Emphasis"/>
          <w:i w:val="0"/>
          <w:iCs w:val="0"/>
          <w:sz w:val="20"/>
          <w:szCs w:val="20"/>
        </w:rPr>
        <w:t xml:space="preserve"> 2020.</w:t>
      </w:r>
    </w:p>
  </w:footnote>
  <w:footnote w:id="2">
    <w:p w14:paraId="582CD19C" w14:textId="073CC317" w:rsidR="00C65C88" w:rsidRDefault="00C65C88">
      <w:pPr>
        <w:pStyle w:val="FootnoteText"/>
      </w:pPr>
      <w:r>
        <w:rPr>
          <w:rStyle w:val="Caratterinotaapidipagina"/>
        </w:rPr>
        <w:footnoteRef/>
      </w:r>
      <w:r>
        <w:rPr>
          <w:rFonts w:cs="Calibri"/>
          <w:lang w:val="es-ES"/>
        </w:rPr>
        <w:t xml:space="preserve"> </w:t>
      </w:r>
      <w:r>
        <w:rPr>
          <w:lang w:val="es-ES"/>
        </w:rPr>
        <w:t>Jacobs et al.</w:t>
      </w:r>
      <w:r w:rsidR="00833640">
        <w:rPr>
          <w:lang w:val="es-ES"/>
        </w:rPr>
        <w:t>,</w:t>
      </w:r>
      <w:r>
        <w:rPr>
          <w:lang w:val="es-ES"/>
        </w:rPr>
        <w:t xml:space="preserve"> 2021. </w:t>
      </w:r>
    </w:p>
  </w:footnote>
  <w:footnote w:id="3">
    <w:p w14:paraId="4A7230E0" w14:textId="0BD5AA8E" w:rsidR="00C65C88" w:rsidRDefault="00C65C88">
      <w:pPr>
        <w:pStyle w:val="FootnoteText"/>
      </w:pPr>
      <w:r>
        <w:rPr>
          <w:rStyle w:val="Caratterinotaapidipagina"/>
        </w:rPr>
        <w:footnoteRef/>
      </w:r>
      <w:r>
        <w:rPr>
          <w:rFonts w:cs="Calibri"/>
        </w:rPr>
        <w:t xml:space="preserve"> </w:t>
      </w:r>
      <w:r>
        <w:t>MacLean et al.</w:t>
      </w:r>
      <w:r w:rsidR="00833640">
        <w:t>,</w:t>
      </w:r>
      <w:r>
        <w:t xml:space="preserve"> 2019.</w:t>
      </w:r>
    </w:p>
  </w:footnote>
  <w:footnote w:id="4">
    <w:p w14:paraId="19C9EE19" w14:textId="09A8F441" w:rsidR="00C65C88" w:rsidRDefault="00C65C88">
      <w:pPr>
        <w:pStyle w:val="FootnoteText"/>
      </w:pPr>
      <w:r>
        <w:rPr>
          <w:rStyle w:val="Caratterinotaapidipagina"/>
        </w:rPr>
        <w:footnoteRef/>
      </w:r>
      <w:r>
        <w:rPr>
          <w:rFonts w:cs="Calibri"/>
        </w:rPr>
        <w:t xml:space="preserve"> </w:t>
      </w:r>
      <w:proofErr w:type="spellStart"/>
      <w:r>
        <w:t>Shesterinina</w:t>
      </w:r>
      <w:proofErr w:type="spellEnd"/>
      <w:r>
        <w:t>, Pollak and Arriola</w:t>
      </w:r>
      <w:r w:rsidR="00833640">
        <w:t>,</w:t>
      </w:r>
      <w:r>
        <w:t xml:space="preserve"> 2019.</w:t>
      </w:r>
    </w:p>
  </w:footnote>
  <w:footnote w:id="5">
    <w:p w14:paraId="72BFFE0F" w14:textId="77777777" w:rsidR="003F2755" w:rsidRPr="003F2755" w:rsidRDefault="003F2755">
      <w:pPr>
        <w:pStyle w:val="FootnoteText"/>
        <w:rPr>
          <w:lang w:val="en-US"/>
        </w:rPr>
      </w:pPr>
      <w:r>
        <w:rPr>
          <w:rStyle w:val="FootnoteReference"/>
        </w:rPr>
        <w:footnoteRef/>
      </w:r>
      <w:r>
        <w:t xml:space="preserve"> </w:t>
      </w:r>
      <w:r>
        <w:rPr>
          <w:lang w:val="en-US"/>
        </w:rPr>
        <w:t xml:space="preserve">Posner &amp; </w:t>
      </w:r>
      <w:proofErr w:type="spellStart"/>
      <w:r>
        <w:rPr>
          <w:lang w:val="en-US"/>
        </w:rPr>
        <w:t>Quaglia</w:t>
      </w:r>
      <w:proofErr w:type="spellEnd"/>
      <w:r>
        <w:rPr>
          <w:lang w:val="en-US"/>
        </w:rPr>
        <w:t>, 2023.</w:t>
      </w:r>
    </w:p>
  </w:footnote>
  <w:footnote w:id="6">
    <w:p w14:paraId="4A828281" w14:textId="77777777" w:rsidR="00C65C88" w:rsidRDefault="00C65C88">
      <w:pPr>
        <w:spacing w:after="0" w:line="240" w:lineRule="auto"/>
        <w:jc w:val="both"/>
      </w:pPr>
      <w:r>
        <w:rPr>
          <w:rStyle w:val="Caratterinotaapidipagina"/>
        </w:rPr>
        <w:footnoteRef/>
      </w:r>
      <w:r>
        <w:rPr>
          <w:rFonts w:cs="Calibri"/>
          <w:sz w:val="20"/>
          <w:szCs w:val="20"/>
        </w:rPr>
        <w:t xml:space="preserve"> </w:t>
      </w:r>
      <w:r>
        <w:rPr>
          <w:sz w:val="20"/>
          <w:szCs w:val="20"/>
        </w:rPr>
        <w:t xml:space="preserve">Our positionality is important in other parts of the study as well. </w:t>
      </w:r>
      <w:r>
        <w:rPr>
          <w:rFonts w:eastAsia="Times New Roman" w:cs="Calibri"/>
          <w:sz w:val="20"/>
          <w:szCs w:val="20"/>
          <w:lang w:val="en-US"/>
        </w:rPr>
        <w:t xml:space="preserve">Despite the use of data analysis techniques (congruence analysis and process tracing) that are usually associated with positivist approaches for inferring empirical patterns and causal relationships, we reject the notion of stark dichotomies between positivist and interpretivist approaches and accept the idea that the researcher’s lens is central at all stages of research. </w:t>
      </w:r>
    </w:p>
    <w:p w14:paraId="0BD56EDA" w14:textId="77777777" w:rsidR="00C65C88" w:rsidRDefault="00C65C88">
      <w:pPr>
        <w:pStyle w:val="FootnoteText"/>
        <w:rPr>
          <w:rFonts w:eastAsia="Times New Roman" w:cs="Calibri"/>
          <w:lang w:val="en-US"/>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0C6794" w14:textId="77777777" w:rsidR="00C65C88" w:rsidRDefault="00C65C88"/>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A0EB32" w14:textId="77777777" w:rsidR="00C65C88" w:rsidRDefault="00C65C8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ADD463" w14:textId="77777777" w:rsidR="00C65C88" w:rsidRDefault="00C65C88"/>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pStyle w:val="Heading1"/>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pStyle w:val="Heading3"/>
      <w:suff w:val="nothing"/>
      <w:lvlText w:val=""/>
      <w:lvlJc w:val="left"/>
      <w:pPr>
        <w:tabs>
          <w:tab w:val="num" w:pos="0"/>
        </w:tabs>
        <w:ind w:left="0" w:firstLine="0"/>
      </w:pPr>
    </w:lvl>
    <w:lvl w:ilvl="3">
      <w:start w:val="1"/>
      <w:numFmt w:val="none"/>
      <w:pStyle w:val="Heading4"/>
      <w:suff w:val="nothing"/>
      <w:lvlText w:val=""/>
      <w:lvlJc w:val="left"/>
      <w:pPr>
        <w:tabs>
          <w:tab w:val="num" w:pos="0"/>
        </w:tabs>
        <w:ind w:left="0" w:firstLine="0"/>
      </w:pPr>
      <w:rPr>
        <w:rFonts w:ascii="Calibri" w:hAnsi="Calibri" w:cs="Calibri"/>
        <w:b w:val="0"/>
        <w:bCs w:val="0"/>
      </w:r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multilevel"/>
    <w:tmpl w:val="00000002"/>
    <w:name w:val="WW8Num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rPr>
        <w:rFonts w:ascii="Calibri" w:hAnsi="Calibri" w:cs="Calibri"/>
        <w:b w:val="0"/>
        <w:bCs w:val="0"/>
      </w:r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15:restartNumberingAfterBreak="0">
    <w:nsid w:val="00000003"/>
    <w:multiLevelType w:val="singleLevel"/>
    <w:tmpl w:val="00000003"/>
    <w:name w:val="WW8Num2"/>
    <w:lvl w:ilvl="0">
      <w:start w:val="1"/>
      <w:numFmt w:val="decimal"/>
      <w:lvlText w:val="%1."/>
      <w:lvlJc w:val="left"/>
      <w:pPr>
        <w:tabs>
          <w:tab w:val="num" w:pos="0"/>
        </w:tabs>
        <w:ind w:left="720" w:hanging="360"/>
      </w:pPr>
      <w:rPr>
        <w:rFonts w:eastAsia="Times New Roman" w:cs="Calibri"/>
        <w:b/>
        <w:bCs/>
        <w:i/>
        <w:iCs/>
        <w:sz w:val="24"/>
        <w:szCs w:val="24"/>
        <w:lang w:val="en-US"/>
      </w:rPr>
    </w:lvl>
  </w:abstractNum>
  <w:num w:numId="1" w16cid:durableId="1160997322">
    <w:abstractNumId w:val="0"/>
  </w:num>
  <w:num w:numId="2" w16cid:durableId="603194198">
    <w:abstractNumId w:val="1"/>
  </w:num>
  <w:num w:numId="3" w16cid:durableId="644981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DG1NDYxszQ1tDSxNDRW0lEKTi0uzszPAymwrAUAUCQKgCwAAAA="/>
  </w:docVars>
  <w:rsids>
    <w:rsidRoot w:val="001B56E2"/>
    <w:rsid w:val="00003EA7"/>
    <w:rsid w:val="000233FE"/>
    <w:rsid w:val="00042B0B"/>
    <w:rsid w:val="000C04BA"/>
    <w:rsid w:val="00114902"/>
    <w:rsid w:val="001206A3"/>
    <w:rsid w:val="00167DA4"/>
    <w:rsid w:val="00167FE0"/>
    <w:rsid w:val="00180248"/>
    <w:rsid w:val="001B56E2"/>
    <w:rsid w:val="001B79EF"/>
    <w:rsid w:val="001E7499"/>
    <w:rsid w:val="002151F0"/>
    <w:rsid w:val="0023768A"/>
    <w:rsid w:val="002452CF"/>
    <w:rsid w:val="00293EC8"/>
    <w:rsid w:val="002B783B"/>
    <w:rsid w:val="002D2E2E"/>
    <w:rsid w:val="002D61D8"/>
    <w:rsid w:val="002D6E2A"/>
    <w:rsid w:val="002E26C4"/>
    <w:rsid w:val="002F35AB"/>
    <w:rsid w:val="0031017A"/>
    <w:rsid w:val="003208A6"/>
    <w:rsid w:val="00330D0F"/>
    <w:rsid w:val="0033279F"/>
    <w:rsid w:val="003712C5"/>
    <w:rsid w:val="003815A6"/>
    <w:rsid w:val="00397283"/>
    <w:rsid w:val="003E52C3"/>
    <w:rsid w:val="003F2755"/>
    <w:rsid w:val="003F6B80"/>
    <w:rsid w:val="0040717C"/>
    <w:rsid w:val="00407213"/>
    <w:rsid w:val="00414CA0"/>
    <w:rsid w:val="00461B96"/>
    <w:rsid w:val="00472784"/>
    <w:rsid w:val="0047302E"/>
    <w:rsid w:val="00476F27"/>
    <w:rsid w:val="00481FC9"/>
    <w:rsid w:val="0049620B"/>
    <w:rsid w:val="004A54A4"/>
    <w:rsid w:val="0050761C"/>
    <w:rsid w:val="00532B54"/>
    <w:rsid w:val="005B1048"/>
    <w:rsid w:val="005C2A63"/>
    <w:rsid w:val="0060705B"/>
    <w:rsid w:val="00651208"/>
    <w:rsid w:val="00670B78"/>
    <w:rsid w:val="006A4554"/>
    <w:rsid w:val="006C401D"/>
    <w:rsid w:val="006C5707"/>
    <w:rsid w:val="006E3B85"/>
    <w:rsid w:val="00721C2A"/>
    <w:rsid w:val="00724A34"/>
    <w:rsid w:val="007434A9"/>
    <w:rsid w:val="007759F3"/>
    <w:rsid w:val="00785AE0"/>
    <w:rsid w:val="007C6588"/>
    <w:rsid w:val="007F41D2"/>
    <w:rsid w:val="008025A7"/>
    <w:rsid w:val="00820285"/>
    <w:rsid w:val="00830E94"/>
    <w:rsid w:val="00833640"/>
    <w:rsid w:val="0086091E"/>
    <w:rsid w:val="008A5794"/>
    <w:rsid w:val="008B1A1D"/>
    <w:rsid w:val="008B30FD"/>
    <w:rsid w:val="008C713C"/>
    <w:rsid w:val="009020CC"/>
    <w:rsid w:val="00904F80"/>
    <w:rsid w:val="009B5D92"/>
    <w:rsid w:val="009C5045"/>
    <w:rsid w:val="009D38CC"/>
    <w:rsid w:val="009D3E8B"/>
    <w:rsid w:val="00A4538B"/>
    <w:rsid w:val="00A7073C"/>
    <w:rsid w:val="00AA1735"/>
    <w:rsid w:val="00AC1918"/>
    <w:rsid w:val="00AC66DB"/>
    <w:rsid w:val="00AE189D"/>
    <w:rsid w:val="00AF0042"/>
    <w:rsid w:val="00AF3598"/>
    <w:rsid w:val="00B235B6"/>
    <w:rsid w:val="00B52156"/>
    <w:rsid w:val="00B7064B"/>
    <w:rsid w:val="00B734A2"/>
    <w:rsid w:val="00B821C2"/>
    <w:rsid w:val="00B82E53"/>
    <w:rsid w:val="00B924CE"/>
    <w:rsid w:val="00BB083B"/>
    <w:rsid w:val="00BD32A6"/>
    <w:rsid w:val="00C1292F"/>
    <w:rsid w:val="00C21745"/>
    <w:rsid w:val="00C34608"/>
    <w:rsid w:val="00C424D2"/>
    <w:rsid w:val="00C65C88"/>
    <w:rsid w:val="00CE1D15"/>
    <w:rsid w:val="00CE1D68"/>
    <w:rsid w:val="00D37863"/>
    <w:rsid w:val="00D61A29"/>
    <w:rsid w:val="00DA2B11"/>
    <w:rsid w:val="00DB0592"/>
    <w:rsid w:val="00DB44E5"/>
    <w:rsid w:val="00DD3D72"/>
    <w:rsid w:val="00E130B0"/>
    <w:rsid w:val="00E17D15"/>
    <w:rsid w:val="00E86D3B"/>
    <w:rsid w:val="00EA7E84"/>
    <w:rsid w:val="00EE0E4F"/>
    <w:rsid w:val="00EE6823"/>
    <w:rsid w:val="00F056B2"/>
    <w:rsid w:val="00F315C9"/>
    <w:rsid w:val="00F5222E"/>
    <w:rsid w:val="00FB11BD"/>
    <w:rsid w:val="00FD2324"/>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15F297BF"/>
  <w15:chartTrackingRefBased/>
  <w15:docId w15:val="{869378DC-46E6-40B5-8376-A5DAC063B6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IN" w:eastAsia="en-I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spacing w:after="160" w:line="252" w:lineRule="auto"/>
    </w:pPr>
    <w:rPr>
      <w:rFonts w:ascii="Calibri" w:eastAsia="Calibri" w:hAnsi="Calibri" w:cs="Arial"/>
      <w:sz w:val="22"/>
      <w:szCs w:val="22"/>
      <w:lang w:val="en-GB" w:eastAsia="zh-CN"/>
    </w:rPr>
  </w:style>
  <w:style w:type="paragraph" w:styleId="Heading1">
    <w:name w:val="heading 1"/>
    <w:basedOn w:val="Titolo2"/>
    <w:next w:val="BodyText"/>
    <w:qFormat/>
    <w:pPr>
      <w:numPr>
        <w:numId w:val="1"/>
      </w:numPr>
      <w:outlineLvl w:val="0"/>
    </w:pPr>
    <w:rPr>
      <w:rFonts w:ascii="Liberation Serif" w:hAnsi="Liberation Serif"/>
      <w:b/>
      <w:bCs/>
      <w:sz w:val="48"/>
      <w:szCs w:val="48"/>
    </w:rPr>
  </w:style>
  <w:style w:type="paragraph" w:styleId="Heading3">
    <w:name w:val="heading 3"/>
    <w:basedOn w:val="Titolo2"/>
    <w:next w:val="BodyText"/>
    <w:qFormat/>
    <w:pPr>
      <w:numPr>
        <w:ilvl w:val="2"/>
        <w:numId w:val="1"/>
      </w:numPr>
      <w:spacing w:before="140"/>
      <w:outlineLvl w:val="2"/>
    </w:pPr>
    <w:rPr>
      <w:rFonts w:ascii="Liberation Serif" w:hAnsi="Liberation Serif"/>
      <w:b/>
      <w:bCs/>
    </w:rPr>
  </w:style>
  <w:style w:type="paragraph" w:styleId="Heading4">
    <w:name w:val="heading 4"/>
    <w:basedOn w:val="Titolo2"/>
    <w:next w:val="BodyText"/>
    <w:qFormat/>
    <w:pPr>
      <w:numPr>
        <w:ilvl w:val="3"/>
        <w:numId w:val="1"/>
      </w:numPr>
      <w:spacing w:before="120"/>
      <w:outlineLvl w:val="3"/>
    </w:pPr>
    <w:rPr>
      <w:rFonts w:ascii="Liberation Serif" w:hAnsi="Liberation Serif"/>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style>
  <w:style w:type="character" w:customStyle="1" w:styleId="WW8Num1z1">
    <w:name w:val="WW8Num1z1"/>
  </w:style>
  <w:style w:type="character" w:customStyle="1" w:styleId="WW8Num1z2">
    <w:name w:val="WW8Num1z2"/>
  </w:style>
  <w:style w:type="character" w:customStyle="1" w:styleId="WW8Num1z3">
    <w:name w:val="WW8Num1z3"/>
    <w:rPr>
      <w:rFonts w:ascii="Calibri" w:hAnsi="Calibri" w:cs="Calibri"/>
      <w:b w:val="0"/>
      <w:bCs w:val="0"/>
    </w:rPr>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eastAsia="Times New Roman" w:cs="Calibri"/>
      <w:b/>
      <w:bCs/>
      <w:i/>
      <w:iCs/>
      <w:sz w:val="24"/>
      <w:szCs w:val="24"/>
      <w:lang w:val="en-US"/>
    </w:rPr>
  </w:style>
  <w:style w:type="character" w:customStyle="1" w:styleId="Carpredefinitoparagrafo3">
    <w:name w:val="Car. predefinito paragrafo3"/>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Carpredefinitoparagrafo2">
    <w:name w:val="Car. predefinito paragrafo2"/>
  </w:style>
  <w:style w:type="character" w:customStyle="1" w:styleId="Carpredefinitoparagrafo1">
    <w:name w:val="Car. predefinito paragrafo1"/>
  </w:style>
  <w:style w:type="character" w:customStyle="1" w:styleId="Rimandocommento1">
    <w:name w:val="Rimando commento1"/>
    <w:rPr>
      <w:sz w:val="16"/>
      <w:szCs w:val="16"/>
    </w:rPr>
  </w:style>
  <w:style w:type="character" w:customStyle="1" w:styleId="TestocommentoCarattere">
    <w:name w:val="Testo commento Carattere"/>
    <w:rPr>
      <w:rFonts w:ascii="Calibri" w:eastAsia="Calibri" w:hAnsi="Calibri" w:cs="Arial"/>
      <w:sz w:val="20"/>
      <w:szCs w:val="20"/>
    </w:rPr>
  </w:style>
  <w:style w:type="character" w:customStyle="1" w:styleId="TestonotaapidipaginaCarattere">
    <w:name w:val="Testo nota a piè di pagina Carattere"/>
  </w:style>
  <w:style w:type="character" w:customStyle="1" w:styleId="Caratterinotaapidipagina">
    <w:name w:val="Caratteri nota a piè di pagina"/>
    <w:rPr>
      <w:vertAlign w:val="superscript"/>
    </w:rPr>
  </w:style>
  <w:style w:type="character" w:styleId="Hyperlink">
    <w:name w:val="Hyperlink"/>
    <w:rPr>
      <w:color w:val="0563C1"/>
      <w:u w:val="single"/>
    </w:rPr>
  </w:style>
  <w:style w:type="character" w:customStyle="1" w:styleId="PreformattatoHTMLCarattere">
    <w:name w:val="Preformattato HTML Carattere"/>
    <w:rPr>
      <w:rFonts w:ascii="Courier New" w:eastAsia="Times New Roman" w:hAnsi="Courier New" w:cs="Courier New"/>
      <w:lang w:val="en-US"/>
    </w:rPr>
  </w:style>
  <w:style w:type="character" w:customStyle="1" w:styleId="A17">
    <w:name w:val="A17"/>
    <w:rPr>
      <w:rFonts w:cs="Arno Pro"/>
      <w:color w:val="000000"/>
      <w:sz w:val="13"/>
      <w:szCs w:val="13"/>
    </w:rPr>
  </w:style>
  <w:style w:type="character" w:customStyle="1" w:styleId="SoggettocommentoCarattere">
    <w:name w:val="Soggetto commento Carattere"/>
    <w:rPr>
      <w:rFonts w:ascii="Calibri" w:eastAsia="Calibri" w:hAnsi="Calibri" w:cs="Arial"/>
      <w:b/>
      <w:bCs/>
      <w:sz w:val="20"/>
      <w:szCs w:val="20"/>
    </w:rPr>
  </w:style>
  <w:style w:type="character" w:customStyle="1" w:styleId="TestofumettoCarattere">
    <w:name w:val="Testo fumetto Carattere"/>
    <w:rPr>
      <w:rFonts w:ascii="Segoe UI" w:hAnsi="Segoe UI" w:cs="Segoe UI"/>
      <w:sz w:val="18"/>
      <w:szCs w:val="18"/>
    </w:rPr>
  </w:style>
  <w:style w:type="character" w:customStyle="1" w:styleId="IntestazioneCarattere">
    <w:name w:val="Intestazione Carattere"/>
    <w:rPr>
      <w:sz w:val="22"/>
      <w:szCs w:val="22"/>
    </w:rPr>
  </w:style>
  <w:style w:type="character" w:customStyle="1" w:styleId="PidipaginaCarattere">
    <w:name w:val="Piè di pagina Carattere"/>
    <w:rPr>
      <w:sz w:val="22"/>
      <w:szCs w:val="22"/>
    </w:rPr>
  </w:style>
  <w:style w:type="character" w:customStyle="1" w:styleId="UnresolvedMention1">
    <w:name w:val="Unresolved Mention1"/>
    <w:rPr>
      <w:color w:val="605E5C"/>
      <w:highlight w:val="lightGray"/>
    </w:rPr>
  </w:style>
  <w:style w:type="character" w:customStyle="1" w:styleId="st">
    <w:name w:val="st"/>
  </w:style>
  <w:style w:type="character" w:styleId="Emphasis">
    <w:name w:val="Emphasis"/>
    <w:qFormat/>
    <w:rPr>
      <w:i/>
      <w:iCs/>
    </w:rPr>
  </w:style>
  <w:style w:type="character" w:customStyle="1" w:styleId="e24kjd">
    <w:name w:val="e24kjd"/>
  </w:style>
  <w:style w:type="character" w:customStyle="1" w:styleId="acopre">
    <w:name w:val="acopre"/>
    <w:basedOn w:val="Carpredefinitoparagrafo1"/>
  </w:style>
  <w:style w:type="character" w:customStyle="1" w:styleId="Rimandonotaapidipagina1">
    <w:name w:val="Rimando nota a piè di pagina1"/>
    <w:rPr>
      <w:vertAlign w:val="superscript"/>
    </w:rPr>
  </w:style>
  <w:style w:type="character" w:customStyle="1" w:styleId="Caratterinotadichiusura">
    <w:name w:val="Caratteri nota di chiusura"/>
  </w:style>
  <w:style w:type="character" w:customStyle="1" w:styleId="Rimandonotadichiusura1">
    <w:name w:val="Rimando nota di chiusura1"/>
    <w:rPr>
      <w:vertAlign w:val="superscript"/>
    </w:rPr>
  </w:style>
  <w:style w:type="character" w:styleId="FollowedHyperlink">
    <w:name w:val="FollowedHyperlink"/>
    <w:rPr>
      <w:color w:val="800000"/>
      <w:u w:val="single"/>
    </w:rPr>
  </w:style>
  <w:style w:type="character" w:customStyle="1" w:styleId="Rimandocommento2">
    <w:name w:val="Rimando commento2"/>
    <w:rPr>
      <w:sz w:val="16"/>
      <w:szCs w:val="16"/>
    </w:rPr>
  </w:style>
  <w:style w:type="character" w:customStyle="1" w:styleId="TestocommentoCarattere1">
    <w:name w:val="Testo commento Carattere1"/>
    <w:uiPriority w:val="99"/>
    <w:rPr>
      <w:rFonts w:ascii="Calibri" w:eastAsia="Calibri" w:hAnsi="Calibri" w:cs="Arial"/>
      <w:lang w:val="en-GB" w:eastAsia="zh-CN"/>
    </w:rPr>
  </w:style>
  <w:style w:type="character" w:customStyle="1" w:styleId="Rimandonotaapidipagina2">
    <w:name w:val="Rimando nota a piè di pagina2"/>
    <w:rPr>
      <w:vertAlign w:val="superscript"/>
    </w:rPr>
  </w:style>
  <w:style w:type="character" w:customStyle="1" w:styleId="Rimandonotadichiusura2">
    <w:name w:val="Rimando nota di chiusura2"/>
    <w:rPr>
      <w:vertAlign w:val="superscript"/>
    </w:rPr>
  </w:style>
  <w:style w:type="character" w:customStyle="1" w:styleId="Rimandocommento3">
    <w:name w:val="Rimando commento3"/>
    <w:rPr>
      <w:sz w:val="16"/>
      <w:szCs w:val="16"/>
    </w:rPr>
  </w:style>
  <w:style w:type="character" w:customStyle="1" w:styleId="TestocommentoCarattere2">
    <w:name w:val="Testo commento Carattere2"/>
    <w:rPr>
      <w:rFonts w:ascii="Calibri" w:eastAsia="Calibri" w:hAnsi="Calibri" w:cs="Arial"/>
      <w:lang w:eastAsia="zh-CN"/>
    </w:rPr>
  </w:style>
  <w:style w:type="character" w:styleId="FootnoteReference">
    <w:name w:val="footnote reference"/>
    <w:rPr>
      <w:vertAlign w:val="superscript"/>
    </w:rPr>
  </w:style>
  <w:style w:type="character" w:styleId="EndnoteReference">
    <w:name w:val="endnote reference"/>
    <w:rPr>
      <w:vertAlign w:val="superscript"/>
    </w:rPr>
  </w:style>
  <w:style w:type="paragraph" w:customStyle="1" w:styleId="Titolo3">
    <w:name w:val="Titolo3"/>
    <w:basedOn w:val="Normal"/>
    <w:next w:val="BodyText"/>
    <w:pPr>
      <w:keepNext/>
      <w:spacing w:before="240" w:after="120"/>
    </w:pPr>
    <w:rPr>
      <w:rFonts w:ascii="Liberation Sans" w:eastAsia="Noto Sans CJK SC" w:hAnsi="Liberation Sans" w:cs="Lohit Devanagari"/>
      <w:sz w:val="28"/>
      <w:szCs w:val="28"/>
    </w:rPr>
  </w:style>
  <w:style w:type="paragraph" w:styleId="BodyText">
    <w:name w:val="Body Text"/>
    <w:basedOn w:val="Normal"/>
    <w:pPr>
      <w:spacing w:after="140" w:line="276" w:lineRule="auto"/>
    </w:pPr>
  </w:style>
  <w:style w:type="paragraph" w:styleId="List">
    <w:name w:val="List"/>
    <w:basedOn w:val="BodyText"/>
    <w:rPr>
      <w:rFonts w:cs="Lohit Devanagari"/>
    </w:rPr>
  </w:style>
  <w:style w:type="paragraph" w:styleId="Caption">
    <w:name w:val="caption"/>
    <w:basedOn w:val="Normal"/>
    <w:qFormat/>
    <w:pPr>
      <w:suppressLineNumbers/>
      <w:spacing w:before="120" w:after="120"/>
    </w:pPr>
    <w:rPr>
      <w:rFonts w:cs="Lohit Devanagari"/>
      <w:i/>
      <w:iCs/>
      <w:sz w:val="24"/>
      <w:szCs w:val="24"/>
    </w:rPr>
  </w:style>
  <w:style w:type="paragraph" w:customStyle="1" w:styleId="Indice">
    <w:name w:val="Indice"/>
    <w:basedOn w:val="Normal"/>
    <w:pPr>
      <w:suppressLineNumbers/>
    </w:pPr>
    <w:rPr>
      <w:rFonts w:cs="Lohit Devanagari"/>
    </w:rPr>
  </w:style>
  <w:style w:type="paragraph" w:customStyle="1" w:styleId="Titolo2">
    <w:name w:val="Titolo2"/>
    <w:basedOn w:val="Normal"/>
    <w:next w:val="BodyText"/>
    <w:pPr>
      <w:keepNext/>
      <w:spacing w:before="240" w:after="120"/>
    </w:pPr>
    <w:rPr>
      <w:rFonts w:ascii="Liberation Sans" w:eastAsia="Noto Sans CJK SC" w:hAnsi="Liberation Sans" w:cs="Lohit Devanagari"/>
      <w:sz w:val="28"/>
      <w:szCs w:val="28"/>
    </w:rPr>
  </w:style>
  <w:style w:type="paragraph" w:customStyle="1" w:styleId="Titolo1">
    <w:name w:val="Titolo1"/>
    <w:basedOn w:val="Normal"/>
    <w:next w:val="BodyText"/>
    <w:pPr>
      <w:keepNext/>
      <w:spacing w:before="240" w:after="120"/>
    </w:pPr>
    <w:rPr>
      <w:rFonts w:ascii="Liberation Sans" w:eastAsia="Noto Sans CJK SC" w:hAnsi="Liberation Sans" w:cs="Lohit Devanagari"/>
      <w:sz w:val="28"/>
      <w:szCs w:val="28"/>
    </w:rPr>
  </w:style>
  <w:style w:type="paragraph" w:customStyle="1" w:styleId="Testocommento1">
    <w:name w:val="Testo commento1"/>
    <w:basedOn w:val="Normal"/>
    <w:rPr>
      <w:sz w:val="20"/>
      <w:szCs w:val="20"/>
    </w:rPr>
  </w:style>
  <w:style w:type="paragraph" w:styleId="FootnoteText">
    <w:name w:val="footnote text"/>
    <w:basedOn w:val="Normal"/>
    <w:pPr>
      <w:spacing w:after="0" w:line="240" w:lineRule="auto"/>
    </w:pPr>
    <w:rPr>
      <w:sz w:val="20"/>
      <w:szCs w:val="20"/>
    </w:rPr>
  </w:style>
  <w:style w:type="paragraph" w:styleId="NormalWeb">
    <w:name w:val="Normal (Web)"/>
    <w:basedOn w:val="Normal"/>
    <w:rPr>
      <w:rFonts w:ascii="Times New Roman" w:hAnsi="Times New Roman" w:cs="Times New Roman"/>
      <w:sz w:val="24"/>
      <w:szCs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paragraph" w:customStyle="1" w:styleId="Pa21">
    <w:name w:val="Pa21"/>
    <w:basedOn w:val="Normal"/>
    <w:next w:val="Normal"/>
    <w:pPr>
      <w:autoSpaceDE w:val="0"/>
      <w:spacing w:after="0" w:line="221" w:lineRule="atLeast"/>
    </w:pPr>
    <w:rPr>
      <w:rFonts w:ascii="Arno Pro" w:hAnsi="Arno Pro"/>
      <w:sz w:val="24"/>
      <w:szCs w:val="24"/>
    </w:rPr>
  </w:style>
  <w:style w:type="paragraph" w:styleId="CommentSubject">
    <w:name w:val="annotation subject"/>
    <w:basedOn w:val="Testocommento1"/>
    <w:next w:val="Testocommento1"/>
    <w:pPr>
      <w:spacing w:line="240" w:lineRule="auto"/>
    </w:pPr>
    <w:rPr>
      <w:b/>
      <w:bCs/>
    </w:rPr>
  </w:style>
  <w:style w:type="paragraph" w:styleId="Revision">
    <w:name w:val="Revision"/>
    <w:pPr>
      <w:suppressAutoHyphens/>
    </w:pPr>
    <w:rPr>
      <w:rFonts w:ascii="Calibri" w:eastAsia="Calibri" w:hAnsi="Calibri" w:cs="Arial"/>
      <w:sz w:val="22"/>
      <w:szCs w:val="22"/>
      <w:lang w:val="en-GB" w:eastAsia="zh-CN"/>
    </w:rPr>
  </w:style>
  <w:style w:type="paragraph" w:styleId="BalloonText">
    <w:name w:val="Balloon Text"/>
    <w:basedOn w:val="Normal"/>
    <w:pPr>
      <w:spacing w:after="0" w:line="240" w:lineRule="auto"/>
    </w:pPr>
    <w:rPr>
      <w:rFonts w:ascii="Segoe UI" w:hAnsi="Segoe UI" w:cs="Segoe UI"/>
      <w:sz w:val="18"/>
      <w:szCs w:val="18"/>
    </w:rPr>
  </w:style>
  <w:style w:type="paragraph" w:styleId="Header">
    <w:name w:val="header"/>
    <w:basedOn w:val="Normal"/>
    <w:pPr>
      <w:tabs>
        <w:tab w:val="center" w:pos="4819"/>
        <w:tab w:val="right" w:pos="9638"/>
      </w:tabs>
      <w:spacing w:after="0" w:line="240" w:lineRule="auto"/>
    </w:pPr>
  </w:style>
  <w:style w:type="paragraph" w:styleId="Footer">
    <w:name w:val="footer"/>
    <w:basedOn w:val="Normal"/>
    <w:pPr>
      <w:tabs>
        <w:tab w:val="center" w:pos="4819"/>
        <w:tab w:val="right" w:pos="9638"/>
      </w:tabs>
      <w:spacing w:after="0" w:line="240" w:lineRule="auto"/>
    </w:pPr>
  </w:style>
  <w:style w:type="paragraph" w:customStyle="1" w:styleId="Default">
    <w:name w:val="Default"/>
    <w:pPr>
      <w:suppressAutoHyphens/>
      <w:autoSpaceDE w:val="0"/>
    </w:pPr>
    <w:rPr>
      <w:rFonts w:ascii="PJPMF A+ Adv T T 577916cc" w:eastAsia="Calibri" w:hAnsi="PJPMF A+ Adv T T 577916cc" w:cs="PJPMF A+ Adv T T 577916cc"/>
      <w:color w:val="000000"/>
      <w:sz w:val="24"/>
      <w:szCs w:val="24"/>
      <w:lang w:val="en-GB" w:eastAsia="zh-CN"/>
    </w:rPr>
  </w:style>
  <w:style w:type="paragraph" w:customStyle="1" w:styleId="Contenutotabella">
    <w:name w:val="Contenuto tabella"/>
    <w:basedOn w:val="Normal"/>
    <w:pPr>
      <w:suppressLineNumbers/>
    </w:pPr>
  </w:style>
  <w:style w:type="paragraph" w:customStyle="1" w:styleId="Titolotabella">
    <w:name w:val="Titolo tabella"/>
    <w:basedOn w:val="Contenutotabella"/>
    <w:pPr>
      <w:jc w:val="center"/>
    </w:pPr>
    <w:rPr>
      <w:b/>
      <w:bCs/>
    </w:rPr>
  </w:style>
  <w:style w:type="paragraph" w:styleId="EndnoteText">
    <w:name w:val="endnote text"/>
    <w:basedOn w:val="Normal"/>
    <w:pPr>
      <w:suppressLineNumbers/>
      <w:ind w:left="339" w:hanging="339"/>
    </w:pPr>
    <w:rPr>
      <w:sz w:val="20"/>
      <w:szCs w:val="20"/>
    </w:rPr>
  </w:style>
  <w:style w:type="paragraph" w:customStyle="1" w:styleId="Testocommento2">
    <w:name w:val="Testo commento2"/>
    <w:basedOn w:val="Normal"/>
    <w:rPr>
      <w:sz w:val="20"/>
      <w:szCs w:val="20"/>
    </w:rPr>
  </w:style>
  <w:style w:type="paragraph" w:customStyle="1" w:styleId="Testocommento3">
    <w:name w:val="Testo commento3"/>
    <w:basedOn w:val="Normal"/>
    <w:rPr>
      <w:sz w:val="20"/>
      <w:szCs w:val="20"/>
    </w:rPr>
  </w:style>
  <w:style w:type="character" w:styleId="PageNumber">
    <w:name w:val="page number"/>
    <w:basedOn w:val="DefaultParagraphFont"/>
    <w:uiPriority w:val="99"/>
    <w:semiHidden/>
    <w:unhideWhenUsed/>
    <w:rsid w:val="007F41D2"/>
  </w:style>
  <w:style w:type="character" w:styleId="CommentReference">
    <w:name w:val="annotation reference"/>
    <w:uiPriority w:val="99"/>
    <w:semiHidden/>
    <w:unhideWhenUsed/>
    <w:rsid w:val="00721C2A"/>
    <w:rPr>
      <w:sz w:val="16"/>
      <w:szCs w:val="16"/>
    </w:rPr>
  </w:style>
  <w:style w:type="paragraph" w:styleId="CommentText">
    <w:name w:val="annotation text"/>
    <w:basedOn w:val="Normal"/>
    <w:link w:val="CommentTextChar"/>
    <w:uiPriority w:val="99"/>
    <w:semiHidden/>
    <w:unhideWhenUsed/>
    <w:rsid w:val="00721C2A"/>
    <w:rPr>
      <w:sz w:val="20"/>
      <w:szCs w:val="20"/>
    </w:rPr>
  </w:style>
  <w:style w:type="character" w:customStyle="1" w:styleId="CommentTextChar">
    <w:name w:val="Comment Text Char"/>
    <w:link w:val="CommentText"/>
    <w:uiPriority w:val="99"/>
    <w:semiHidden/>
    <w:rsid w:val="00721C2A"/>
    <w:rPr>
      <w:rFonts w:ascii="Calibri" w:eastAsia="Calibri" w:hAnsi="Calibri" w:cs="Arial"/>
      <w:lang w:eastAsia="zh-CN"/>
    </w:rPr>
  </w:style>
  <w:style w:type="character" w:customStyle="1" w:styleId="citation-select">
    <w:name w:val="citation-select"/>
    <w:basedOn w:val="DefaultParagraphFont"/>
    <w:rsid w:val="003F275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252985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144"/>
</w:webSettings>
</file>

<file path=word/_rels/document.xml.rels><?xml version="1.0" encoding="UTF-8" standalone="yes"?>
<Relationships xmlns="http://schemas.openxmlformats.org/package/2006/relationships"><Relationship Id="rId8" Type="http://schemas.openxmlformats.org/officeDocument/2006/relationships/hyperlink" Target="https://doi.org/10.5064/F6QR17WM" TargetMode="External"/><Relationship Id="rId13" Type="http://schemas.openxmlformats.org/officeDocument/2006/relationships/hyperlink" Target="https://dx.doi.org/10.2139/ssrn.3333392" TargetMode="External"/><Relationship Id="rId18" Type="http://schemas.openxmlformats.org/officeDocument/2006/relationships/header" Target="header2.xml"/><Relationship Id="rId3" Type="http://schemas.openxmlformats.org/officeDocument/2006/relationships/settings" Target="settings.xml"/><Relationship Id="rId21" Type="http://schemas.openxmlformats.org/officeDocument/2006/relationships/header" Target="header3.xml"/><Relationship Id="rId7" Type="http://schemas.openxmlformats.org/officeDocument/2006/relationships/hyperlink" Target="https://doi.org/10.5064/F6QR17WM" TargetMode="External"/><Relationship Id="rId12" Type="http://schemas.openxmlformats.org/officeDocument/2006/relationships/hyperlink" Target="https://doi.org/10.2139/ssrn.3332887"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dx.doi.org/10.2139/ssrn.3333392" TargetMode="External"/><Relationship Id="rId20"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2139/ssrn.3332887"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dx.doi.org/10.2139/ssrn.3333392" TargetMode="External"/><Relationship Id="rId23" Type="http://schemas.openxmlformats.org/officeDocument/2006/relationships/fontTable" Target="fontTable.xml"/><Relationship Id="rId10" Type="http://schemas.openxmlformats.org/officeDocument/2006/relationships/hyperlink" Target="https://doi.org/10.5064/F6QR17WM"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doi.org/10.5064/F6QR17WM" TargetMode="External"/><Relationship Id="rId14" Type="http://schemas.openxmlformats.org/officeDocument/2006/relationships/hyperlink" Target="https://dx.doi.org/10.2139/ssrn.3333392" TargetMode="External"/><Relationship Id="rId22"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TotalTime>
  <Pages>3</Pages>
  <Words>709</Words>
  <Characters>4043</Characters>
  <Application>Microsoft Office Word</Application>
  <DocSecurity>0</DocSecurity>
  <Lines>33</Lines>
  <Paragraphs>9</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4743</CharactersWithSpaces>
  <SharedDoc>false</SharedDoc>
  <HLinks>
    <vt:vector size="60" baseType="variant">
      <vt:variant>
        <vt:i4>7143462</vt:i4>
      </vt:variant>
      <vt:variant>
        <vt:i4>27</vt:i4>
      </vt:variant>
      <vt:variant>
        <vt:i4>0</vt:i4>
      </vt:variant>
      <vt:variant>
        <vt:i4>5</vt:i4>
      </vt:variant>
      <vt:variant>
        <vt:lpwstr>https://dx.doi.org/10.2139/ssrn.3333392</vt:lpwstr>
      </vt:variant>
      <vt:variant>
        <vt:lpwstr/>
      </vt:variant>
      <vt:variant>
        <vt:i4>7143462</vt:i4>
      </vt:variant>
      <vt:variant>
        <vt:i4>24</vt:i4>
      </vt:variant>
      <vt:variant>
        <vt:i4>0</vt:i4>
      </vt:variant>
      <vt:variant>
        <vt:i4>5</vt:i4>
      </vt:variant>
      <vt:variant>
        <vt:lpwstr>https://dx.doi.org/10.2139/ssrn.3333392</vt:lpwstr>
      </vt:variant>
      <vt:variant>
        <vt:lpwstr/>
      </vt:variant>
      <vt:variant>
        <vt:i4>7143462</vt:i4>
      </vt:variant>
      <vt:variant>
        <vt:i4>21</vt:i4>
      </vt:variant>
      <vt:variant>
        <vt:i4>0</vt:i4>
      </vt:variant>
      <vt:variant>
        <vt:i4>5</vt:i4>
      </vt:variant>
      <vt:variant>
        <vt:lpwstr>https://dx.doi.org/10.2139/ssrn.3333392</vt:lpwstr>
      </vt:variant>
      <vt:variant>
        <vt:lpwstr/>
      </vt:variant>
      <vt:variant>
        <vt:i4>7143462</vt:i4>
      </vt:variant>
      <vt:variant>
        <vt:i4>18</vt:i4>
      </vt:variant>
      <vt:variant>
        <vt:i4>0</vt:i4>
      </vt:variant>
      <vt:variant>
        <vt:i4>5</vt:i4>
      </vt:variant>
      <vt:variant>
        <vt:lpwstr>https://dx.doi.org/10.2139/ssrn.3333392</vt:lpwstr>
      </vt:variant>
      <vt:variant>
        <vt:lpwstr/>
      </vt:variant>
      <vt:variant>
        <vt:i4>65604</vt:i4>
      </vt:variant>
      <vt:variant>
        <vt:i4>15</vt:i4>
      </vt:variant>
      <vt:variant>
        <vt:i4>0</vt:i4>
      </vt:variant>
      <vt:variant>
        <vt:i4>5</vt:i4>
      </vt:variant>
      <vt:variant>
        <vt:lpwstr>https://doi.org/10.2139/ssrn.3332887</vt:lpwstr>
      </vt:variant>
      <vt:variant>
        <vt:lpwstr/>
      </vt:variant>
      <vt:variant>
        <vt:i4>65604</vt:i4>
      </vt:variant>
      <vt:variant>
        <vt:i4>12</vt:i4>
      </vt:variant>
      <vt:variant>
        <vt:i4>0</vt:i4>
      </vt:variant>
      <vt:variant>
        <vt:i4>5</vt:i4>
      </vt:variant>
      <vt:variant>
        <vt:lpwstr>https://doi.org/10.2139/ssrn.3332887</vt:lpwstr>
      </vt:variant>
      <vt:variant>
        <vt:lpwstr/>
      </vt:variant>
      <vt:variant>
        <vt:i4>983055</vt:i4>
      </vt:variant>
      <vt:variant>
        <vt:i4>9</vt:i4>
      </vt:variant>
      <vt:variant>
        <vt:i4>0</vt:i4>
      </vt:variant>
      <vt:variant>
        <vt:i4>5</vt:i4>
      </vt:variant>
      <vt:variant>
        <vt:lpwstr>https://doi.org/10.5064/F6QR17WM</vt:lpwstr>
      </vt:variant>
      <vt:variant>
        <vt:lpwstr/>
      </vt:variant>
      <vt:variant>
        <vt:i4>983055</vt:i4>
      </vt:variant>
      <vt:variant>
        <vt:i4>6</vt:i4>
      </vt:variant>
      <vt:variant>
        <vt:i4>0</vt:i4>
      </vt:variant>
      <vt:variant>
        <vt:i4>5</vt:i4>
      </vt:variant>
      <vt:variant>
        <vt:lpwstr>https://doi.org/10.5064/F6QR17WM</vt:lpwstr>
      </vt:variant>
      <vt:variant>
        <vt:lpwstr/>
      </vt:variant>
      <vt:variant>
        <vt:i4>983055</vt:i4>
      </vt:variant>
      <vt:variant>
        <vt:i4>3</vt:i4>
      </vt:variant>
      <vt:variant>
        <vt:i4>0</vt:i4>
      </vt:variant>
      <vt:variant>
        <vt:i4>5</vt:i4>
      </vt:variant>
      <vt:variant>
        <vt:lpwstr>https://doi.org/10.5064/F6QR17WM</vt:lpwstr>
      </vt:variant>
      <vt:variant>
        <vt:lpwstr/>
      </vt:variant>
      <vt:variant>
        <vt:i4>983055</vt:i4>
      </vt:variant>
      <vt:variant>
        <vt:i4>0</vt:i4>
      </vt:variant>
      <vt:variant>
        <vt:i4>0</vt:i4>
      </vt:variant>
      <vt:variant>
        <vt:i4>5</vt:i4>
      </vt:variant>
      <vt:variant>
        <vt:lpwstr>https://doi.org/10.5064/F6QR17WM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Lucia Quaglia</dc:creator>
  <cp:keywords/>
  <cp:lastModifiedBy>Elliot Posner</cp:lastModifiedBy>
  <cp:revision>4</cp:revision>
  <cp:lastPrinted>2021-06-18T05:22:00Z</cp:lastPrinted>
  <dcterms:created xsi:type="dcterms:W3CDTF">2023-07-24T16:05:00Z</dcterms:created>
  <dcterms:modified xsi:type="dcterms:W3CDTF">2023-07-24T16:33:00Z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_Grammarly_42___1">
    <vt:lpwstr>__Grammarly_42___1</vt:lpwstr>
  </property>
  <property fmtid="{D5CDD505-2E9C-101B-9397-08002B2CF9AE}" pid="3" name="__Grammarly_42____i">
    <vt:lpwstr>__Grammarly_42____i</vt:lpwstr>
  </property>
  <property fmtid="{D5CDD505-2E9C-101B-9397-08002B2CF9AE}" pid="4" name="GrammarlyDocumentId">
    <vt:lpwstr>74fd5ce18f2662df02b04b65d96add8f18b9158a06e77de1bf6de2e34f8ea298</vt:lpwstr>
  </property>
</Properties>
</file>