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480"/>
        <w:jc w:val="both"/>
        <w:rPr>
          <w:shd w:fill="auto" w:val="clear"/>
        </w:rPr>
      </w:pPr>
      <w:r>
        <w:rPr>
          <w:rFonts w:ascii="Times New Roman" w:hAnsi="Times New Roman"/>
          <w:b/>
          <w:bCs/>
          <w:shd w:fill="auto" w:val="clear"/>
        </w:rPr>
        <w:t>Supplementary Table S1</w:t>
      </w:r>
      <w:r>
        <w:rPr>
          <w:rFonts w:ascii="Times New Roman" w:hAnsi="Times New Roman"/>
          <w:shd w:fill="auto" w:val="clear"/>
        </w:rPr>
        <w:t xml:space="preserve">. Relevant clinical data of the six patients selected for this study, including age, sex, comorbidities, type and severity of infection, previous antibiotic treatments and outcome. In addition, total days of exposure to CAZ/AVI and CFD and days before resistance emergence were provided. </w:t>
      </w:r>
    </w:p>
    <w:p>
      <w:pPr>
        <w:pStyle w:val="Normal"/>
        <w:spacing w:lineRule="auto" w:line="480"/>
        <w:rPr>
          <w:rFonts w:ascii="Times New Roman" w:hAnsi="Times New Roman"/>
          <w:shd w:fill="auto" w:val="clear"/>
        </w:rPr>
      </w:pPr>
      <w:r>
        <w:rPr>
          <w:rFonts w:ascii="Times New Roman" w:hAnsi="Times New Roman"/>
          <w:shd w:fill="auto" w:val="clear"/>
        </w:rPr>
      </w:r>
    </w:p>
    <w:tbl>
      <w:tblPr>
        <w:tblW w:w="5000" w:type="pct"/>
        <w:jc w:val="left"/>
        <w:tblInd w:w="0" w:type="dxa"/>
        <w:tblLayout w:type="fixed"/>
        <w:tblCellMar>
          <w:top w:w="0" w:type="dxa"/>
          <w:left w:w="0" w:type="dxa"/>
          <w:bottom w:w="0" w:type="dxa"/>
          <w:right w:w="0" w:type="dxa"/>
        </w:tblCellMar>
        <w:tblLook w:val="0000" w:noVBand="0" w:noHBand="0" w:lastColumn="0" w:firstColumn="0" w:lastRow="0" w:firstRow="0"/>
      </w:tblPr>
      <w:tblGrid>
        <w:gridCol w:w="486"/>
        <w:gridCol w:w="357"/>
        <w:gridCol w:w="424"/>
        <w:gridCol w:w="1332"/>
        <w:gridCol w:w="991"/>
        <w:gridCol w:w="988"/>
        <w:gridCol w:w="702"/>
        <w:gridCol w:w="707"/>
        <w:gridCol w:w="1332"/>
        <w:gridCol w:w="1194"/>
        <w:gridCol w:w="1123"/>
      </w:tblGrid>
      <w:tr>
        <w:trPr>
          <w:trHeight w:val="733" w:hRule="atLeast"/>
        </w:trPr>
        <w:tc>
          <w:tcPr>
            <w:tcW w:w="486"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Patient</w:t>
            </w:r>
          </w:p>
        </w:tc>
        <w:tc>
          <w:tcPr>
            <w:tcW w:w="357"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Sex</w:t>
            </w:r>
          </w:p>
        </w:tc>
        <w:tc>
          <w:tcPr>
            <w:tcW w:w="424"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Age</w:t>
            </w:r>
          </w:p>
        </w:tc>
        <w:tc>
          <w:tcPr>
            <w:tcW w:w="1332"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Relevant</w:t>
            </w:r>
          </w:p>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comorbidities</w:t>
            </w:r>
          </w:p>
        </w:tc>
        <w:tc>
          <w:tcPr>
            <w:tcW w:w="991" w:type="dxa"/>
            <w:tcBorders>
              <w:top w:val="single" w:sz="6" w:space="0" w:color="000000"/>
              <w:bottom w:val="single" w:sz="6" w:space="0" w:color="000000"/>
            </w:tcBorders>
          </w:tcPr>
          <w:p>
            <w:pPr>
              <w:pStyle w:val="Contenutotabella"/>
              <w:widowControl w:val="false"/>
              <w:spacing w:before="57" w:after="57"/>
              <w:jc w:val="center"/>
              <w:rPr>
                <w:rFonts w:ascii="Times New Roman" w:hAnsi="Times New Roman"/>
                <w:b/>
                <w:b/>
                <w:bCs/>
                <w:color w:val="000000"/>
                <w:sz w:val="16"/>
                <w:szCs w:val="16"/>
                <w:shd w:fill="auto" w:val="clear"/>
              </w:rPr>
            </w:pPr>
            <w:r>
              <w:rPr>
                <w:rFonts w:ascii="Times New Roman" w:hAnsi="Times New Roman"/>
                <w:b/>
                <w:bCs/>
                <w:color w:val="000000"/>
                <w:sz w:val="16"/>
                <w:szCs w:val="16"/>
                <w:shd w:fill="auto" w:val="clear"/>
              </w:rPr>
              <w:t>CCI</w:t>
            </w:r>
          </w:p>
        </w:tc>
        <w:tc>
          <w:tcPr>
            <w:tcW w:w="988"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Type of</w:t>
            </w:r>
          </w:p>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infection</w:t>
            </w:r>
          </w:p>
        </w:tc>
        <w:tc>
          <w:tcPr>
            <w:tcW w:w="702" w:type="dxa"/>
            <w:tcBorders>
              <w:top w:val="single" w:sz="6" w:space="0" w:color="000000"/>
              <w:bottom w:val="single" w:sz="6" w:space="0" w:color="000000"/>
            </w:tcBorders>
          </w:tcPr>
          <w:p>
            <w:pPr>
              <w:pStyle w:val="Contenutotabella"/>
              <w:widowControl w:val="false"/>
              <w:spacing w:lineRule="auto" w:line="480" w:before="57" w:after="57"/>
              <w:jc w:val="center"/>
              <w:rPr>
                <w:rFonts w:ascii="Times New Roman" w:hAnsi="Times New Roman"/>
                <w:b/>
                <w:b/>
                <w:bCs/>
                <w:color w:val="000000"/>
                <w:sz w:val="16"/>
                <w:szCs w:val="16"/>
                <w:shd w:fill="auto" w:val="clear"/>
              </w:rPr>
            </w:pPr>
            <w:r>
              <w:rPr>
                <w:rFonts w:ascii="Times New Roman" w:hAnsi="Times New Roman"/>
                <w:b/>
                <w:bCs/>
                <w:color w:val="000000"/>
                <w:sz w:val="16"/>
                <w:szCs w:val="16"/>
                <w:shd w:fill="auto" w:val="clear"/>
              </w:rPr>
              <w:t>Septic shock</w:t>
            </w:r>
          </w:p>
        </w:tc>
        <w:tc>
          <w:tcPr>
            <w:tcW w:w="707"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Previous antibiotic therapy</w:t>
            </w:r>
          </w:p>
        </w:tc>
        <w:tc>
          <w:tcPr>
            <w:tcW w:w="1332"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TDE to CAZ/AVI (of which prior to RE)</w:t>
            </w:r>
          </w:p>
        </w:tc>
        <w:tc>
          <w:tcPr>
            <w:tcW w:w="1194"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TDE to CFD (of which prior to RE)</w:t>
            </w:r>
          </w:p>
        </w:tc>
        <w:tc>
          <w:tcPr>
            <w:tcW w:w="1123" w:type="dxa"/>
            <w:tcBorders>
              <w:top w:val="single" w:sz="6" w:space="0" w:color="000000"/>
              <w:bottom w:val="single" w:sz="6"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b/>
                <w:bCs/>
                <w:color w:val="000000"/>
                <w:sz w:val="16"/>
                <w:szCs w:val="16"/>
                <w:shd w:fill="auto" w:val="clear"/>
              </w:rPr>
              <w:t>Outcome</w:t>
            </w:r>
          </w:p>
        </w:tc>
      </w:tr>
      <w:tr>
        <w:trPr>
          <w:trHeight w:val="491" w:hRule="atLeast"/>
        </w:trPr>
        <w:tc>
          <w:tcPr>
            <w:tcW w:w="486"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1</w:t>
            </w:r>
          </w:p>
        </w:tc>
        <w:tc>
          <w:tcPr>
            <w:tcW w:w="35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M</w:t>
            </w:r>
          </w:p>
        </w:tc>
        <w:tc>
          <w:tcPr>
            <w:tcW w:w="424"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26</w:t>
            </w:r>
          </w:p>
        </w:tc>
        <w:tc>
          <w:tcPr>
            <w:tcW w:w="1332" w:type="dxa"/>
            <w:tcBorders/>
            <w:vAlign w:val="center"/>
          </w:tcPr>
          <w:p>
            <w:pPr>
              <w:pStyle w:val="Contenutotabella"/>
              <w:widowControl w:val="false"/>
              <w:spacing w:lineRule="auto" w:line="480" w:before="57" w:after="57"/>
              <w:jc w:val="center"/>
              <w:rPr>
                <w:shd w:fill="auto" w:val="clear"/>
              </w:rPr>
            </w:pPr>
            <w:r>
              <w:rPr>
                <w:rFonts w:ascii="Times New Roman" w:hAnsi="Times New Roman"/>
                <w:sz w:val="16"/>
                <w:szCs w:val="16"/>
                <w:shd w:fill="auto" w:val="clear"/>
              </w:rPr>
              <w:t>Cirrhosis</w:t>
            </w:r>
          </w:p>
        </w:tc>
        <w:tc>
          <w:tcPr>
            <w:tcW w:w="991" w:type="dxa"/>
            <w:tcBorders/>
          </w:tcPr>
          <w:p>
            <w:pPr>
              <w:pStyle w:val="Contenutotabella"/>
              <w:widowControl w:val="false"/>
              <w:spacing w:lineRule="auto" w:line="480" w:before="57" w:after="57"/>
              <w:jc w:val="center"/>
              <w:rPr>
                <w:sz w:val="16"/>
                <w:szCs w:val="16"/>
                <w:shd w:fill="auto" w:val="clear"/>
              </w:rPr>
            </w:pPr>
            <w:r>
              <w:rPr>
                <w:sz w:val="16"/>
                <w:szCs w:val="16"/>
                <w:shd w:fill="auto" w:val="clear"/>
              </w:rPr>
              <w:t>3</w:t>
            </w:r>
          </w:p>
        </w:tc>
        <w:tc>
          <w:tcPr>
            <w:tcW w:w="988" w:type="dxa"/>
            <w:tcBorders/>
            <w:vAlign w:val="center"/>
          </w:tcPr>
          <w:p>
            <w:pPr>
              <w:pStyle w:val="Contenutotabella"/>
              <w:widowControl w:val="false"/>
              <w:spacing w:lineRule="auto" w:line="480" w:before="57" w:after="57"/>
              <w:jc w:val="center"/>
              <w:rPr>
                <w:shd w:fill="auto" w:val="clear"/>
              </w:rPr>
            </w:pPr>
            <w:r>
              <w:rPr>
                <w:sz w:val="16"/>
                <w:szCs w:val="16"/>
                <w:shd w:fill="auto" w:val="clear"/>
              </w:rPr>
              <w:t>BSI</w:t>
            </w:r>
          </w:p>
        </w:tc>
        <w:tc>
          <w:tcPr>
            <w:tcW w:w="702" w:type="dxa"/>
            <w:tcBorders/>
          </w:tcPr>
          <w:p>
            <w:pPr>
              <w:pStyle w:val="Contenutotabella"/>
              <w:widowControl w:val="false"/>
              <w:spacing w:lineRule="auto" w:line="480" w:before="57" w:after="57"/>
              <w:jc w:val="center"/>
              <w:rPr>
                <w:rFonts w:ascii="Times New Roman" w:hAnsi="Times New Roman"/>
                <w:sz w:val="16"/>
                <w:szCs w:val="16"/>
                <w:shd w:fill="auto" w:val="clear"/>
              </w:rPr>
            </w:pPr>
            <w:r>
              <w:rPr>
                <w:rFonts w:ascii="Times New Roman" w:hAnsi="Times New Roman"/>
                <w:sz w:val="16"/>
                <w:szCs w:val="16"/>
                <w:shd w:fill="auto" w:val="clear"/>
              </w:rPr>
              <w:t>Y</w:t>
            </w:r>
          </w:p>
        </w:tc>
        <w:tc>
          <w:tcPr>
            <w:tcW w:w="707" w:type="dxa"/>
            <w:tcBorders/>
            <w:vAlign w:val="center"/>
          </w:tcPr>
          <w:p>
            <w:pPr>
              <w:pStyle w:val="Contenutotabella"/>
              <w:widowControl w:val="false"/>
              <w:spacing w:lineRule="auto" w:line="480" w:before="57" w:after="57"/>
              <w:jc w:val="center"/>
              <w:rPr>
                <w:shd w:fill="auto" w:val="clear"/>
              </w:rPr>
            </w:pPr>
            <w:r>
              <w:rPr>
                <w:rFonts w:ascii="Times New Roman" w:hAnsi="Times New Roman"/>
                <w:sz w:val="16"/>
                <w:szCs w:val="16"/>
                <w:shd w:fill="auto" w:val="clear"/>
              </w:rPr>
              <w:t>Yes</w:t>
            </w:r>
          </w:p>
        </w:tc>
        <w:tc>
          <w:tcPr>
            <w:tcW w:w="1332"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17 (17)</w:t>
            </w:r>
          </w:p>
        </w:tc>
        <w:tc>
          <w:tcPr>
            <w:tcW w:w="1194"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0</w:t>
            </w:r>
          </w:p>
        </w:tc>
        <w:tc>
          <w:tcPr>
            <w:tcW w:w="1123"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Death</w:t>
            </w:r>
          </w:p>
        </w:tc>
      </w:tr>
      <w:tr>
        <w:trPr>
          <w:trHeight w:val="1130" w:hRule="atLeast"/>
        </w:trPr>
        <w:tc>
          <w:tcPr>
            <w:tcW w:w="486"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2</w:t>
            </w:r>
          </w:p>
        </w:tc>
        <w:tc>
          <w:tcPr>
            <w:tcW w:w="357" w:type="dxa"/>
            <w:tcBorders/>
            <w:vAlign w:val="center"/>
          </w:tcPr>
          <w:p>
            <w:pPr>
              <w:pStyle w:val="Contenutotabella"/>
              <w:widowControl w:val="false"/>
              <w:spacing w:lineRule="auto" w:line="480"/>
              <w:jc w:val="center"/>
              <w:rPr>
                <w:shd w:fill="auto" w:val="clear"/>
              </w:rPr>
            </w:pPr>
            <w:r>
              <w:rPr>
                <w:rFonts w:ascii="Times New Roman" w:hAnsi="Times New Roman"/>
                <w:color w:val="000000"/>
                <w:sz w:val="16"/>
                <w:szCs w:val="16"/>
                <w:shd w:fill="auto" w:val="clear"/>
              </w:rPr>
              <w:t>F</w:t>
            </w:r>
          </w:p>
        </w:tc>
        <w:tc>
          <w:tcPr>
            <w:tcW w:w="424" w:type="dxa"/>
            <w:tcBorders/>
            <w:vAlign w:val="center"/>
          </w:tcPr>
          <w:p>
            <w:pPr>
              <w:pStyle w:val="Contenutotabella"/>
              <w:widowControl w:val="false"/>
              <w:spacing w:lineRule="auto" w:line="480"/>
              <w:jc w:val="center"/>
              <w:rPr>
                <w:shd w:fill="auto" w:val="clear"/>
              </w:rPr>
            </w:pPr>
            <w:r>
              <w:rPr>
                <w:rFonts w:ascii="Times New Roman" w:hAnsi="Times New Roman"/>
                <w:color w:val="000000"/>
                <w:sz w:val="16"/>
                <w:szCs w:val="16"/>
                <w:shd w:fill="auto" w:val="clear"/>
              </w:rPr>
              <w:t>62</w:t>
            </w:r>
          </w:p>
        </w:tc>
        <w:tc>
          <w:tcPr>
            <w:tcW w:w="1332" w:type="dxa"/>
            <w:tcBorders/>
            <w:vAlign w:val="center"/>
          </w:tcPr>
          <w:p>
            <w:pPr>
              <w:pStyle w:val="Contenutotabella"/>
              <w:widowControl w:val="false"/>
              <w:spacing w:lineRule="auto" w:line="480"/>
              <w:jc w:val="center"/>
              <w:rPr>
                <w:shd w:fill="auto" w:val="clear"/>
              </w:rPr>
            </w:pPr>
            <w:r>
              <w:rPr>
                <w:rFonts w:ascii="Times New Roman" w:hAnsi="Times New Roman"/>
                <w:color w:val="000000"/>
                <w:sz w:val="16"/>
                <w:szCs w:val="16"/>
                <w:shd w:fill="auto" w:val="clear"/>
              </w:rPr>
              <w:t>Cirrhosis, COPD, leiomyosarcoma, OLT</w:t>
            </w:r>
          </w:p>
        </w:tc>
        <w:tc>
          <w:tcPr>
            <w:tcW w:w="991" w:type="dxa"/>
            <w:tcBorders/>
          </w:tcPr>
          <w:p>
            <w:pPr>
              <w:pStyle w:val="LOnormal"/>
              <w:widowControl w:val="false"/>
              <w:spacing w:lineRule="auto" w:line="480"/>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6</w:t>
            </w:r>
          </w:p>
        </w:tc>
        <w:tc>
          <w:tcPr>
            <w:tcW w:w="988" w:type="dxa"/>
            <w:tcBorders/>
            <w:vAlign w:val="center"/>
          </w:tcPr>
          <w:p>
            <w:pPr>
              <w:pStyle w:val="LOnormal"/>
              <w:widowControl w:val="false"/>
              <w:spacing w:lineRule="auto" w:line="480"/>
              <w:jc w:val="center"/>
              <w:rPr>
                <w:shd w:fill="auto" w:val="clear"/>
              </w:rPr>
            </w:pPr>
            <w:r>
              <w:rPr>
                <w:rFonts w:ascii="Times New Roman" w:hAnsi="Times New Roman"/>
                <w:color w:val="000000"/>
                <w:sz w:val="16"/>
                <w:szCs w:val="16"/>
                <w:shd w:fill="auto" w:val="clear"/>
              </w:rPr>
              <w:t>Liver abscesses</w:t>
            </w:r>
          </w:p>
        </w:tc>
        <w:tc>
          <w:tcPr>
            <w:tcW w:w="702" w:type="dxa"/>
            <w:tcBorders/>
          </w:tcPr>
          <w:p>
            <w:pPr>
              <w:pStyle w:val="Contenutotabella"/>
              <w:widowControl w:val="false"/>
              <w:spacing w:lineRule="auto" w:line="480"/>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N</w:t>
            </w:r>
          </w:p>
        </w:tc>
        <w:tc>
          <w:tcPr>
            <w:tcW w:w="707" w:type="dxa"/>
            <w:tcBorders/>
            <w:vAlign w:val="center"/>
          </w:tcPr>
          <w:p>
            <w:pPr>
              <w:pStyle w:val="Contenutotabella"/>
              <w:widowControl w:val="false"/>
              <w:spacing w:lineRule="auto" w:line="480"/>
              <w:jc w:val="center"/>
              <w:rPr>
                <w:shd w:fill="auto" w:val="clear"/>
              </w:rPr>
            </w:pPr>
            <w:r>
              <w:rPr>
                <w:rFonts w:ascii="Times New Roman" w:hAnsi="Times New Roman"/>
                <w:color w:val="000000"/>
                <w:sz w:val="16"/>
                <w:szCs w:val="16"/>
                <w:shd w:fill="auto" w:val="clear"/>
              </w:rPr>
              <w:t>No</w:t>
            </w:r>
          </w:p>
        </w:tc>
        <w:tc>
          <w:tcPr>
            <w:tcW w:w="1332" w:type="dxa"/>
            <w:tcBorders/>
            <w:vAlign w:val="center"/>
          </w:tcPr>
          <w:p>
            <w:pPr>
              <w:pStyle w:val="LOnormal"/>
              <w:widowControl w:val="false"/>
              <w:spacing w:lineRule="auto" w:line="480"/>
              <w:jc w:val="center"/>
              <w:rPr>
                <w:shd w:fill="auto" w:val="clear"/>
              </w:rPr>
            </w:pPr>
            <w:r>
              <w:rPr>
                <w:rFonts w:ascii="Times New Roman" w:hAnsi="Times New Roman"/>
                <w:color w:val="000000"/>
                <w:sz w:val="16"/>
                <w:szCs w:val="16"/>
                <w:shd w:fill="auto" w:val="clear"/>
              </w:rPr>
              <w:t>58 (42)</w:t>
            </w:r>
          </w:p>
        </w:tc>
        <w:tc>
          <w:tcPr>
            <w:tcW w:w="1194" w:type="dxa"/>
            <w:tcBorders/>
            <w:vAlign w:val="center"/>
          </w:tcPr>
          <w:p>
            <w:pPr>
              <w:pStyle w:val="LOnormal"/>
              <w:widowControl w:val="false"/>
              <w:spacing w:lineRule="auto" w:line="480"/>
              <w:jc w:val="center"/>
              <w:rPr>
                <w:shd w:fill="auto" w:val="clear"/>
              </w:rPr>
            </w:pPr>
            <w:r>
              <w:rPr>
                <w:rFonts w:ascii="Times New Roman" w:hAnsi="Times New Roman"/>
                <w:color w:val="000000"/>
                <w:sz w:val="16"/>
                <w:szCs w:val="16"/>
                <w:shd w:fill="auto" w:val="clear"/>
              </w:rPr>
              <w:t>0</w:t>
            </w:r>
          </w:p>
        </w:tc>
        <w:tc>
          <w:tcPr>
            <w:tcW w:w="1123" w:type="dxa"/>
            <w:tcBorders/>
            <w:vAlign w:val="center"/>
          </w:tcPr>
          <w:p>
            <w:pPr>
              <w:pStyle w:val="Contenutotabella"/>
              <w:widowControl w:val="false"/>
              <w:spacing w:lineRule="auto" w:line="480"/>
              <w:jc w:val="center"/>
              <w:rPr>
                <w:shd w:fill="auto" w:val="clear"/>
              </w:rPr>
            </w:pPr>
            <w:r>
              <w:rPr>
                <w:rFonts w:ascii="Times New Roman" w:hAnsi="Times New Roman"/>
                <w:color w:val="000000"/>
                <w:sz w:val="16"/>
                <w:szCs w:val="16"/>
                <w:shd w:fill="auto" w:val="clear"/>
              </w:rPr>
              <w:t>Hospital discharge</w:t>
            </w:r>
          </w:p>
        </w:tc>
      </w:tr>
      <w:tr>
        <w:trPr>
          <w:trHeight w:val="872" w:hRule="atLeast"/>
        </w:trPr>
        <w:tc>
          <w:tcPr>
            <w:tcW w:w="486"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3</w:t>
            </w:r>
          </w:p>
        </w:tc>
        <w:tc>
          <w:tcPr>
            <w:tcW w:w="35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M</w:t>
            </w:r>
          </w:p>
        </w:tc>
        <w:tc>
          <w:tcPr>
            <w:tcW w:w="424"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31</w:t>
            </w:r>
          </w:p>
        </w:tc>
        <w:tc>
          <w:tcPr>
            <w:tcW w:w="1332"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OLT</w:t>
            </w:r>
          </w:p>
        </w:tc>
        <w:tc>
          <w:tcPr>
            <w:tcW w:w="991" w:type="dxa"/>
            <w:tcBorders/>
          </w:tcPr>
          <w:p>
            <w:pPr>
              <w:pStyle w:val="LOnormal"/>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3</w:t>
            </w:r>
          </w:p>
        </w:tc>
        <w:tc>
          <w:tcPr>
            <w:tcW w:w="988"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Pneumonia, BSI</w:t>
            </w:r>
          </w:p>
        </w:tc>
        <w:tc>
          <w:tcPr>
            <w:tcW w:w="702" w:type="dxa"/>
            <w:tcBorders/>
          </w:tcPr>
          <w:p>
            <w:pPr>
              <w:pStyle w:val="Contenutotabella"/>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Y</w:t>
            </w:r>
          </w:p>
        </w:tc>
        <w:tc>
          <w:tcPr>
            <w:tcW w:w="70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Yes</w:t>
            </w:r>
          </w:p>
        </w:tc>
        <w:tc>
          <w:tcPr>
            <w:tcW w:w="1332"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9 (7)</w:t>
            </w:r>
          </w:p>
        </w:tc>
        <w:tc>
          <w:tcPr>
            <w:tcW w:w="1194"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30 (0)</w:t>
            </w:r>
          </w:p>
        </w:tc>
        <w:tc>
          <w:tcPr>
            <w:tcW w:w="1123"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Death</w:t>
            </w:r>
          </w:p>
        </w:tc>
      </w:tr>
      <w:tr>
        <w:trPr>
          <w:trHeight w:val="872" w:hRule="atLeast"/>
        </w:trPr>
        <w:tc>
          <w:tcPr>
            <w:tcW w:w="486"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4</w:t>
            </w:r>
          </w:p>
        </w:tc>
        <w:tc>
          <w:tcPr>
            <w:tcW w:w="35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M</w:t>
            </w:r>
          </w:p>
        </w:tc>
        <w:tc>
          <w:tcPr>
            <w:tcW w:w="424"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66</w:t>
            </w:r>
          </w:p>
        </w:tc>
        <w:tc>
          <w:tcPr>
            <w:tcW w:w="1332"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Cirrhosis, diabetes, OLT</w:t>
            </w:r>
          </w:p>
        </w:tc>
        <w:tc>
          <w:tcPr>
            <w:tcW w:w="991" w:type="dxa"/>
            <w:tcBorders/>
          </w:tcPr>
          <w:p>
            <w:pPr>
              <w:pStyle w:val="LOnormal"/>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7</w:t>
            </w:r>
          </w:p>
        </w:tc>
        <w:tc>
          <w:tcPr>
            <w:tcW w:w="988"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VAP, BSI</w:t>
            </w:r>
          </w:p>
        </w:tc>
        <w:tc>
          <w:tcPr>
            <w:tcW w:w="702" w:type="dxa"/>
            <w:tcBorders/>
          </w:tcPr>
          <w:p>
            <w:pPr>
              <w:pStyle w:val="Contenutotabella"/>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Y</w:t>
            </w:r>
          </w:p>
        </w:tc>
        <w:tc>
          <w:tcPr>
            <w:tcW w:w="70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Yes</w:t>
            </w:r>
          </w:p>
        </w:tc>
        <w:tc>
          <w:tcPr>
            <w:tcW w:w="1332"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32 (29)</w:t>
            </w:r>
          </w:p>
        </w:tc>
        <w:tc>
          <w:tcPr>
            <w:tcW w:w="1194"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9 (0)</w:t>
            </w:r>
          </w:p>
        </w:tc>
        <w:tc>
          <w:tcPr>
            <w:tcW w:w="1123"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Death</w:t>
            </w:r>
          </w:p>
        </w:tc>
      </w:tr>
      <w:tr>
        <w:trPr>
          <w:trHeight w:val="872" w:hRule="atLeast"/>
        </w:trPr>
        <w:tc>
          <w:tcPr>
            <w:tcW w:w="486"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5</w:t>
            </w:r>
          </w:p>
        </w:tc>
        <w:tc>
          <w:tcPr>
            <w:tcW w:w="35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M</w:t>
            </w:r>
          </w:p>
        </w:tc>
        <w:tc>
          <w:tcPr>
            <w:tcW w:w="424"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45</w:t>
            </w:r>
          </w:p>
        </w:tc>
        <w:tc>
          <w:tcPr>
            <w:tcW w:w="1332"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None</w:t>
            </w:r>
          </w:p>
        </w:tc>
        <w:tc>
          <w:tcPr>
            <w:tcW w:w="991" w:type="dxa"/>
            <w:tcBorders/>
          </w:tcPr>
          <w:p>
            <w:pPr>
              <w:pStyle w:val="LOnormal"/>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0</w:t>
            </w:r>
          </w:p>
        </w:tc>
        <w:tc>
          <w:tcPr>
            <w:tcW w:w="988"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NP, BSI</w:t>
            </w:r>
          </w:p>
        </w:tc>
        <w:tc>
          <w:tcPr>
            <w:tcW w:w="702" w:type="dxa"/>
            <w:tcBorders/>
          </w:tcPr>
          <w:p>
            <w:pPr>
              <w:pStyle w:val="Contenutotabella"/>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N</w:t>
            </w:r>
          </w:p>
        </w:tc>
        <w:tc>
          <w:tcPr>
            <w:tcW w:w="707"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Yes</w:t>
            </w:r>
          </w:p>
        </w:tc>
        <w:tc>
          <w:tcPr>
            <w:tcW w:w="1332"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31 (28)</w:t>
            </w:r>
          </w:p>
        </w:tc>
        <w:tc>
          <w:tcPr>
            <w:tcW w:w="1194" w:type="dxa"/>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0</w:t>
            </w:r>
          </w:p>
        </w:tc>
        <w:tc>
          <w:tcPr>
            <w:tcW w:w="1123" w:type="dxa"/>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Hospital discharge</w:t>
            </w:r>
          </w:p>
        </w:tc>
      </w:tr>
      <w:tr>
        <w:trPr>
          <w:trHeight w:val="1252" w:hRule="atLeast"/>
        </w:trPr>
        <w:tc>
          <w:tcPr>
            <w:tcW w:w="486"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6</w:t>
            </w:r>
          </w:p>
        </w:tc>
        <w:tc>
          <w:tcPr>
            <w:tcW w:w="357"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M</w:t>
            </w:r>
          </w:p>
        </w:tc>
        <w:tc>
          <w:tcPr>
            <w:tcW w:w="424"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77</w:t>
            </w:r>
          </w:p>
        </w:tc>
        <w:tc>
          <w:tcPr>
            <w:tcW w:w="1332"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COPD,  aortic aneurism</w:t>
            </w:r>
          </w:p>
        </w:tc>
        <w:tc>
          <w:tcPr>
            <w:tcW w:w="991" w:type="dxa"/>
            <w:tcBorders>
              <w:bottom w:val="single" w:sz="2" w:space="0" w:color="000000"/>
            </w:tcBorders>
          </w:tcPr>
          <w:p>
            <w:pPr>
              <w:pStyle w:val="LOnormal"/>
              <w:widowControl w:val="false"/>
              <w:spacing w:lineRule="auto" w:line="480" w:before="57" w:after="57"/>
              <w:jc w:val="center"/>
              <w:rPr>
                <w:rFonts w:ascii="Times New Roman" w:hAnsi="Times New Roman"/>
                <w:sz w:val="16"/>
                <w:szCs w:val="16"/>
                <w:shd w:fill="auto" w:val="clear"/>
              </w:rPr>
            </w:pPr>
            <w:r>
              <w:rPr>
                <w:rFonts w:ascii="Times New Roman" w:hAnsi="Times New Roman"/>
                <w:sz w:val="16"/>
                <w:szCs w:val="16"/>
                <w:shd w:fill="auto" w:val="clear"/>
              </w:rPr>
              <w:t>6</w:t>
            </w:r>
          </w:p>
        </w:tc>
        <w:tc>
          <w:tcPr>
            <w:tcW w:w="988" w:type="dxa"/>
            <w:tcBorders>
              <w:bottom w:val="single" w:sz="2" w:space="0" w:color="000000"/>
            </w:tcBorders>
            <w:vAlign w:val="center"/>
          </w:tcPr>
          <w:p>
            <w:pPr>
              <w:pStyle w:val="LOnormal"/>
              <w:widowControl w:val="false"/>
              <w:spacing w:lineRule="auto" w:line="480" w:before="57" w:after="57"/>
              <w:jc w:val="center"/>
              <w:rPr>
                <w:shd w:fill="auto" w:val="clear"/>
              </w:rPr>
            </w:pPr>
            <w:r>
              <w:rPr>
                <w:rFonts w:ascii="Times New Roman" w:hAnsi="Times New Roman"/>
                <w:sz w:val="16"/>
                <w:szCs w:val="16"/>
                <w:shd w:fill="auto" w:val="clear"/>
              </w:rPr>
              <w:t>Inhalation pneumonia, BSI</w:t>
            </w:r>
          </w:p>
        </w:tc>
        <w:tc>
          <w:tcPr>
            <w:tcW w:w="702" w:type="dxa"/>
            <w:tcBorders>
              <w:bottom w:val="single" w:sz="2" w:space="0" w:color="000000"/>
            </w:tcBorders>
          </w:tcPr>
          <w:p>
            <w:pPr>
              <w:pStyle w:val="Contenutotabella"/>
              <w:widowControl w:val="false"/>
              <w:spacing w:lineRule="auto" w:line="480" w:before="57" w:after="57"/>
              <w:jc w:val="center"/>
              <w:rPr>
                <w:rFonts w:ascii="Times New Roman" w:hAnsi="Times New Roman"/>
                <w:color w:val="000000"/>
                <w:sz w:val="16"/>
                <w:szCs w:val="16"/>
                <w:shd w:fill="auto" w:val="clear"/>
              </w:rPr>
            </w:pPr>
            <w:r>
              <w:rPr>
                <w:rFonts w:ascii="Times New Roman" w:hAnsi="Times New Roman"/>
                <w:color w:val="000000"/>
                <w:sz w:val="16"/>
                <w:szCs w:val="16"/>
                <w:shd w:fill="auto" w:val="clear"/>
              </w:rPr>
              <w:t>N</w:t>
            </w:r>
          </w:p>
        </w:tc>
        <w:tc>
          <w:tcPr>
            <w:tcW w:w="707"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Yes</w:t>
            </w:r>
          </w:p>
        </w:tc>
        <w:tc>
          <w:tcPr>
            <w:tcW w:w="1332" w:type="dxa"/>
            <w:tcBorders>
              <w:bottom w:val="single" w:sz="2" w:space="0" w:color="000000"/>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19 (9)</w:t>
            </w:r>
          </w:p>
        </w:tc>
        <w:tc>
          <w:tcPr>
            <w:tcW w:w="1194" w:type="dxa"/>
            <w:tcBorders>
              <w:bottom w:val="single" w:sz="2" w:space="0" w:color="000000"/>
            </w:tcBorders>
            <w:vAlign w:val="center"/>
          </w:tcPr>
          <w:p>
            <w:pPr>
              <w:pStyle w:val="LOnormal"/>
              <w:widowControl w:val="false"/>
              <w:spacing w:lineRule="auto" w:line="480" w:before="57" w:after="57"/>
              <w:jc w:val="center"/>
              <w:rPr>
                <w:shd w:fill="auto" w:val="clear"/>
              </w:rPr>
            </w:pPr>
            <w:r>
              <w:rPr>
                <w:rFonts w:ascii="Times New Roman" w:hAnsi="Times New Roman"/>
                <w:color w:val="000000"/>
                <w:sz w:val="16"/>
                <w:szCs w:val="16"/>
                <w:shd w:fill="auto" w:val="clear"/>
              </w:rPr>
              <w:t>0</w:t>
            </w:r>
          </w:p>
        </w:tc>
        <w:tc>
          <w:tcPr>
            <w:tcW w:w="1123" w:type="dxa"/>
            <w:tcBorders>
              <w:bottom w:val="single" w:sz="2" w:space="0" w:color="000000"/>
            </w:tcBorders>
            <w:vAlign w:val="center"/>
          </w:tcPr>
          <w:p>
            <w:pPr>
              <w:pStyle w:val="Contenutotabella"/>
              <w:widowControl w:val="false"/>
              <w:spacing w:lineRule="auto" w:line="480" w:before="57" w:after="57"/>
              <w:jc w:val="center"/>
              <w:rPr>
                <w:shd w:fill="auto" w:val="clear"/>
              </w:rPr>
            </w:pPr>
            <w:r>
              <w:rPr>
                <w:rFonts w:ascii="Times New Roman" w:hAnsi="Times New Roman"/>
                <w:color w:val="000000"/>
                <w:sz w:val="16"/>
                <w:szCs w:val="16"/>
                <w:shd w:fill="auto" w:val="clear"/>
              </w:rPr>
              <w:t>Death</w:t>
            </w:r>
          </w:p>
        </w:tc>
      </w:tr>
    </w:tbl>
    <w:p>
      <w:pPr>
        <w:pStyle w:val="Normal"/>
        <w:spacing w:lineRule="auto" w:line="480"/>
        <w:rPr>
          <w:rFonts w:ascii="Times New Roman" w:hAnsi="Times New Roman"/>
          <w:shd w:fill="auto" w:val="clear"/>
        </w:rPr>
      </w:pPr>
      <w:r>
        <w:rPr>
          <w:rFonts w:ascii="Times New Roman" w:hAnsi="Times New Roman"/>
          <w:shd w:fill="auto" w:val="clear"/>
        </w:rPr>
      </w:r>
    </w:p>
    <w:p>
      <w:pPr>
        <w:pStyle w:val="Normal"/>
        <w:spacing w:lineRule="auto" w:line="480"/>
        <w:rPr>
          <w:shd w:fill="auto" w:val="clear"/>
        </w:rPr>
      </w:pPr>
      <w:r>
        <w:rPr>
          <w:rFonts w:ascii="Times New Roman" w:hAnsi="Times New Roman"/>
          <w:sz w:val="16"/>
          <w:szCs w:val="16"/>
          <w:shd w:fill="auto" w:val="clear"/>
        </w:rPr>
        <w:t>Abbreviations: TDE: total days of exposure; RE: resistance emergence; COPD: chronic obstructive pulmonary disease; OLT: orthotopic liver transplantation; VAP: ventilator-associated pneumonia; BSI: bloodstream infection; NP: necrotizing pancreatitis, CCI: Charlson comorbidity Index.</w:t>
      </w:r>
    </w:p>
    <w:p>
      <w:pPr>
        <w:pStyle w:val="Normal"/>
        <w:spacing w:lineRule="auto" w:line="480"/>
        <w:rPr>
          <w:rFonts w:ascii="Times New Roman" w:hAnsi="Times New Roman"/>
          <w:sz w:val="16"/>
          <w:szCs w:val="16"/>
          <w:shd w:fill="auto" w:val="clear"/>
        </w:rPr>
      </w:pPr>
      <w:r>
        <w:rPr>
          <w:rFonts w:ascii="Times New Roman" w:hAnsi="Times New Roman"/>
          <w:sz w:val="16"/>
          <w:szCs w:val="16"/>
          <w:shd w:fill="auto" w:val="clear"/>
        </w:rPr>
      </w:r>
    </w:p>
    <w:p>
      <w:pPr>
        <w:pStyle w:val="Normal"/>
        <w:spacing w:lineRule="auto" w:line="480"/>
        <w:rPr>
          <w:rFonts w:ascii="Times New Roman" w:hAnsi="Times New Roman"/>
          <w:b/>
          <w:b/>
          <w:bCs/>
          <w:shd w:fill="auto" w:val="clear"/>
        </w:rPr>
      </w:pPr>
      <w:r>
        <w:rPr>
          <w:rFonts w:ascii="Times New Roman" w:hAnsi="Times New Roman"/>
          <w:b/>
          <w:bCs/>
          <w:shd w:fill="auto" w:val="clear"/>
        </w:rPr>
      </w:r>
    </w:p>
    <w:p>
      <w:pPr>
        <w:pStyle w:val="Normal"/>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bidi w:val="0"/>
        <w:spacing w:lineRule="auto" w:line="480"/>
        <w:jc w:val="both"/>
        <w:rPr>
          <w:shd w:fill="auto" w:val="clear"/>
        </w:rPr>
      </w:pPr>
      <w:r>
        <w:rPr>
          <w:rFonts w:eastAsia="Noto Serif CJK SC" w:cs="Lohit Devanagari" w:ascii="Times New Roman" w:hAnsi="Times New Roman"/>
          <w:b/>
          <w:bCs/>
          <w:color w:val="000000"/>
          <w:kern w:val="2"/>
          <w:sz w:val="24"/>
          <w:szCs w:val="24"/>
          <w:shd w:fill="auto" w:val="clear"/>
          <w:lang w:val="en-US" w:eastAsia="zh-CN" w:bidi="hi-IN"/>
        </w:rPr>
        <w:t>Table S2</w:t>
      </w:r>
      <w:r>
        <w:rPr>
          <w:rFonts w:eastAsia="Noto Serif CJK SC" w:cs="Lohit Devanagari" w:ascii="Times New Roman" w:hAnsi="Times New Roman"/>
          <w:b w:val="false"/>
          <w:bCs w:val="false"/>
          <w:color w:val="000000"/>
          <w:kern w:val="2"/>
          <w:sz w:val="24"/>
          <w:szCs w:val="24"/>
          <w:shd w:fill="auto" w:val="clear"/>
          <w:lang w:val="en-US" w:eastAsia="zh-CN" w:bidi="hi-IN"/>
        </w:rPr>
        <w:t xml:space="preserve">. Genomic characteristics </w:t>
      </w:r>
      <w:r>
        <w:rPr>
          <w:rFonts w:eastAsia="Noto Serif CJK SC" w:cs="Lohit Devanagari" w:ascii="Times New Roman" w:hAnsi="Times New Roman"/>
          <w:b w:val="false"/>
          <w:bCs w:val="false"/>
          <w:i w:val="false"/>
          <w:iCs w:val="false"/>
          <w:color w:val="000000"/>
          <w:kern w:val="2"/>
          <w:sz w:val="24"/>
          <w:szCs w:val="24"/>
          <w:shd w:fill="auto" w:val="clear"/>
          <w:lang w:val="en-US" w:eastAsia="zh-CN" w:bidi="hi-IN"/>
        </w:rPr>
        <w:t xml:space="preserve">KPC-Kp </w:t>
      </w:r>
      <w:r>
        <w:rPr>
          <w:rFonts w:eastAsia="Noto Serif CJK SC" w:cs="Lohit Devanagari" w:ascii="Times New Roman" w:hAnsi="Times New Roman"/>
          <w:b w:val="false"/>
          <w:bCs w:val="false"/>
          <w:color w:val="000000"/>
          <w:kern w:val="2"/>
          <w:sz w:val="24"/>
          <w:szCs w:val="24"/>
          <w:shd w:fill="auto" w:val="clear"/>
          <w:lang w:val="en-US" w:eastAsia="zh-CN" w:bidi="hi-IN"/>
        </w:rPr>
        <w:t xml:space="preserve">isolates included in this study. </w:t>
      </w:r>
    </w:p>
    <w:p>
      <w:pPr>
        <w:pStyle w:val="Normal"/>
        <w:bidi w:val="0"/>
        <w:spacing w:lineRule="auto" w:line="480"/>
        <w:jc w:val="both"/>
        <w:rPr>
          <w:rFonts w:ascii="Times New Roman" w:hAnsi="Times New Roman" w:eastAsia="Noto Serif CJK SC" w:cs="Lohit Devanagari"/>
          <w:b w:val="false"/>
          <w:b w:val="false"/>
          <w:bCs w:val="false"/>
          <w:color w:val="auto"/>
          <w:kern w:val="2"/>
          <w:sz w:val="24"/>
          <w:szCs w:val="24"/>
          <w:shd w:fill="auto" w:val="clear"/>
          <w:lang w:val="en-US" w:eastAsia="zh-CN" w:bidi="hi-IN"/>
        </w:rPr>
      </w:pPr>
      <w:r>
        <w:rPr>
          <w:rFonts w:eastAsia="Noto Serif CJK SC" w:cs="Lohit Devanagari" w:ascii="Times New Roman" w:hAnsi="Times New Roman"/>
          <w:b w:val="false"/>
          <w:bCs w:val="false"/>
          <w:color w:val="000000"/>
          <w:kern w:val="2"/>
          <w:sz w:val="24"/>
          <w:szCs w:val="24"/>
          <w:shd w:fill="auto" w:val="clear"/>
          <w:lang w:val="en-US" w:eastAsia="zh-CN" w:bidi="hi-IN"/>
        </w:rPr>
      </w:r>
    </w:p>
    <w:tbl>
      <w:tblPr>
        <w:tblW w:w="10466" w:type="dxa"/>
        <w:jc w:val="left"/>
        <w:tblInd w:w="-294" w:type="dxa"/>
        <w:tblLayout w:type="fixed"/>
        <w:tblCellMar>
          <w:top w:w="0" w:type="dxa"/>
          <w:left w:w="0" w:type="dxa"/>
          <w:bottom w:w="0" w:type="dxa"/>
          <w:right w:w="0" w:type="dxa"/>
        </w:tblCellMar>
      </w:tblPr>
      <w:tblGrid>
        <w:gridCol w:w="1979"/>
        <w:gridCol w:w="1498"/>
        <w:gridCol w:w="720"/>
        <w:gridCol w:w="1304"/>
        <w:gridCol w:w="1250"/>
        <w:gridCol w:w="2114"/>
        <w:gridCol w:w="1600"/>
      </w:tblGrid>
      <w:tr>
        <w:trPr>
          <w:trHeight w:val="2158" w:hRule="atLeast"/>
        </w:trPr>
        <w:tc>
          <w:tcPr>
            <w:tcW w:w="1979"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Isolate name</w:t>
            </w:r>
          </w:p>
        </w:tc>
        <w:tc>
          <w:tcPr>
            <w:tcW w:w="1498"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Accession number</w:t>
            </w:r>
          </w:p>
        </w:tc>
        <w:tc>
          <w:tcPr>
            <w:tcW w:w="720"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MLST</w:t>
            </w:r>
          </w:p>
        </w:tc>
        <w:tc>
          <w:tcPr>
            <w:tcW w:w="1304"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eastAsia="Noto Serif CJK SC" w:cs="Lohit Devanagari"/>
                <w:b/>
                <w:bCs/>
                <w:i w:val="false"/>
                <w:iCs w:val="false"/>
                <w:strike w:val="false"/>
                <w:dstrike w:val="false"/>
                <w:outline w:val="false"/>
                <w:shadow w:val="false"/>
                <w:color w:val="000000"/>
                <w:sz w:val="18"/>
                <w:szCs w:val="18"/>
                <w:u w:val="none"/>
                <w:shd w:fill="auto" w:val="clear"/>
              </w:rPr>
              <w:t>β</w:t>
            </w:r>
            <w:r>
              <w:rPr>
                <w:rFonts w:ascii="Times New Roman" w:hAnsi="Times New Roman"/>
                <w:b/>
                <w:bCs/>
                <w:i w:val="false"/>
                <w:iCs w:val="false"/>
                <w:strike w:val="false"/>
                <w:dstrike w:val="false"/>
                <w:outline w:val="false"/>
                <w:shadow w:val="false"/>
                <w:color w:val="000000"/>
                <w:sz w:val="18"/>
                <w:szCs w:val="18"/>
                <w:u w:val="none"/>
                <w:shd w:fill="auto" w:val="clear"/>
              </w:rPr>
              <w:t>-lactamases</w:t>
            </w:r>
          </w:p>
        </w:tc>
        <w:tc>
          <w:tcPr>
            <w:tcW w:w="1250"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Efflux pumps</w:t>
            </w:r>
          </w:p>
        </w:tc>
        <w:tc>
          <w:tcPr>
            <w:tcW w:w="2114"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Porins</w:t>
            </w:r>
          </w:p>
        </w:tc>
        <w:tc>
          <w:tcPr>
            <w:tcW w:w="1600" w:type="dxa"/>
            <w:tcBorders>
              <w:top w:val="single" w:sz="6" w:space="0" w:color="000000"/>
              <w:bottom w:val="single" w:sz="6" w:space="0" w:color="000000"/>
            </w:tcBorders>
            <w:vAlign w:val="center"/>
          </w:tcPr>
          <w:p>
            <w:pPr>
              <w:pStyle w:val="Contenutotabella"/>
              <w:widowControl w:val="false"/>
              <w:bidi w:val="0"/>
              <w:spacing w:lineRule="auto" w:line="480"/>
              <w:jc w:val="center"/>
              <w:rPr>
                <w:sz w:val="18"/>
                <w:szCs w:val="18"/>
                <w:shd w:fill="auto" w:val="clear"/>
              </w:rPr>
            </w:pPr>
            <w:r>
              <w:rPr>
                <w:rFonts w:ascii="Times New Roman" w:hAnsi="Times New Roman"/>
                <w:b/>
                <w:bCs/>
                <w:i w:val="false"/>
                <w:iCs w:val="false"/>
                <w:strike w:val="false"/>
                <w:dstrike w:val="false"/>
                <w:outline w:val="false"/>
                <w:shadow w:val="false"/>
                <w:color w:val="000000"/>
                <w:sz w:val="18"/>
                <w:szCs w:val="18"/>
                <w:u w:val="none"/>
                <w:shd w:fill="auto" w:val="clear"/>
              </w:rPr>
              <w:t>Plasmid replicons</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BOT-CA-S</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SAMEA104168630</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1519</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TEM-1A</w:t>
              <w:br/>
              <w:t>SHV-11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88</w:t>
              <w:br/>
              <w:t>OmpK36 INS135GD</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rFonts w:ascii="Times New Roman" w:hAnsi="Times New Roman"/>
                <w:shd w:fill="auto" w:val="clear"/>
              </w:rPr>
            </w:pPr>
            <w:r>
              <w:rPr>
                <w:rFonts w:ascii="Times New Roman" w:hAnsi="Times New Roman"/>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ColRNAI</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IncFIB(K)</w:t>
              <w:br/>
              <w:t>IncFIB(pKPHS1)</w:t>
              <w:br/>
              <w:t>IncFIB(pQil)</w:t>
              <w:br/>
              <w:t>IncFII</w:t>
              <w:br/>
              <w:t>IncFII(K)</w:t>
              <w:br/>
              <w:t>IncX3</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BOT-EMO</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SAMEA104168632</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1519</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KPC-31 (D179Y)</w:t>
              <w:br/>
              <w:t>TEM-1A</w:t>
              <w:br/>
              <w:t>SHV-11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88</w:t>
              <w:br/>
              <w:t>OmpK36 INS135GD</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rFonts w:ascii="Times New Roman" w:hAnsi="Times New Roman"/>
                <w:shd w:fill="auto" w:val="clear"/>
              </w:rPr>
            </w:pPr>
            <w:r>
              <w:rPr>
                <w:rFonts w:ascii="Times New Roman" w:hAnsi="Times New Roman"/>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Col(BS512)</w:t>
              <w:br/>
              <w:t>ColRNAI</w:t>
              <w:br/>
              <w:t>IncFIB(K)</w:t>
              <w:br/>
              <w:t>IncFIB(pKPHS1)</w:t>
              <w:br/>
              <w:t>IncFIB(pQil)</w:t>
              <w:br/>
              <w:t>IncFII(K)</w:t>
              <w:br/>
              <w:t>IncX3</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CAZ26</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SAMN28544949</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TEM-1</w:t>
              <w:br/>
              <w:t>SHV-28</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sz w:val="18"/>
                <w:szCs w:val="18"/>
                <w:shd w:fill="auto" w:val="clear"/>
              </w:rPr>
            </w:pPr>
            <w:r>
              <w:rPr>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229</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IncFIB(K)</w:t>
              <w:br/>
              <w:t>IncFIB(pQil)</w:t>
              <w:br/>
              <w:t>IncFII(K)</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CAZ30</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SAMN28544950</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KPC-31 (D179Y)</w:t>
              <w:br/>
              <w:t>SHV-28</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rFonts w:ascii="Times New Roman" w:hAnsi="Times New Roman"/>
                <w:shd w:fill="auto" w:val="clear"/>
              </w:rPr>
            </w:pPr>
            <w:r>
              <w:rPr>
                <w:rFonts w:ascii="Times New Roman" w:hAnsi="Times New Roman"/>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229</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IncFIB(K)</w:t>
              <w:br/>
              <w:t>IncFII(K)</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CAZ83</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SAMN27122152</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TEM-1</w:t>
              <w:br/>
              <w:t>SHV-28</w:t>
              <w:br/>
              <w:t>CTX-M-15</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OXA-66</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229</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IncFIB(K)</w:t>
              <w:br/>
              <w:t>IncFIB(pQil)</w:t>
              <w:br/>
              <w:t>IncFII(K)</w:t>
            </w:r>
          </w:p>
        </w:tc>
      </w:tr>
      <w:tr>
        <w:trPr>
          <w:trHeight w:val="264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CAZ85</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SAMN28544955</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KPC-31 (D179Y)</w:t>
              <w:br/>
              <w:t>TEM-1</w:t>
              <w:br/>
              <w:t>SHV-28</w:t>
              <w:br/>
              <w:t>CTX-M-15</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229</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IncFIB(K)</w:t>
              <w:br/>
              <w:t>IncFIB(pQil)</w:t>
              <w:br/>
              <w:t>IncFII(K)</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BAT68</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SAMN28544959</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1519</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TEM</w:t>
              <w:br/>
              <w:t>SHV-11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41</w:t>
              <w:br/>
              <w:t>OmpK36 INS135GD</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Col(BS512)</w:t>
              <w:br/>
              <w:t>ColRNAI</w:t>
              <w:br/>
              <w:t>IncFIB(pKPHS1)</w:t>
              <w:br/>
              <w:t>IncFIB(pQil)</w:t>
              <w:br/>
              <w:t>IncFII(K)</w:t>
            </w:r>
          </w:p>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CAZ90</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SAMN28544958</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1519</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KPC-130 (D179G)</w:t>
              <w:br/>
              <w:t>TEM-128</w:t>
              <w:br/>
              <w:t>SHV-11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41</w:t>
              <w:br/>
              <w:t>OmpK36 INS135GD</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Col(BS512)</w:t>
              <w:br/>
              <w:t>ColRNAI</w:t>
              <w:br/>
              <w:t>IncFIB(pKPHS1)</w:t>
              <w:br/>
              <w:t>IncFIB(pQil)</w:t>
              <w:br/>
              <w:t>IncFII(K)</w:t>
            </w:r>
          </w:p>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CAZ89</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SAMN27122153</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TEM-1</w:t>
              <w:br/>
              <w:t>SHV-28</w:t>
              <w:br/>
              <w:t>OXA-1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wild-type</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ColRNAI</w:t>
              <w:br/>
              <w:t>IncFIB(K)</w:t>
              <w:br/>
              <w:t>IncFIB(pQil)</w:t>
              <w:br/>
              <w:t>IncFII(K)</w:t>
            </w:r>
          </w:p>
        </w:tc>
      </w:tr>
      <w:tr>
        <w:trPr>
          <w:trHeight w:val="2158" w:hRule="atLeast"/>
        </w:trPr>
        <w:tc>
          <w:tcPr>
            <w:tcW w:w="1979"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CAZ107</w:t>
            </w:r>
          </w:p>
        </w:tc>
        <w:tc>
          <w:tcPr>
            <w:tcW w:w="1498"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SAMN27122154</w:t>
            </w:r>
          </w:p>
        </w:tc>
        <w:tc>
          <w:tcPr>
            <w:tcW w:w="72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307</w:t>
            </w:r>
          </w:p>
        </w:tc>
        <w:tc>
          <w:tcPr>
            <w:tcW w:w="130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KPC-31 (D179Y)</w:t>
              <w:br/>
              <w:t>TEM-1</w:t>
              <w:br/>
              <w:t>SHV-28</w:t>
              <w:br/>
              <w:t>OXA-1</w:t>
            </w:r>
          </w:p>
        </w:tc>
        <w:tc>
          <w:tcPr>
            <w:tcW w:w="125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OqxB19</w:t>
            </w:r>
          </w:p>
        </w:tc>
        <w:tc>
          <w:tcPr>
            <w:tcW w:w="2114"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wild-type</w:t>
              <w:br/>
              <w:t>OmpK36 truncated at aa 182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ColRNAI</w:t>
              <w:br/>
              <w:t>IncFIB(K)</w:t>
              <w:br/>
              <w:t>IncFIB(pQil)</w:t>
              <w:br/>
              <w:t>IncFII(K)</w:t>
            </w:r>
          </w:p>
        </w:tc>
      </w:tr>
      <w:tr>
        <w:trPr>
          <w:trHeight w:val="4185" w:hRule="atLeast"/>
        </w:trPr>
        <w:tc>
          <w:tcPr>
            <w:tcW w:w="1979" w:type="dxa"/>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CAZ112</w:t>
            </w:r>
          </w:p>
        </w:tc>
        <w:tc>
          <w:tcPr>
            <w:tcW w:w="1498" w:type="dxa"/>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SAMN20348483</w:t>
            </w:r>
          </w:p>
        </w:tc>
        <w:tc>
          <w:tcPr>
            <w:tcW w:w="720" w:type="dxa"/>
            <w:tcBorders/>
            <w:tcMar>
              <w:top w:w="55" w:type="dxa"/>
              <w:left w:w="55" w:type="dxa"/>
              <w:bottom w:w="55" w:type="dxa"/>
              <w:right w:w="55" w:type="dxa"/>
            </w:tcMar>
            <w:vAlign w:val="center"/>
          </w:tcPr>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101</w:t>
            </w:r>
          </w:p>
        </w:tc>
        <w:tc>
          <w:tcPr>
            <w:tcW w:w="1304" w:type="dxa"/>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w:t>
              <w:br/>
              <w:t>SHV-28</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SHV-106</w:t>
            </w:r>
          </w:p>
        </w:tc>
        <w:tc>
          <w:tcPr>
            <w:tcW w:w="1250" w:type="dxa"/>
            <w:tcBorders/>
            <w:tcMar>
              <w:top w:w="55" w:type="dxa"/>
              <w:left w:w="55" w:type="dxa"/>
              <w:bottom w:w="55" w:type="dxa"/>
              <w:right w:w="55" w:type="dxa"/>
            </w:tcMar>
            <w:vAlign w:val="center"/>
          </w:tcPr>
          <w:p>
            <w:pPr>
              <w:pStyle w:val="Contenutotabella"/>
              <w:widowControl w:val="false"/>
              <w:spacing w:lineRule="auto" w:line="480"/>
              <w:jc w:val="center"/>
              <w:rPr>
                <w:rFonts w:ascii="Times New Roman" w:hAnsi="Times New Roman"/>
                <w:sz w:val="18"/>
                <w:szCs w:val="18"/>
                <w:shd w:fill="auto" w:val="clear"/>
              </w:rPr>
            </w:pPr>
            <w:r>
              <w:rPr>
                <w:rFonts w:ascii="Times New Roman" w:hAnsi="Times New Roman"/>
                <w:sz w:val="18"/>
                <w:szCs w:val="18"/>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OqxB20</w:t>
            </w:r>
          </w:p>
        </w:tc>
        <w:tc>
          <w:tcPr>
            <w:tcW w:w="2114" w:type="dxa"/>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61</w:t>
              <w:br/>
              <w:t>OmpK36 truncated at aa 62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Col156</w:t>
              <w:br/>
              <w:t>Col440II</w:t>
              <w:br/>
              <w:t>ColRNAI</w:t>
              <w:br/>
              <w:t>IncFIA(HI1)</w:t>
              <w:br/>
              <w:t>IncFIB(K)</w:t>
              <w:br/>
              <w:t>IncFIB(Mar)</w:t>
              <w:br/>
              <w:t>IncFII(K)</w:t>
              <w:br/>
              <w:t>IncHI1B</w:t>
              <w:br/>
              <w:t>IncR</w:t>
            </w:r>
          </w:p>
        </w:tc>
      </w:tr>
      <w:tr>
        <w:trPr>
          <w:trHeight w:val="2158" w:hRule="atLeast"/>
        </w:trPr>
        <w:tc>
          <w:tcPr>
            <w:tcW w:w="1979"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CAZ147</w:t>
            </w:r>
          </w:p>
        </w:tc>
        <w:tc>
          <w:tcPr>
            <w:tcW w:w="1498"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SAMN20348486</w:t>
            </w:r>
          </w:p>
        </w:tc>
        <w:tc>
          <w:tcPr>
            <w:tcW w:w="720"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101</w:t>
            </w:r>
          </w:p>
        </w:tc>
        <w:tc>
          <w:tcPr>
            <w:tcW w:w="1304"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KPC-31 (D179Y)</w:t>
              <w:br/>
              <w:t>SHV-28</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SHV-106</w:t>
            </w:r>
          </w:p>
        </w:tc>
        <w:tc>
          <w:tcPr>
            <w:tcW w:w="1250"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EmrD</w:t>
              <w:br/>
              <w:t>OqxA</w:t>
              <w:br/>
              <w:t>OqxB20</w:t>
            </w:r>
          </w:p>
        </w:tc>
        <w:tc>
          <w:tcPr>
            <w:tcW w:w="2114"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OmpK35 truncated at aa 61</w:t>
              <w:br/>
              <w:t>OmpK36 truncated at aa 62</w:t>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OmpK37 wild-type</w:t>
            </w:r>
          </w:p>
        </w:tc>
        <w:tc>
          <w:tcPr>
            <w:tcW w:w="1600" w:type="dxa"/>
            <w:tcBorders>
              <w:bottom w:val="single" w:sz="4" w:space="0" w:color="000000"/>
            </w:tcBorders>
            <w:tcMar>
              <w:top w:w="55" w:type="dxa"/>
              <w:left w:w="55" w:type="dxa"/>
              <w:bottom w:w="55" w:type="dxa"/>
              <w:right w:w="55" w:type="dxa"/>
            </w:tcMar>
            <w:vAlign w:val="center"/>
          </w:tcPr>
          <w:p>
            <w:pPr>
              <w:pStyle w:val="Contenutotabella"/>
              <w:widowControl w:val="false"/>
              <w:spacing w:lineRule="auto" w:line="480"/>
              <w:jc w:val="center"/>
              <w:rPr>
                <w:rFonts w:ascii="Times New Roman" w:hAnsi="Times New Roman"/>
                <w:shd w:fill="auto" w:val="clear"/>
              </w:rPr>
            </w:pPr>
            <w:r>
              <w:rPr>
                <w:rFonts w:ascii="Times New Roman" w:hAnsi="Times New Roman"/>
                <w:shd w:fill="auto" w:val="clear"/>
              </w:rPr>
            </w:r>
          </w:p>
          <w:p>
            <w:pPr>
              <w:pStyle w:val="Contenutotabella"/>
              <w:widowControl w:val="false"/>
              <w:spacing w:lineRule="auto" w:line="480"/>
              <w:jc w:val="center"/>
              <w:rPr>
                <w:sz w:val="18"/>
                <w:szCs w:val="18"/>
                <w:shd w:fill="auto" w:val="clear"/>
              </w:rPr>
            </w:pPr>
            <w:r>
              <w:rPr>
                <w:rFonts w:ascii="Times New Roman" w:hAnsi="Times New Roman"/>
                <w:sz w:val="18"/>
                <w:szCs w:val="18"/>
                <w:shd w:fill="auto" w:val="clear"/>
              </w:rPr>
              <w:t>Col440II</w:t>
              <w:br/>
              <w:t>ColRNAI</w:t>
              <w:br/>
              <w:t>IncFIA(HI1)</w:t>
              <w:br/>
              <w:t>IncFIB(K)</w:t>
              <w:br/>
              <w:t>IncFIB(Mar)</w:t>
              <w:br/>
              <w:t>IncFII(K)</w:t>
              <w:br/>
              <w:t>IncHI1B</w:t>
              <w:br/>
              <w:t>IncR</w:t>
            </w:r>
          </w:p>
        </w:tc>
      </w:tr>
    </w:tbl>
    <w:p>
      <w:pPr>
        <w:pStyle w:val="Normal"/>
        <w:bidi w:val="0"/>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bidi w:val="0"/>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bidi w:val="0"/>
        <w:spacing w:lineRule="auto" w:line="480"/>
        <w:jc w:val="both"/>
        <w:rPr>
          <w:rFonts w:ascii="Times New Roman" w:hAnsi="Times New Roman"/>
          <w:b/>
          <w:b/>
          <w:bCs/>
          <w:shd w:fill="auto" w:val="clear"/>
        </w:rPr>
      </w:pPr>
      <w:r>
        <w:rPr>
          <w:rFonts w:ascii="Times New Roman" w:hAnsi="Times New Roman"/>
          <w:b/>
          <w:bCs/>
          <w:shd w:fill="auto" w:val="clear"/>
        </w:rPr>
      </w:r>
    </w:p>
    <w:p>
      <w:pPr>
        <w:pStyle w:val="Normal"/>
        <w:bidi w:val="0"/>
        <w:spacing w:lineRule="auto" w:line="480"/>
        <w:jc w:val="both"/>
        <w:rPr>
          <w:rFonts w:ascii="Times New Roman" w:hAnsi="Times New Roman" w:eastAsia="Noto Serif CJK SC" w:cs="Lohit Devanagari"/>
          <w:b w:val="false"/>
          <w:b w:val="false"/>
          <w:bCs w:val="false"/>
          <w:color w:val="auto"/>
          <w:kern w:val="2"/>
          <w:sz w:val="24"/>
          <w:szCs w:val="24"/>
          <w:shd w:fill="auto" w:val="clear"/>
          <w:lang w:val="en-US" w:eastAsia="zh-CN" w:bidi="hi-IN"/>
        </w:rPr>
      </w:pPr>
      <w:r>
        <w:rPr>
          <w:rFonts w:eastAsia="Noto Serif CJK SC" w:cs="Lohit Devanagari" w:ascii="Times New Roman" w:hAnsi="Times New Roman"/>
          <w:b w:val="false"/>
          <w:bCs w:val="false"/>
          <w:color w:val="000000"/>
          <w:kern w:val="2"/>
          <w:sz w:val="24"/>
          <w:szCs w:val="24"/>
          <w:shd w:fill="auto" w:val="clear"/>
          <w:lang w:val="en-US" w:eastAsia="zh-CN" w:bidi="hi-IN"/>
        </w:rPr>
      </w:r>
    </w:p>
    <w:p>
      <w:pPr>
        <w:pStyle w:val="Normal"/>
        <w:bidi w:val="0"/>
        <w:spacing w:lineRule="auto" w:line="480"/>
        <w:jc w:val="both"/>
        <w:rPr>
          <w:rFonts w:ascii="Times New Roman" w:hAnsi="Times New Roman" w:eastAsia="Noto Serif CJK SC" w:cs="Lohit Devanagari"/>
          <w:b w:val="false"/>
          <w:b w:val="false"/>
          <w:bCs w:val="false"/>
          <w:color w:val="auto"/>
          <w:kern w:val="2"/>
          <w:sz w:val="24"/>
          <w:szCs w:val="24"/>
          <w:shd w:fill="auto" w:val="clear"/>
          <w:lang w:val="en-US" w:eastAsia="zh-CN" w:bidi="hi-IN"/>
        </w:rPr>
      </w:pPr>
      <w:r>
        <w:rPr>
          <w:rFonts w:eastAsia="Noto Serif CJK SC" w:cs="Lohit Devanagari" w:ascii="Times New Roman" w:hAnsi="Times New Roman"/>
          <w:b w:val="false"/>
          <w:bCs w:val="false"/>
          <w:color w:val="000000"/>
          <w:kern w:val="2"/>
          <w:sz w:val="24"/>
          <w:szCs w:val="24"/>
          <w:shd w:fill="auto" w:val="clear"/>
          <w:lang w:val="en-US" w:eastAsia="zh-CN" w:bidi="hi-IN"/>
        </w:rPr>
      </w:r>
    </w:p>
    <w:p>
      <w:pPr>
        <w:pStyle w:val="Normal"/>
        <w:bidi w:val="0"/>
        <w:spacing w:lineRule="auto" w:line="480"/>
        <w:jc w:val="both"/>
        <w:rPr>
          <w:rFonts w:ascii="Times New Roman" w:hAnsi="Times New Roman" w:eastAsia="Noto Serif CJK SC" w:cs="Lohit Devanagari"/>
          <w:b w:val="false"/>
          <w:b w:val="false"/>
          <w:bCs w:val="false"/>
          <w:color w:val="auto"/>
          <w:kern w:val="2"/>
          <w:sz w:val="24"/>
          <w:szCs w:val="24"/>
          <w:shd w:fill="auto" w:val="clear"/>
          <w:lang w:val="en-US" w:eastAsia="zh-CN" w:bidi="hi-IN"/>
        </w:rPr>
      </w:pPr>
      <w:r>
        <w:rPr>
          <w:rFonts w:eastAsia="Noto Serif CJK SC" w:cs="Lohit Devanagari" w:ascii="Times New Roman" w:hAnsi="Times New Roman"/>
          <w:b w:val="false"/>
          <w:bCs w:val="false"/>
          <w:color w:val="000000"/>
          <w:kern w:val="2"/>
          <w:sz w:val="24"/>
          <w:szCs w:val="24"/>
          <w:shd w:fill="auto" w:val="clear"/>
          <w:lang w:val="en-US" w:eastAsia="zh-CN" w:bidi="hi-IN"/>
        </w:rPr>
      </w:r>
    </w:p>
    <w:p>
      <w:pPr>
        <w:pStyle w:val="Normal"/>
        <w:bidi w:val="0"/>
        <w:spacing w:lineRule="auto" w:line="480"/>
        <w:jc w:val="both"/>
        <w:rPr>
          <w:rFonts w:ascii="Times New Roman" w:hAnsi="Times New Roman" w:eastAsia="Noto Serif CJK SC" w:cs="Lohit Devanagari"/>
          <w:b w:val="false"/>
          <w:b w:val="false"/>
          <w:bCs w:val="false"/>
          <w:color w:val="auto"/>
          <w:kern w:val="2"/>
          <w:sz w:val="24"/>
          <w:szCs w:val="24"/>
          <w:shd w:fill="auto" w:val="clear"/>
          <w:lang w:val="en-US" w:eastAsia="zh-CN" w:bidi="hi-IN"/>
        </w:rPr>
      </w:pPr>
      <w:r>
        <w:rPr>
          <w:rFonts w:eastAsia="Noto Serif CJK SC" w:cs="Lohit Devanagari" w:ascii="Times New Roman" w:hAnsi="Times New Roman"/>
          <w:b w:val="false"/>
          <w:bCs w:val="false"/>
          <w:color w:val="000000"/>
          <w:kern w:val="2"/>
          <w:sz w:val="24"/>
          <w:szCs w:val="24"/>
          <w:shd w:fill="auto" w:val="clear"/>
          <w:lang w:val="en-US" w:eastAsia="zh-CN" w:bidi="hi-IN"/>
        </w:rPr>
      </w:r>
    </w:p>
    <w:p>
      <w:pPr>
        <w:pStyle w:val="Normal"/>
        <w:spacing w:lineRule="auto" w:line="480"/>
        <w:jc w:val="both"/>
        <w:rPr>
          <w:shd w:fill="auto" w:val="clear"/>
        </w:rPr>
      </w:pPr>
      <w:r>
        <w:rPr>
          <w:rFonts w:ascii="Times New Roman" w:hAnsi="Times New Roman"/>
          <w:b/>
          <w:bCs/>
          <w:shd w:fill="auto" w:val="clear"/>
        </w:rPr>
        <w:t>Supplementary Figure 1</w:t>
      </w:r>
      <w:r>
        <w:rPr>
          <w:rFonts w:ascii="Times New Roman" w:hAnsi="Times New Roman"/>
          <w:shd w:fill="auto" w:val="clear"/>
        </w:rPr>
        <w:t>. Phylogenetic tree of a selection of KPC-Kp isolates collected in Northern Italy between 2011 and 2021. Isolate NJST2581 was used as reference. Isolates included in this study are highlighted in grey.</w:t>
      </w:r>
    </w:p>
    <w:p>
      <w:pPr>
        <w:pStyle w:val="Normal"/>
        <w:spacing w:lineRule="auto" w:line="480"/>
        <w:jc w:val="both"/>
        <w:rPr>
          <w:rFonts w:ascii="Times New Roman" w:hAnsi="Times New Roman"/>
          <w:shd w:fill="auto" w:val="clear"/>
        </w:rPr>
      </w:pPr>
      <w:r>
        <w:rPr>
          <w:rFonts w:ascii="Times New Roman" w:hAnsi="Times New Roman"/>
          <w:shd w:fill="auto" w:val="clear"/>
        </w:rPr>
      </w:r>
    </w:p>
    <w:p>
      <w:pPr>
        <w:pStyle w:val="Normal"/>
        <w:spacing w:lineRule="auto" w:line="480"/>
        <w:jc w:val="both"/>
        <w:rPr>
          <w:shd w:fill="auto" w:val="clear"/>
        </w:rPr>
      </w:pPr>
      <w:r>
        <w:rPr>
          <w:shd w:fill="auto" w:val="clea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749617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rcRect l="0" t="0" r="0" b="639"/>
                    <a:stretch>
                      <a:fillRect/>
                    </a:stretch>
                  </pic:blipFill>
                  <pic:spPr bwMode="auto">
                    <a:xfrm>
                      <a:off x="0" y="0"/>
                      <a:ext cx="6120130" cy="7496175"/>
                    </a:xfrm>
                    <a:prstGeom prst="rect">
                      <a:avLst/>
                    </a:prstGeom>
                  </pic:spPr>
                </pic:pic>
              </a:graphicData>
            </a:graphic>
          </wp:anchor>
        </w:drawing>
      </w:r>
    </w:p>
    <w:sectPr>
      <w:type w:val="nextPage"/>
      <w:pgSz w:w="11906" w:h="16838"/>
      <w:pgMar w:left="1134" w:right="1134" w:header="0" w:top="1134" w:footer="0" w:bottom="1134" w:gutter="0"/>
      <w:lnNumType w:countBy="1" w:restart="continuous" w:distance="283"/>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 w:name="Arial">
    <w:charset w:val="01"/>
    <w:family w:val="roman"/>
    <w:pitch w:val="variable"/>
  </w:font>
  <w:font w:name="Times New Roman">
    <w:charset w:val="01"/>
    <w:family w:val="roman"/>
    <w:pitch w:val="variable"/>
  </w:font>
</w:fonts>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2"/>
    <w:compatSetting w:name="useWord2013TrackBottomHyphenation"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kern w:val="2"/>
        <w:sz w:val="24"/>
        <w:szCs w:val="24"/>
        <w:lang w:val="en-US"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Liberation Serif" w:hAnsi="Liberation Serif" w:eastAsia="Noto Serif CJK SC" w:cs="Lohit Devanagari"/>
      <w:color w:val="auto"/>
      <w:kern w:val="2"/>
      <w:sz w:val="24"/>
      <w:szCs w:val="24"/>
      <w:lang w:val="en-US" w:eastAsia="zh-CN" w:bidi="hi-IN"/>
    </w:rPr>
  </w:style>
  <w:style w:type="character" w:styleId="DefaultParagraphFont" w:default="1">
    <w:name w:val="Default Paragraph Font"/>
    <w:uiPriority w:val="1"/>
    <w:semiHidden/>
    <w:unhideWhenUsed/>
    <w:qFormat/>
    <w:rPr/>
  </w:style>
  <w:style w:type="character" w:styleId="Linenumber">
    <w:name w:val="line number"/>
    <w:qFormat/>
    <w:rPr/>
  </w:style>
  <w:style w:type="character" w:styleId="LineNumbering">
    <w:name w:val="Line Numbering"/>
    <w:rPr/>
  </w:style>
  <w:style w:type="paragraph" w:styleId="Heading" w:customStyle="1">
    <w:name w:val="Heading"/>
    <w:basedOn w:val="Normal"/>
    <w:next w:val="TextBody"/>
    <w:qFormat/>
    <w:pPr>
      <w:keepNext w:val="true"/>
      <w:spacing w:before="240" w:after="120"/>
    </w:pPr>
    <w:rPr>
      <w:rFonts w:ascii="Liberation Sans" w:hAnsi="Liberation Sans" w:eastAsia="Noto Sans CJK SC"/>
      <w:sz w:val="28"/>
      <w:szCs w:val="28"/>
    </w:rPr>
  </w:style>
  <w:style w:type="paragraph" w:styleId="TextBody">
    <w:name w:val="Body Text"/>
    <w:basedOn w:val="Normal"/>
    <w:pPr>
      <w:spacing w:lineRule="auto" w:line="276"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Arial Unicode MS"/>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Title">
    <w:name w:val="Title"/>
    <w:basedOn w:val="Normal"/>
    <w:next w:val="TextBody"/>
    <w:uiPriority w:val="10"/>
    <w:qFormat/>
    <w:pPr>
      <w:keepNext w:val="true"/>
      <w:spacing w:before="240" w:after="120"/>
    </w:pPr>
    <w:rPr>
      <w:rFonts w:ascii="Liberation Sans" w:hAnsi="Liberation Sans" w:eastAsia="Noto Sans CJK SC"/>
      <w:sz w:val="28"/>
      <w:szCs w:val="28"/>
    </w:rPr>
  </w:style>
  <w:style w:type="paragraph" w:styleId="Indice" w:customStyle="1">
    <w:name w:val="Indice"/>
    <w:basedOn w:val="Normal"/>
    <w:qFormat/>
    <w:pPr>
      <w:suppressLineNumbers/>
    </w:pPr>
    <w:rPr/>
  </w:style>
  <w:style w:type="paragraph" w:styleId="Contenutotabella" w:customStyle="1">
    <w:name w:val="Contenuto tabella"/>
    <w:basedOn w:val="Normal"/>
    <w:qFormat/>
    <w:pPr>
      <w:widowControl w:val="false"/>
      <w:suppressLineNumbers/>
    </w:pPr>
    <w:rPr/>
  </w:style>
  <w:style w:type="paragraph" w:styleId="LOnormal" w:customStyle="1">
    <w:name w:val="LO-normal"/>
    <w:qFormat/>
    <w:pPr>
      <w:widowControl/>
      <w:suppressAutoHyphens w:val="true"/>
      <w:bidi w:val="0"/>
      <w:spacing w:lineRule="auto" w:line="276" w:before="0" w:after="0"/>
      <w:jc w:val="left"/>
    </w:pPr>
    <w:rPr>
      <w:rFonts w:ascii="Arial" w:hAnsi="Arial" w:eastAsia="Arial" w:cs="Arial"/>
      <w:color w:val="auto"/>
      <w:kern w:val="0"/>
      <w:sz w:val="22"/>
      <w:szCs w:val="22"/>
      <w:lang w:val="it-IT" w:eastAsia="zh-CN" w:bidi="hi-IN"/>
    </w:rPr>
  </w:style>
  <w:style w:type="paragraph" w:styleId="Titolotabella" w:customStyle="1">
    <w:name w:val="Titolo tabella"/>
    <w:basedOn w:val="Contenutotabella"/>
    <w:qFormat/>
    <w:pPr>
      <w:jc w:val="center"/>
    </w:pPr>
    <w:rPr>
      <w:b/>
      <w:bCs/>
    </w:rPr>
  </w:style>
  <w:style w:type="paragraph" w:styleId="HeaderandFooter" w:customStyle="1">
    <w:name w:val="Header and Footer"/>
    <w:basedOn w:val="Normal"/>
    <w:qFormat/>
    <w:pPr>
      <w:suppressLineNumbers/>
      <w:tabs>
        <w:tab w:val="clear" w:pos="709"/>
        <w:tab w:val="center" w:pos="4819" w:leader="none"/>
        <w:tab w:val="right" w:pos="9638" w:leader="none"/>
      </w:tabs>
    </w:pPr>
    <w:rPr/>
  </w:style>
  <w:style w:type="paragraph" w:styleId="Footer">
    <w:name w:val="Footer"/>
    <w:basedOn w:val="HeaderandFooter"/>
    <w:pPr>
      <w:suppressLineNumbers/>
    </w:pPr>
    <w:rPr/>
  </w:style>
  <w:style w:type="paragraph" w:styleId="Header">
    <w:name w:val="Header"/>
    <w:basedOn w:val="HeaderandFooter"/>
    <w:pPr>
      <w:suppressLineNumbers/>
    </w:pPr>
    <w:rPr/>
  </w:style>
  <w:style w:type="paragraph" w:styleId="TableContents" w:customStyle="1">
    <w:name w:val="Table Contents"/>
    <w:basedOn w:val="Normal"/>
    <w:qFormat/>
    <w:pPr>
      <w:widowControl w:val="false"/>
      <w:suppressLineNumbers/>
    </w:pPr>
    <w:rPr/>
  </w:style>
  <w:style w:type="paragraph" w:styleId="TableHeading" w:customStyle="1">
    <w:name w:val="Table Heading"/>
    <w:basedOn w:val="TableContents"/>
    <w:qFormat/>
    <w:pPr>
      <w:jc w:val="center"/>
    </w:pPr>
    <w:rPr>
      <w:b/>
      <w:bCs/>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LibreOffice/7.1.8.1$MacOSX_X86_64 LibreOffice_project/e1f30c802c3269a1d052614453f260e49458c82c</Application>
  <AppVersion>15.0000</AppVersion>
  <Pages>5</Pages>
  <Words>555</Words>
  <Characters>3202</Characters>
  <CharactersWithSpaces>3570</CharactersWithSpaces>
  <Paragraphs>190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2023-07-12T12:13:00Z</dcterms:created>
  <dc:creator>Stefano Amadesi</dc:creator>
  <dc:description/>
  <dc:language>en-US</dc:language>
  <cp:lastModifiedBy>Paolo Gaibani</cp:lastModifiedBy>
  <dcterms:modified xsi:type="dcterms:W3CDTF">2024-04-03T16:44:50Z</dcterms:modified>
  <cp:revision>37</cp:revision>
  <dc:subject/>
  <dc:title/>
</cp:coreProperties>
</file>

<file path=docProps/custom.xml><?xml version="1.0" encoding="utf-8"?>
<Properties xmlns="http://schemas.openxmlformats.org/officeDocument/2006/custom-properties" xmlns:vt="http://schemas.openxmlformats.org/officeDocument/2006/docPropsVTypes"/>
</file>