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62B1C" w:rsidRDefault="00262B1C" w:rsidP="00262B1C">
      <w:pPr>
        <w:widowControl w:val="0"/>
        <w:spacing w:after="0" w:line="360" w:lineRule="auto"/>
        <w:ind w:left="360"/>
        <w:rPr>
          <w:b/>
          <w:color w:val="auto"/>
          <w:lang w:val="en-GB"/>
        </w:rPr>
      </w:pPr>
      <w:r w:rsidRPr="00273FB2">
        <w:rPr>
          <w:b/>
          <w:color w:val="auto"/>
          <w:lang w:val="en-GB"/>
        </w:rPr>
        <w:t>Supplementary Materials</w:t>
      </w:r>
    </w:p>
    <w:p w:rsidR="00173393" w:rsidRDefault="00173393" w:rsidP="00262B1C">
      <w:pPr>
        <w:widowControl w:val="0"/>
        <w:spacing w:after="0" w:line="360" w:lineRule="auto"/>
        <w:ind w:left="360"/>
        <w:rPr>
          <w:b/>
          <w:color w:val="auto"/>
          <w:lang w:val="en-GB"/>
        </w:rPr>
      </w:pPr>
    </w:p>
    <w:p w:rsidR="00DB1C8F" w:rsidRPr="00DB1C8F" w:rsidRDefault="00DB1C8F" w:rsidP="00262B1C">
      <w:pPr>
        <w:widowControl w:val="0"/>
        <w:spacing w:after="0" w:line="360" w:lineRule="auto"/>
        <w:ind w:left="360"/>
        <w:rPr>
          <w:b/>
          <w:color w:val="auto"/>
          <w:lang w:val="en-GB"/>
        </w:rPr>
      </w:pPr>
      <w:r w:rsidRPr="00DB1C8F">
        <w:rPr>
          <w:b/>
          <w:color w:val="auto"/>
          <w:lang w:val="en-GB"/>
        </w:rPr>
        <w:t>ELN2022 risk classification</w:t>
      </w:r>
    </w:p>
    <w:p w:rsidR="00DB1C8F" w:rsidRDefault="00DB1C8F" w:rsidP="009867D4">
      <w:pPr>
        <w:widowControl w:val="0"/>
        <w:spacing w:after="0" w:line="360" w:lineRule="auto"/>
        <w:ind w:left="360"/>
        <w:jc w:val="both"/>
        <w:rPr>
          <w:color w:val="auto"/>
          <w:lang w:val="en-GB"/>
        </w:rPr>
      </w:pPr>
      <w:r w:rsidRPr="00DB1C8F">
        <w:rPr>
          <w:color w:val="auto"/>
          <w:lang w:val="en-GB"/>
        </w:rPr>
        <w:t>For the 188/513 (37%) patients who had complete NGS data allowing correct risk stratification, the proportion of ELN 2022 risk groups were as follows: favourable 10/182 (6%), intermediate 34/182 (19%), unfavourable (79%). CR rate was not significantly different among different ELN 2022 group (8/10, 18/34 and 81/144 for favourable, intermediate and adverse risk group, respectively, p=n.s.) Overall survival was significantly longer for ELN 2022 favourable risk patients when compared to intermediate and adverse risk group whereas no significant difference was noted when comparing patients in intermediate or adverse risk group (median OS not reached vs 18.3 and 17.9 months, respectively, favourable vs intermediate p&lt;0.05, favourable vs adverse p&lt;0.05, intermediate vs adverse p=n.s.).</w:t>
      </w:r>
    </w:p>
    <w:p w:rsidR="00CC6B3B" w:rsidRPr="00DB1C8F" w:rsidRDefault="00CC6B3B" w:rsidP="009867D4">
      <w:pPr>
        <w:widowControl w:val="0"/>
        <w:spacing w:after="0" w:line="360" w:lineRule="auto"/>
        <w:ind w:left="360"/>
        <w:jc w:val="both"/>
        <w:rPr>
          <w:color w:val="auto"/>
          <w:lang w:val="en-GB"/>
        </w:rPr>
      </w:pPr>
      <w:r w:rsidRPr="00CC6B3B">
        <w:rPr>
          <w:color w:val="auto"/>
          <w:lang w:val="en-GB"/>
        </w:rPr>
        <w:t>No significative differences in terms of Overall Survival were noted between patients belonging to the same prognostic group were comparing ELN 2022 and ELN Classification</w:t>
      </w:r>
      <w:r>
        <w:rPr>
          <w:color w:val="auto"/>
          <w:lang w:val="en-GB"/>
        </w:rPr>
        <w:t>.</w:t>
      </w:r>
      <w:bookmarkStart w:id="0" w:name="_GoBack"/>
      <w:bookmarkEnd w:id="0"/>
    </w:p>
    <w:p w:rsidR="00DB1C8F" w:rsidRDefault="00DB1C8F" w:rsidP="009867D4">
      <w:pPr>
        <w:widowControl w:val="0"/>
        <w:spacing w:after="0" w:line="360" w:lineRule="auto"/>
        <w:ind w:left="360"/>
        <w:jc w:val="both"/>
        <w:rPr>
          <w:b/>
          <w:color w:val="auto"/>
          <w:lang w:val="en-GB"/>
        </w:rPr>
      </w:pPr>
    </w:p>
    <w:p w:rsidR="00AF65B1" w:rsidRPr="00DB1C8F" w:rsidRDefault="00DB1C8F" w:rsidP="009867D4">
      <w:pPr>
        <w:widowControl w:val="0"/>
        <w:spacing w:after="0" w:line="360" w:lineRule="auto"/>
        <w:ind w:left="360"/>
        <w:jc w:val="both"/>
        <w:rPr>
          <w:b/>
          <w:color w:val="auto"/>
          <w:lang w:val="en-GB"/>
        </w:rPr>
      </w:pPr>
      <w:r>
        <w:rPr>
          <w:b/>
          <w:color w:val="auto"/>
          <w:lang w:val="en-GB"/>
        </w:rPr>
        <w:t>Inpatient stay</w:t>
      </w:r>
    </w:p>
    <w:p w:rsidR="00DB1C8F" w:rsidRDefault="00DB1C8F" w:rsidP="009867D4">
      <w:pPr>
        <w:widowControl w:val="0"/>
        <w:spacing w:after="0" w:line="360" w:lineRule="auto"/>
        <w:ind w:left="360"/>
        <w:jc w:val="both"/>
        <w:rPr>
          <w:color w:val="auto"/>
          <w:lang w:val="en-GB"/>
        </w:rPr>
      </w:pPr>
      <w:r w:rsidRPr="00DB1C8F">
        <w:rPr>
          <w:color w:val="auto"/>
          <w:lang w:val="en-GB"/>
        </w:rPr>
        <w:t>Data concerning hospitalization during cycle 1 were available in 174 patients (34%), median duration of inpatient stay was 31 days (range 24-91).</w:t>
      </w:r>
    </w:p>
    <w:p w:rsidR="00A06F2E" w:rsidRDefault="00A06F2E" w:rsidP="009867D4">
      <w:pPr>
        <w:widowControl w:val="0"/>
        <w:spacing w:after="0" w:line="360" w:lineRule="auto"/>
        <w:ind w:left="360"/>
        <w:jc w:val="both"/>
        <w:rPr>
          <w:color w:val="auto"/>
          <w:lang w:val="en-GB"/>
        </w:rPr>
      </w:pPr>
    </w:p>
    <w:p w:rsidR="00A06F2E" w:rsidRDefault="00A06F2E" w:rsidP="009867D4">
      <w:pPr>
        <w:widowControl w:val="0"/>
        <w:spacing w:after="0" w:line="360" w:lineRule="auto"/>
        <w:ind w:left="360"/>
        <w:jc w:val="both"/>
        <w:rPr>
          <w:b/>
          <w:color w:val="auto"/>
          <w:lang w:val="en-GB"/>
        </w:rPr>
      </w:pPr>
      <w:r w:rsidRPr="00A06F2E">
        <w:rPr>
          <w:b/>
          <w:color w:val="auto"/>
          <w:lang w:val="en-GB"/>
        </w:rPr>
        <w:t>MRD data</w:t>
      </w:r>
    </w:p>
    <w:p w:rsidR="008D2AED" w:rsidRDefault="00A06F2E" w:rsidP="009867D4">
      <w:pPr>
        <w:widowControl w:val="0"/>
        <w:spacing w:after="0" w:line="360" w:lineRule="auto"/>
        <w:ind w:left="360"/>
        <w:jc w:val="both"/>
        <w:rPr>
          <w:color w:val="auto"/>
          <w:lang w:val="en-GB"/>
        </w:rPr>
      </w:pPr>
      <w:bookmarkStart w:id="1" w:name="_Hlk198744685"/>
      <w:r w:rsidRPr="00A06F2E">
        <w:rPr>
          <w:color w:val="auto"/>
          <w:lang w:val="en-GB"/>
        </w:rPr>
        <w:t xml:space="preserve">MFC MRD performed according to ELN 2022 recommendations was available in 92/217 responding patients (42%) and negative in 56 (61%). </w:t>
      </w:r>
      <w:bookmarkEnd w:id="1"/>
      <w:r w:rsidR="008D2AED" w:rsidRPr="008D2AED">
        <w:rPr>
          <w:color w:val="auto"/>
          <w:lang w:val="en-GB"/>
        </w:rPr>
        <w:t>Patients with negative MRD before ASCT had a survival advantage (Median OS not reached vs 23 months, p&lt;0.05 for patients with negative or positive pre-transplant MRD, respectively)</w:t>
      </w:r>
      <w:r w:rsidR="008D2AED">
        <w:rPr>
          <w:color w:val="auto"/>
          <w:lang w:val="en-GB"/>
        </w:rPr>
        <w:t xml:space="preserve">. </w:t>
      </w:r>
    </w:p>
    <w:p w:rsidR="00A06F2E" w:rsidRPr="00A06F2E" w:rsidRDefault="00A06F2E" w:rsidP="009867D4">
      <w:pPr>
        <w:widowControl w:val="0"/>
        <w:spacing w:after="0" w:line="360" w:lineRule="auto"/>
        <w:ind w:left="360"/>
        <w:jc w:val="both"/>
        <w:rPr>
          <w:color w:val="auto"/>
          <w:lang w:val="en-GB"/>
        </w:rPr>
      </w:pPr>
      <w:r w:rsidRPr="00A06F2E">
        <w:rPr>
          <w:color w:val="auto"/>
          <w:lang w:val="en-GB"/>
        </w:rPr>
        <w:t xml:space="preserve">Among the 92 patients with available MRD data, 58 received </w:t>
      </w:r>
      <w:r w:rsidR="009867D4">
        <w:rPr>
          <w:color w:val="auto"/>
          <w:lang w:val="en-GB"/>
        </w:rPr>
        <w:t>allo-H</w:t>
      </w:r>
      <w:r w:rsidRPr="00A06F2E">
        <w:rPr>
          <w:color w:val="auto"/>
          <w:lang w:val="en-GB"/>
        </w:rPr>
        <w:t xml:space="preserve">SCT in first CR, 31 directly after cycle 1 (53%) and 27 in a later phase (47%). MRD before transplant was negative in 39/58 patients receiving </w:t>
      </w:r>
      <w:r w:rsidR="009867D4">
        <w:rPr>
          <w:color w:val="auto"/>
          <w:lang w:val="en-GB"/>
        </w:rPr>
        <w:t>allo-H</w:t>
      </w:r>
      <w:r w:rsidRPr="00A06F2E">
        <w:rPr>
          <w:color w:val="auto"/>
          <w:lang w:val="en-GB"/>
        </w:rPr>
        <w:t xml:space="preserve">SCT (67%), with no significant differences between patients receiving </w:t>
      </w:r>
      <w:r w:rsidR="009867D4">
        <w:rPr>
          <w:color w:val="auto"/>
          <w:lang w:val="en-GB"/>
        </w:rPr>
        <w:t>allo-H</w:t>
      </w:r>
      <w:r w:rsidRPr="00A06F2E">
        <w:rPr>
          <w:color w:val="auto"/>
          <w:lang w:val="en-GB"/>
        </w:rPr>
        <w:t>SCT directly after cycle 1 compared to patients transplanted later (MRD negative in 21/31 and 18/27, respectively, p=n.s.)”</w:t>
      </w:r>
    </w:p>
    <w:p w:rsidR="00DB1C8F" w:rsidRDefault="00DB1C8F" w:rsidP="009867D4">
      <w:pPr>
        <w:widowControl w:val="0"/>
        <w:spacing w:after="0" w:line="360" w:lineRule="auto"/>
        <w:ind w:left="360"/>
        <w:jc w:val="both"/>
        <w:rPr>
          <w:color w:val="auto"/>
          <w:lang w:val="en-GB"/>
        </w:rPr>
      </w:pPr>
    </w:p>
    <w:p w:rsidR="00DB1C8F" w:rsidRDefault="00DB1C8F" w:rsidP="009867D4">
      <w:pPr>
        <w:widowControl w:val="0"/>
        <w:spacing w:after="0" w:line="360" w:lineRule="auto"/>
        <w:ind w:left="360"/>
        <w:jc w:val="both"/>
        <w:rPr>
          <w:b/>
          <w:color w:val="auto"/>
          <w:lang w:val="en-GB"/>
        </w:rPr>
      </w:pPr>
      <w:r>
        <w:rPr>
          <w:b/>
          <w:color w:val="auto"/>
          <w:lang w:val="en-GB"/>
        </w:rPr>
        <w:t xml:space="preserve">Response and MRD in </w:t>
      </w:r>
      <w:r w:rsidRPr="009867D4">
        <w:rPr>
          <w:b/>
          <w:i/>
          <w:color w:val="auto"/>
          <w:lang w:val="en-GB"/>
        </w:rPr>
        <w:t>NPM1</w:t>
      </w:r>
      <w:r>
        <w:rPr>
          <w:b/>
          <w:color w:val="auto"/>
          <w:lang w:val="en-GB"/>
        </w:rPr>
        <w:t xml:space="preserve"> mutated patients</w:t>
      </w:r>
    </w:p>
    <w:p w:rsidR="00DB1C8F" w:rsidRPr="00DB1C8F" w:rsidRDefault="00DB1C8F" w:rsidP="009867D4">
      <w:pPr>
        <w:widowControl w:val="0"/>
        <w:spacing w:after="0" w:line="360" w:lineRule="auto"/>
        <w:ind w:left="360"/>
        <w:jc w:val="both"/>
        <w:rPr>
          <w:color w:val="auto"/>
          <w:lang w:val="en-GB"/>
        </w:rPr>
      </w:pPr>
      <w:r w:rsidRPr="00DB1C8F">
        <w:rPr>
          <w:color w:val="auto"/>
          <w:lang w:val="en-GB"/>
        </w:rPr>
        <w:t xml:space="preserve">Among the 31 </w:t>
      </w:r>
      <w:r w:rsidRPr="009867D4">
        <w:rPr>
          <w:i/>
          <w:color w:val="auto"/>
          <w:lang w:val="en-GB"/>
        </w:rPr>
        <w:t>NPM1</w:t>
      </w:r>
      <w:r w:rsidRPr="00DB1C8F">
        <w:rPr>
          <w:color w:val="auto"/>
          <w:lang w:val="en-GB"/>
        </w:rPr>
        <w:t xml:space="preserve"> mutated patients, 26 achieved a CR and 24/26 had available </w:t>
      </w:r>
      <w:r w:rsidRPr="009867D4">
        <w:rPr>
          <w:i/>
          <w:color w:val="auto"/>
          <w:lang w:val="en-GB"/>
        </w:rPr>
        <w:t>NPM1</w:t>
      </w:r>
      <w:r w:rsidRPr="00DB1C8F">
        <w:rPr>
          <w:color w:val="auto"/>
          <w:lang w:val="en-GB"/>
        </w:rPr>
        <w:t xml:space="preserve"> MRD data. After cycle 1, </w:t>
      </w:r>
      <w:r w:rsidRPr="009867D4">
        <w:rPr>
          <w:i/>
          <w:color w:val="auto"/>
          <w:lang w:val="en-GB"/>
        </w:rPr>
        <w:t>NPM1</w:t>
      </w:r>
      <w:r w:rsidRPr="00DB1C8F">
        <w:rPr>
          <w:color w:val="auto"/>
          <w:lang w:val="en-GB"/>
        </w:rPr>
        <w:t xml:space="preserve"> MRD was negative in 18/24 (75%) patients. The percentage of negative </w:t>
      </w:r>
      <w:r w:rsidRPr="009867D4">
        <w:rPr>
          <w:i/>
          <w:color w:val="auto"/>
          <w:lang w:val="en-GB"/>
        </w:rPr>
        <w:t>NPM1</w:t>
      </w:r>
      <w:r w:rsidRPr="00DB1C8F">
        <w:rPr>
          <w:color w:val="auto"/>
          <w:lang w:val="en-GB"/>
        </w:rPr>
        <w:t xml:space="preserve"> MRD negativity increased to 19/24 after cycle 2 (80%).”</w:t>
      </w:r>
    </w:p>
    <w:p w:rsidR="00DB1C8F" w:rsidRDefault="00DB1C8F" w:rsidP="00262B1C">
      <w:pPr>
        <w:widowControl w:val="0"/>
        <w:spacing w:after="0" w:line="360" w:lineRule="auto"/>
        <w:ind w:left="360"/>
        <w:rPr>
          <w:b/>
          <w:color w:val="auto"/>
          <w:lang w:val="en-GB"/>
        </w:rPr>
      </w:pPr>
    </w:p>
    <w:p w:rsidR="00AF65B1" w:rsidRDefault="00AF65B1" w:rsidP="00AF65B1">
      <w:pPr>
        <w:widowControl w:val="0"/>
        <w:spacing w:after="0" w:line="360" w:lineRule="auto"/>
        <w:ind w:left="360"/>
        <w:rPr>
          <w:b/>
          <w:color w:val="auto"/>
          <w:lang w:val="en-GB"/>
        </w:rPr>
      </w:pPr>
      <w:r>
        <w:rPr>
          <w:b/>
          <w:color w:val="auto"/>
          <w:lang w:val="en-GB"/>
        </w:rPr>
        <w:t xml:space="preserve">Outcome of patients with previous diagnosis of </w:t>
      </w:r>
      <w:proofErr w:type="spellStart"/>
      <w:r>
        <w:rPr>
          <w:b/>
          <w:color w:val="auto"/>
          <w:lang w:val="en-GB"/>
        </w:rPr>
        <w:t>CMMoL</w:t>
      </w:r>
      <w:proofErr w:type="spellEnd"/>
    </w:p>
    <w:p w:rsidR="00AF65B1" w:rsidRDefault="00AF65B1" w:rsidP="00AF65B1">
      <w:pPr>
        <w:widowControl w:val="0"/>
        <w:spacing w:after="0" w:line="360" w:lineRule="auto"/>
        <w:ind w:left="360"/>
        <w:rPr>
          <w:color w:val="auto"/>
          <w:lang w:val="en-GB"/>
        </w:rPr>
      </w:pPr>
      <w:r w:rsidRPr="00130D6D">
        <w:rPr>
          <w:color w:val="auto"/>
          <w:lang w:val="en-GB"/>
        </w:rPr>
        <w:t xml:space="preserve">Fifteen patients had a previous formal diagnosis of </w:t>
      </w:r>
      <w:proofErr w:type="spellStart"/>
      <w:r w:rsidRPr="00130D6D">
        <w:rPr>
          <w:color w:val="auto"/>
          <w:lang w:val="en-GB"/>
        </w:rPr>
        <w:t>CMMoL</w:t>
      </w:r>
      <w:proofErr w:type="spellEnd"/>
      <w:r w:rsidRPr="00130D6D">
        <w:rPr>
          <w:color w:val="auto"/>
          <w:lang w:val="en-GB"/>
        </w:rPr>
        <w:t xml:space="preserve">. Median age in this subgroup was 69 years </w:t>
      </w:r>
      <w:r w:rsidRPr="00130D6D">
        <w:rPr>
          <w:color w:val="auto"/>
          <w:lang w:val="en-GB"/>
        </w:rPr>
        <w:lastRenderedPageBreak/>
        <w:t xml:space="preserve">(range 62-74). After Cycle 1, CR rate was 8/15 (59%), increasing to 10/15 after cycle 2 (66%), not statistically different from the whole cohort. Median Overall Survival was 16.2 months, whereas </w:t>
      </w:r>
      <w:proofErr w:type="gramStart"/>
      <w:r w:rsidRPr="00130D6D">
        <w:rPr>
          <w:color w:val="auto"/>
          <w:lang w:val="en-GB"/>
        </w:rPr>
        <w:t>1 year</w:t>
      </w:r>
      <w:proofErr w:type="gramEnd"/>
      <w:r w:rsidRPr="00130D6D">
        <w:rPr>
          <w:color w:val="auto"/>
          <w:lang w:val="en-GB"/>
        </w:rPr>
        <w:t xml:space="preserve"> OS was 44.1%, again non significantly different from the whole cohort.</w:t>
      </w:r>
    </w:p>
    <w:p w:rsidR="00A013B4" w:rsidRDefault="00A013B4" w:rsidP="00AF65B1">
      <w:pPr>
        <w:widowControl w:val="0"/>
        <w:spacing w:after="0" w:line="360" w:lineRule="auto"/>
        <w:ind w:left="360"/>
        <w:rPr>
          <w:color w:val="auto"/>
          <w:lang w:val="en-GB"/>
        </w:rPr>
      </w:pPr>
    </w:p>
    <w:p w:rsidR="00A013B4" w:rsidRDefault="00A013B4" w:rsidP="00AF65B1">
      <w:pPr>
        <w:widowControl w:val="0"/>
        <w:spacing w:after="0" w:line="360" w:lineRule="auto"/>
        <w:ind w:left="360"/>
        <w:rPr>
          <w:b/>
          <w:color w:val="auto"/>
          <w:lang w:val="en-GB"/>
        </w:rPr>
      </w:pPr>
      <w:r>
        <w:rPr>
          <w:b/>
          <w:color w:val="auto"/>
          <w:lang w:val="en-GB"/>
        </w:rPr>
        <w:t>Stem Cell source and conditioning</w:t>
      </w:r>
    </w:p>
    <w:p w:rsidR="00A013B4" w:rsidRPr="00A013B4" w:rsidRDefault="00A013B4" w:rsidP="00173393">
      <w:pPr>
        <w:widowControl w:val="0"/>
        <w:spacing w:after="0" w:line="360" w:lineRule="auto"/>
        <w:ind w:left="360"/>
        <w:jc w:val="both"/>
        <w:rPr>
          <w:color w:val="auto"/>
          <w:lang w:val="en-GB"/>
        </w:rPr>
      </w:pPr>
      <w:r w:rsidRPr="00A013B4">
        <w:rPr>
          <w:color w:val="auto"/>
          <w:lang w:val="en-GB"/>
        </w:rPr>
        <w:t xml:space="preserve">Among the 230 patients receiving </w:t>
      </w:r>
      <w:r>
        <w:rPr>
          <w:color w:val="auto"/>
          <w:lang w:val="en-GB"/>
        </w:rPr>
        <w:t>allo-HSCT</w:t>
      </w:r>
      <w:r w:rsidRPr="00A013B4">
        <w:rPr>
          <w:color w:val="auto"/>
          <w:lang w:val="en-GB"/>
        </w:rPr>
        <w:t xml:space="preserve">, complete data on </w:t>
      </w:r>
      <w:r>
        <w:rPr>
          <w:color w:val="auto"/>
          <w:lang w:val="en-GB"/>
        </w:rPr>
        <w:t>H</w:t>
      </w:r>
      <w:r w:rsidRPr="00A013B4">
        <w:rPr>
          <w:color w:val="auto"/>
          <w:lang w:val="en-GB"/>
        </w:rPr>
        <w:t>SCT characteristics were available in 183 patients (79%). Overall, 67 patients (37%) received a myeloablative conditioning, whereas 116 patients 863%) received a reduce intensity conditioning. Stem cell source was peripheral blood in the majority of cases (169/183, 92%), whereas donor source was matched unrelated donor in 39 patients (21%), HLA identical sibling donor in 69 (30%) and haploidentical donor in 75 patients (39%).</w:t>
      </w:r>
    </w:p>
    <w:p w:rsidR="00A013B4" w:rsidRPr="00A013B4" w:rsidRDefault="00A013B4" w:rsidP="00173393">
      <w:pPr>
        <w:widowControl w:val="0"/>
        <w:spacing w:after="0" w:line="360" w:lineRule="auto"/>
        <w:ind w:left="360"/>
        <w:jc w:val="both"/>
        <w:rPr>
          <w:color w:val="auto"/>
          <w:lang w:val="en-GB"/>
        </w:rPr>
      </w:pPr>
      <w:r w:rsidRPr="00A013B4">
        <w:rPr>
          <w:color w:val="auto"/>
          <w:lang w:val="en-GB"/>
        </w:rPr>
        <w:t xml:space="preserve">Among the 183 patients who had available </w:t>
      </w:r>
      <w:r>
        <w:rPr>
          <w:color w:val="auto"/>
          <w:lang w:val="en-GB"/>
        </w:rPr>
        <w:t>H</w:t>
      </w:r>
      <w:r w:rsidRPr="00A013B4">
        <w:rPr>
          <w:color w:val="auto"/>
          <w:lang w:val="en-GB"/>
        </w:rPr>
        <w:t>SCT data, 59 received transplant directly after cycle 1 (32%) and 124 in a later phase (68%).</w:t>
      </w:r>
    </w:p>
    <w:p w:rsidR="00A013B4" w:rsidRPr="00173393" w:rsidRDefault="00A013B4" w:rsidP="00173393">
      <w:pPr>
        <w:widowControl w:val="0"/>
        <w:spacing w:after="0" w:line="360" w:lineRule="auto"/>
        <w:ind w:left="360"/>
        <w:jc w:val="both"/>
        <w:rPr>
          <w:color w:val="auto"/>
          <w:lang w:val="en-GB"/>
        </w:rPr>
      </w:pPr>
      <w:r w:rsidRPr="00173393">
        <w:rPr>
          <w:color w:val="auto"/>
          <w:lang w:val="en-GB"/>
        </w:rPr>
        <w:t>When comparing patients receiving ASCT directly after cycle 1 or in a later phase, there was no significant difference in terms of conditioning intensity (intensive conditioning was performed in 22/59 and 47/124 patients, respectively). Similarly, there were no significant differences between patients receiving transplant after cycle 1 or later in terms of stem cell source (peripheral blood in 52/59 and 117/124, respectively) or donor source (MUD, HLA-ID and APLO in 12/59, 21/59 and 26/59, compared to 27/124, 48/124 and 49/124, respectively)”</w:t>
      </w:r>
    </w:p>
    <w:p w:rsidR="00A10463" w:rsidRDefault="00A10463" w:rsidP="00AF65B1">
      <w:pPr>
        <w:widowControl w:val="0"/>
        <w:spacing w:after="0" w:line="360" w:lineRule="auto"/>
        <w:ind w:left="360"/>
        <w:rPr>
          <w:color w:val="auto"/>
          <w:lang w:val="en-GB"/>
        </w:rPr>
      </w:pPr>
    </w:p>
    <w:p w:rsidR="00A10463" w:rsidRPr="00DB1C8F" w:rsidRDefault="00DB1C8F" w:rsidP="00AF65B1">
      <w:pPr>
        <w:widowControl w:val="0"/>
        <w:spacing w:after="0" w:line="360" w:lineRule="auto"/>
        <w:ind w:left="360"/>
        <w:rPr>
          <w:b/>
          <w:color w:val="auto"/>
          <w:lang w:val="en-GB"/>
        </w:rPr>
      </w:pPr>
      <w:r w:rsidRPr="00DB1C8F">
        <w:rPr>
          <w:b/>
          <w:color w:val="auto"/>
          <w:lang w:val="en-GB"/>
        </w:rPr>
        <w:t>Outcome of transplanted patients according to ELN2017 risk score</w:t>
      </w:r>
    </w:p>
    <w:p w:rsidR="00DB1C8F" w:rsidRPr="00DB1C8F" w:rsidRDefault="00DB1C8F" w:rsidP="00DB1C8F">
      <w:pPr>
        <w:widowControl w:val="0"/>
        <w:spacing w:after="0" w:line="360" w:lineRule="auto"/>
        <w:ind w:left="360"/>
        <w:jc w:val="both"/>
        <w:rPr>
          <w:color w:val="auto"/>
          <w:lang w:val="en-GB"/>
        </w:rPr>
      </w:pPr>
      <w:r w:rsidRPr="00DB1C8F">
        <w:rPr>
          <w:color w:val="auto"/>
          <w:lang w:val="en-GB"/>
        </w:rPr>
        <w:t xml:space="preserve">Among allo-HSCT patients, ELN risk group was favourable, intermediate or unfavourable in 8, 71 and 87, respectively, whereas patients included in the landmark model without receiving allo-HSCT in first CR were considered as favourable, intermediate or high risk in 13, 55 and 63 cases, respectively. </w:t>
      </w:r>
    </w:p>
    <w:p w:rsidR="00DB1C8F" w:rsidRPr="00DB1C8F" w:rsidRDefault="00DB1C8F" w:rsidP="00DB1C8F">
      <w:pPr>
        <w:widowControl w:val="0"/>
        <w:spacing w:after="0" w:line="360" w:lineRule="auto"/>
        <w:ind w:left="360"/>
        <w:jc w:val="both"/>
        <w:rPr>
          <w:color w:val="auto"/>
          <w:lang w:val="en-GB"/>
        </w:rPr>
      </w:pPr>
      <w:r w:rsidRPr="00DB1C8F">
        <w:rPr>
          <w:color w:val="auto"/>
          <w:lang w:val="en-GB"/>
        </w:rPr>
        <w:t>Allo-HSCT proved to be beneficial in unfavourable risk group (median OS 29.5 months and 11.63 months for patients transplanted or not in first CR, p&lt;0.05), intermediate risk group (median OS not reached vs 16.97 months in patients receiving or not allo-HSCT in first CR, respectively, p&lt;0.05), but not in the favourable risk group (median OS not reached both in patients receiving or not allo-HSCT in first CR, Fig. 6S)</w:t>
      </w:r>
      <w:r>
        <w:rPr>
          <w:color w:val="auto"/>
          <w:lang w:val="en-GB"/>
        </w:rPr>
        <w:t>.</w:t>
      </w:r>
    </w:p>
    <w:p w:rsidR="00AF65B1" w:rsidRPr="00AF65B1" w:rsidRDefault="00AF65B1" w:rsidP="00AF65B1">
      <w:pPr>
        <w:widowControl w:val="0"/>
        <w:spacing w:after="0" w:line="360" w:lineRule="auto"/>
        <w:ind w:left="360"/>
        <w:rPr>
          <w:color w:val="auto"/>
          <w:lang w:val="en-GB"/>
        </w:rPr>
      </w:pPr>
    </w:p>
    <w:p w:rsidR="00262B1C" w:rsidRPr="00273FB2" w:rsidRDefault="00262B1C" w:rsidP="00262B1C">
      <w:pPr>
        <w:widowControl w:val="0"/>
        <w:spacing w:after="0" w:line="360" w:lineRule="auto"/>
        <w:ind w:left="360"/>
        <w:rPr>
          <w:b/>
          <w:color w:val="auto"/>
          <w:lang w:val="en-GB"/>
        </w:rPr>
      </w:pPr>
      <w:r w:rsidRPr="00273FB2">
        <w:rPr>
          <w:b/>
          <w:color w:val="auto"/>
          <w:lang w:val="en-GB"/>
        </w:rPr>
        <w:t>Supplementary Table T1S</w:t>
      </w:r>
    </w:p>
    <w:p w:rsidR="00262B1C" w:rsidRPr="00273FB2" w:rsidRDefault="00262B1C" w:rsidP="00262B1C">
      <w:pPr>
        <w:widowControl w:val="0"/>
        <w:spacing w:after="0" w:line="360" w:lineRule="auto"/>
        <w:ind w:left="360"/>
        <w:rPr>
          <w:b/>
          <w:i/>
          <w:color w:val="auto"/>
          <w:lang w:val="en-GB"/>
        </w:rPr>
      </w:pPr>
      <w:r w:rsidRPr="00273FB2">
        <w:rPr>
          <w:b/>
          <w:i/>
          <w:color w:val="auto"/>
          <w:lang w:val="en-GB"/>
        </w:rPr>
        <w:t>Patient’s characteristics according to previous HMA treatment for MDS</w:t>
      </w:r>
    </w:p>
    <w:tbl>
      <w:tblPr>
        <w:tblStyle w:val="Tabellaelenco1chiara-colore11"/>
        <w:tblW w:w="9854" w:type="dxa"/>
        <w:tblLook w:val="04A0" w:firstRow="1" w:lastRow="0" w:firstColumn="1" w:lastColumn="0" w:noHBand="0" w:noVBand="1"/>
      </w:tblPr>
      <w:tblGrid>
        <w:gridCol w:w="1860"/>
        <w:gridCol w:w="1783"/>
        <w:gridCol w:w="1848"/>
        <w:gridCol w:w="2056"/>
        <w:gridCol w:w="2307"/>
      </w:tblGrid>
      <w:tr w:rsidR="00262B1C" w:rsidTr="00F149FC">
        <w:trPr>
          <w:cnfStyle w:val="100000000000" w:firstRow="1" w:lastRow="0" w:firstColumn="0" w:lastColumn="0" w:oddVBand="0" w:evenVBand="0" w:oddHBand="0" w:evenHBand="0" w:firstRowFirstColumn="0" w:firstRowLastColumn="0" w:lastRowFirstColumn="0" w:lastRowLastColumn="0"/>
          <w:trHeight w:val="519"/>
        </w:trPr>
        <w:tc>
          <w:tcPr>
            <w:cnfStyle w:val="001000000000" w:firstRow="0" w:lastRow="0" w:firstColumn="1" w:lastColumn="0" w:oddVBand="0" w:evenVBand="0" w:oddHBand="0" w:evenHBand="0" w:firstRowFirstColumn="0" w:firstRowLastColumn="0" w:lastRowFirstColumn="0" w:lastRowLastColumn="0"/>
            <w:tcW w:w="1860" w:type="dxa"/>
            <w:vAlign w:val="center"/>
          </w:tcPr>
          <w:p w:rsidR="00262B1C" w:rsidRDefault="00262B1C" w:rsidP="00F149FC">
            <w:pPr>
              <w:pBdr>
                <w:top w:val="none" w:sz="0" w:space="0" w:color="auto"/>
                <w:left w:val="none" w:sz="0" w:space="0" w:color="auto"/>
                <w:bottom w:val="none" w:sz="0" w:space="0" w:color="auto"/>
                <w:right w:val="none" w:sz="0" w:space="0" w:color="auto"/>
                <w:between w:val="none" w:sz="0" w:space="0" w:color="auto"/>
              </w:pBdr>
              <w:rPr>
                <w:b w:val="0"/>
                <w:color w:val="auto"/>
              </w:rPr>
            </w:pPr>
          </w:p>
        </w:tc>
        <w:tc>
          <w:tcPr>
            <w:tcW w:w="1783" w:type="dxa"/>
            <w:vAlign w:val="center"/>
          </w:tcPr>
          <w:p w:rsidR="00262B1C" w:rsidRDefault="00262B1C" w:rsidP="00F149FC">
            <w:pPr>
              <w:pBdr>
                <w:top w:val="none" w:sz="0" w:space="0" w:color="auto"/>
                <w:left w:val="none" w:sz="0" w:space="0" w:color="auto"/>
                <w:bottom w:val="none" w:sz="0" w:space="0" w:color="auto"/>
                <w:right w:val="none" w:sz="0" w:space="0" w:color="auto"/>
                <w:between w:val="none" w:sz="0" w:space="0" w:color="auto"/>
              </w:pBdr>
              <w:cnfStyle w:val="100000000000" w:firstRow="1" w:lastRow="0" w:firstColumn="0" w:lastColumn="0" w:oddVBand="0" w:evenVBand="0" w:oddHBand="0" w:evenHBand="0" w:firstRowFirstColumn="0" w:firstRowLastColumn="0" w:lastRowFirstColumn="0" w:lastRowLastColumn="0"/>
              <w:rPr>
                <w:b w:val="0"/>
                <w:color w:val="auto"/>
              </w:rPr>
            </w:pPr>
          </w:p>
        </w:tc>
        <w:tc>
          <w:tcPr>
            <w:tcW w:w="1848" w:type="dxa"/>
          </w:tcPr>
          <w:p w:rsidR="00262B1C" w:rsidRPr="00410152"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100000000000" w:firstRow="1" w:lastRow="0" w:firstColumn="0" w:lastColumn="0" w:oddVBand="0" w:evenVBand="0" w:oddHBand="0" w:evenHBand="0" w:firstRowFirstColumn="0" w:firstRowLastColumn="0" w:lastRowFirstColumn="0" w:lastRowLastColumn="0"/>
              <w:rPr>
                <w:color w:val="auto"/>
              </w:rPr>
            </w:pPr>
          </w:p>
        </w:tc>
        <w:tc>
          <w:tcPr>
            <w:tcW w:w="2056" w:type="dxa"/>
          </w:tcPr>
          <w:p w:rsidR="00262B1C" w:rsidRPr="00410152"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100000000000" w:firstRow="1" w:lastRow="0" w:firstColumn="0" w:lastColumn="0" w:oddVBand="0" w:evenVBand="0" w:oddHBand="0" w:evenHBand="0" w:firstRowFirstColumn="0" w:firstRowLastColumn="0" w:lastRowFirstColumn="0" w:lastRowLastColumn="0"/>
              <w:rPr>
                <w:color w:val="auto"/>
              </w:rPr>
            </w:pPr>
          </w:p>
        </w:tc>
        <w:tc>
          <w:tcPr>
            <w:tcW w:w="2307" w:type="dxa"/>
            <w:vAlign w:val="center"/>
          </w:tcPr>
          <w:p w:rsidR="00262B1C" w:rsidRPr="00273FB2"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100000000000" w:firstRow="1" w:lastRow="0" w:firstColumn="0" w:lastColumn="0" w:oddVBand="0" w:evenVBand="0" w:oddHBand="0" w:evenHBand="0" w:firstRowFirstColumn="0" w:firstRowLastColumn="0" w:lastRowFirstColumn="0" w:lastRowLastColumn="0"/>
              <w:rPr>
                <w:i/>
                <w:color w:val="auto"/>
              </w:rPr>
            </w:pPr>
          </w:p>
        </w:tc>
      </w:tr>
      <w:tr w:rsidR="00262B1C" w:rsidTr="00F149FC">
        <w:trPr>
          <w:cnfStyle w:val="000000100000" w:firstRow="0" w:lastRow="0" w:firstColumn="0" w:lastColumn="0" w:oddVBand="0" w:evenVBand="0" w:oddHBand="1" w:evenHBand="0" w:firstRowFirstColumn="0" w:firstRowLastColumn="0" w:lastRowFirstColumn="0" w:lastRowLastColumn="0"/>
          <w:trHeight w:val="519"/>
        </w:trPr>
        <w:tc>
          <w:tcPr>
            <w:cnfStyle w:val="001000000000" w:firstRow="0" w:lastRow="0" w:firstColumn="1" w:lastColumn="0" w:oddVBand="0" w:evenVBand="0" w:oddHBand="0" w:evenHBand="0" w:firstRowFirstColumn="0" w:firstRowLastColumn="0" w:lastRowFirstColumn="0" w:lastRowLastColumn="0"/>
            <w:tcW w:w="1860" w:type="dxa"/>
            <w:shd w:val="clear" w:color="auto" w:fill="DEEAF6" w:themeFill="accent5" w:themeFillTint="33"/>
            <w:vAlign w:val="center"/>
          </w:tcPr>
          <w:p w:rsidR="00262B1C" w:rsidRPr="00410152" w:rsidRDefault="00262B1C" w:rsidP="00F149FC">
            <w:pPr>
              <w:pBdr>
                <w:top w:val="none" w:sz="0" w:space="0" w:color="auto"/>
                <w:left w:val="none" w:sz="0" w:space="0" w:color="auto"/>
                <w:bottom w:val="none" w:sz="0" w:space="0" w:color="auto"/>
                <w:right w:val="none" w:sz="0" w:space="0" w:color="auto"/>
                <w:between w:val="none" w:sz="0" w:space="0" w:color="auto"/>
              </w:pBdr>
              <w:rPr>
                <w:bCs w:val="0"/>
                <w:color w:val="auto"/>
              </w:rPr>
            </w:pPr>
            <w:r w:rsidRPr="00410152">
              <w:rPr>
                <w:color w:val="auto"/>
              </w:rPr>
              <w:t>Total Patients</w:t>
            </w:r>
          </w:p>
        </w:tc>
        <w:tc>
          <w:tcPr>
            <w:tcW w:w="1783" w:type="dxa"/>
            <w:shd w:val="clear" w:color="auto" w:fill="DEEAF6" w:themeFill="accent5" w:themeFillTint="33"/>
            <w:vAlign w:val="center"/>
          </w:tcPr>
          <w:p w:rsidR="00262B1C" w:rsidRDefault="00262B1C" w:rsidP="00F149FC">
            <w:pPr>
              <w:pBdr>
                <w:top w:val="none" w:sz="0" w:space="0" w:color="auto"/>
                <w:left w:val="none" w:sz="0" w:space="0" w:color="auto"/>
                <w:bottom w:val="none" w:sz="0" w:space="0" w:color="auto"/>
                <w:right w:val="none" w:sz="0" w:space="0" w:color="auto"/>
                <w:between w:val="none" w:sz="0" w:space="0" w:color="auto"/>
              </w:pBdr>
              <w:cnfStyle w:val="000000100000" w:firstRow="0" w:lastRow="0" w:firstColumn="0" w:lastColumn="0" w:oddVBand="0" w:evenVBand="0" w:oddHBand="1" w:evenHBand="0" w:firstRowFirstColumn="0" w:firstRowLastColumn="0" w:lastRowFirstColumn="0" w:lastRowLastColumn="0"/>
              <w:rPr>
                <w:b/>
                <w:color w:val="auto"/>
              </w:rPr>
            </w:pPr>
          </w:p>
        </w:tc>
        <w:tc>
          <w:tcPr>
            <w:tcW w:w="1848" w:type="dxa"/>
            <w:shd w:val="clear" w:color="auto" w:fill="DEEAF6" w:themeFill="accent5" w:themeFillTint="33"/>
          </w:tcPr>
          <w:p w:rsidR="00262B1C" w:rsidRPr="00410152"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000000100000" w:firstRow="0" w:lastRow="0" w:firstColumn="0" w:lastColumn="0" w:oddVBand="0" w:evenVBand="0" w:oddHBand="1" w:evenHBand="0" w:firstRowFirstColumn="0" w:firstRowLastColumn="0" w:lastRowFirstColumn="0" w:lastRowLastColumn="0"/>
              <w:rPr>
                <w:b/>
                <w:color w:val="auto"/>
              </w:rPr>
            </w:pPr>
            <w:r>
              <w:rPr>
                <w:b/>
                <w:color w:val="auto"/>
              </w:rPr>
              <w:t>Previous HMA for MDS</w:t>
            </w:r>
          </w:p>
        </w:tc>
        <w:tc>
          <w:tcPr>
            <w:tcW w:w="2056" w:type="dxa"/>
            <w:shd w:val="clear" w:color="auto" w:fill="DEEAF6" w:themeFill="accent5" w:themeFillTint="33"/>
          </w:tcPr>
          <w:p w:rsidR="00262B1C" w:rsidRPr="00410152"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000000100000" w:firstRow="0" w:lastRow="0" w:firstColumn="0" w:lastColumn="0" w:oddVBand="0" w:evenVBand="0" w:oddHBand="1" w:evenHBand="0" w:firstRowFirstColumn="0" w:firstRowLastColumn="0" w:lastRowFirstColumn="0" w:lastRowLastColumn="0"/>
              <w:rPr>
                <w:b/>
                <w:color w:val="auto"/>
              </w:rPr>
            </w:pPr>
            <w:r>
              <w:rPr>
                <w:b/>
                <w:color w:val="auto"/>
              </w:rPr>
              <w:t>No Previous HMA treatment</w:t>
            </w:r>
          </w:p>
        </w:tc>
        <w:tc>
          <w:tcPr>
            <w:tcW w:w="2307" w:type="dxa"/>
            <w:shd w:val="clear" w:color="auto" w:fill="DEEAF6" w:themeFill="accent5" w:themeFillTint="33"/>
            <w:vAlign w:val="center"/>
          </w:tcPr>
          <w:p w:rsidR="00262B1C" w:rsidRPr="00273FB2"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000000100000" w:firstRow="0" w:lastRow="0" w:firstColumn="0" w:lastColumn="0" w:oddVBand="0" w:evenVBand="0" w:oddHBand="1" w:evenHBand="0" w:firstRowFirstColumn="0" w:firstRowLastColumn="0" w:lastRowFirstColumn="0" w:lastRowLastColumn="0"/>
              <w:rPr>
                <w:b/>
                <w:i/>
                <w:color w:val="auto"/>
              </w:rPr>
            </w:pPr>
            <w:r w:rsidRPr="00273FB2">
              <w:rPr>
                <w:b/>
                <w:i/>
                <w:color w:val="auto"/>
              </w:rPr>
              <w:t>p</w:t>
            </w:r>
          </w:p>
        </w:tc>
      </w:tr>
      <w:tr w:rsidR="00262B1C" w:rsidTr="00F149FC">
        <w:trPr>
          <w:trHeight w:val="519"/>
        </w:trPr>
        <w:tc>
          <w:tcPr>
            <w:cnfStyle w:val="001000000000" w:firstRow="0" w:lastRow="0" w:firstColumn="1" w:lastColumn="0" w:oddVBand="0" w:evenVBand="0" w:oddHBand="0" w:evenHBand="0" w:firstRowFirstColumn="0" w:firstRowLastColumn="0" w:lastRowFirstColumn="0" w:lastRowLastColumn="0"/>
            <w:tcW w:w="1860" w:type="dxa"/>
            <w:vMerge w:val="restart"/>
            <w:vAlign w:val="center"/>
          </w:tcPr>
          <w:p w:rsidR="00262B1C" w:rsidRPr="00EF1CA8" w:rsidRDefault="00262B1C" w:rsidP="00F149FC">
            <w:pPr>
              <w:pBdr>
                <w:top w:val="none" w:sz="0" w:space="0" w:color="auto"/>
                <w:left w:val="none" w:sz="0" w:space="0" w:color="auto"/>
                <w:bottom w:val="none" w:sz="0" w:space="0" w:color="auto"/>
                <w:right w:val="none" w:sz="0" w:space="0" w:color="auto"/>
                <w:between w:val="none" w:sz="0" w:space="0" w:color="auto"/>
              </w:pBdr>
              <w:rPr>
                <w:b w:val="0"/>
                <w:bCs w:val="0"/>
                <w:color w:val="auto"/>
              </w:rPr>
            </w:pPr>
            <w:r w:rsidRPr="00410152">
              <w:rPr>
                <w:color w:val="auto"/>
              </w:rPr>
              <w:lastRenderedPageBreak/>
              <w:t>Age</w:t>
            </w:r>
            <w:r>
              <w:rPr>
                <w:color w:val="auto"/>
              </w:rPr>
              <w:t xml:space="preserve"> </w:t>
            </w:r>
          </w:p>
        </w:tc>
        <w:tc>
          <w:tcPr>
            <w:tcW w:w="1783" w:type="dxa"/>
            <w:vAlign w:val="center"/>
          </w:tcPr>
          <w:p w:rsidR="00262B1C" w:rsidRPr="00595BE1" w:rsidRDefault="00262B1C" w:rsidP="00F149FC">
            <w:pPr>
              <w:pBdr>
                <w:top w:val="none" w:sz="0" w:space="0" w:color="auto"/>
                <w:left w:val="none" w:sz="0" w:space="0" w:color="auto"/>
                <w:bottom w:val="none" w:sz="0" w:space="0" w:color="auto"/>
                <w:right w:val="none" w:sz="0" w:space="0" w:color="auto"/>
                <w:between w:val="none" w:sz="0" w:space="0" w:color="auto"/>
              </w:pBdr>
              <w:cnfStyle w:val="000000000000" w:firstRow="0" w:lastRow="0" w:firstColumn="0" w:lastColumn="0" w:oddVBand="0" w:evenVBand="0" w:oddHBand="0" w:evenHBand="0" w:firstRowFirstColumn="0" w:firstRowLastColumn="0" w:lastRowFirstColumn="0" w:lastRowLastColumn="0"/>
              <w:rPr>
                <w:color w:val="auto"/>
              </w:rPr>
            </w:pPr>
            <w:r w:rsidRPr="00595BE1">
              <w:rPr>
                <w:color w:val="auto"/>
              </w:rPr>
              <w:t xml:space="preserve">&lt;60 </w:t>
            </w:r>
            <w:proofErr w:type="spellStart"/>
            <w:r w:rsidRPr="00595BE1">
              <w:rPr>
                <w:color w:val="auto"/>
              </w:rPr>
              <w:t>yrs</w:t>
            </w:r>
            <w:proofErr w:type="spellEnd"/>
          </w:p>
        </w:tc>
        <w:tc>
          <w:tcPr>
            <w:tcW w:w="1848" w:type="dxa"/>
            <w:shd w:val="clear" w:color="auto" w:fill="auto"/>
            <w:vAlign w:val="center"/>
          </w:tcPr>
          <w:p w:rsidR="00262B1C" w:rsidRPr="003C319C"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000000000000" w:firstRow="0" w:lastRow="0" w:firstColumn="0" w:lastColumn="0" w:oddVBand="0" w:evenVBand="0" w:oddHBand="0" w:evenHBand="0" w:firstRowFirstColumn="0" w:firstRowLastColumn="0" w:lastRowFirstColumn="0" w:lastRowLastColumn="0"/>
              <w:rPr>
                <w:color w:val="auto"/>
              </w:rPr>
            </w:pPr>
            <w:r>
              <w:rPr>
                <w:color w:val="auto"/>
              </w:rPr>
              <w:t>27 (32.1%)</w:t>
            </w:r>
          </w:p>
        </w:tc>
        <w:tc>
          <w:tcPr>
            <w:tcW w:w="2056" w:type="dxa"/>
            <w:shd w:val="clear" w:color="auto" w:fill="auto"/>
            <w:vAlign w:val="center"/>
          </w:tcPr>
          <w:p w:rsidR="00262B1C" w:rsidRPr="003C319C"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000000000000" w:firstRow="0" w:lastRow="0" w:firstColumn="0" w:lastColumn="0" w:oddVBand="0" w:evenVBand="0" w:oddHBand="0" w:evenHBand="0" w:firstRowFirstColumn="0" w:firstRowLastColumn="0" w:lastRowFirstColumn="0" w:lastRowLastColumn="0"/>
              <w:rPr>
                <w:color w:val="auto"/>
              </w:rPr>
            </w:pPr>
            <w:r>
              <w:rPr>
                <w:color w:val="auto"/>
              </w:rPr>
              <w:t>172 (40.1%)</w:t>
            </w:r>
          </w:p>
        </w:tc>
        <w:tc>
          <w:tcPr>
            <w:tcW w:w="2307" w:type="dxa"/>
            <w:vMerge w:val="restart"/>
            <w:vAlign w:val="center"/>
          </w:tcPr>
          <w:p w:rsidR="00262B1C" w:rsidRPr="003C319C"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000000000000" w:firstRow="0" w:lastRow="0" w:firstColumn="0" w:lastColumn="0" w:oddVBand="0" w:evenVBand="0" w:oddHBand="0" w:evenHBand="0" w:firstRowFirstColumn="0" w:firstRowLastColumn="0" w:lastRowFirstColumn="0" w:lastRowLastColumn="0"/>
              <w:rPr>
                <w:color w:val="auto"/>
              </w:rPr>
            </w:pPr>
            <w:r>
              <w:rPr>
                <w:color w:val="auto"/>
              </w:rPr>
              <w:t>0.094</w:t>
            </w:r>
          </w:p>
        </w:tc>
      </w:tr>
      <w:tr w:rsidR="00262B1C" w:rsidTr="00F149FC">
        <w:trPr>
          <w:cnfStyle w:val="000000100000" w:firstRow="0" w:lastRow="0" w:firstColumn="0" w:lastColumn="0" w:oddVBand="0" w:evenVBand="0" w:oddHBand="1" w:evenHBand="0" w:firstRowFirstColumn="0" w:firstRowLastColumn="0" w:lastRowFirstColumn="0" w:lastRowLastColumn="0"/>
          <w:trHeight w:val="519"/>
        </w:trPr>
        <w:tc>
          <w:tcPr>
            <w:cnfStyle w:val="001000000000" w:firstRow="0" w:lastRow="0" w:firstColumn="1" w:lastColumn="0" w:oddVBand="0" w:evenVBand="0" w:oddHBand="0" w:evenHBand="0" w:firstRowFirstColumn="0" w:firstRowLastColumn="0" w:lastRowFirstColumn="0" w:lastRowLastColumn="0"/>
            <w:tcW w:w="1860" w:type="dxa"/>
            <w:vMerge/>
            <w:vAlign w:val="center"/>
          </w:tcPr>
          <w:p w:rsidR="00262B1C" w:rsidRDefault="00262B1C" w:rsidP="00F149FC">
            <w:pPr>
              <w:pBdr>
                <w:top w:val="none" w:sz="0" w:space="0" w:color="auto"/>
                <w:left w:val="none" w:sz="0" w:space="0" w:color="auto"/>
                <w:bottom w:val="none" w:sz="0" w:space="0" w:color="auto"/>
                <w:right w:val="none" w:sz="0" w:space="0" w:color="auto"/>
                <w:between w:val="none" w:sz="0" w:space="0" w:color="auto"/>
              </w:pBdr>
              <w:rPr>
                <w:b w:val="0"/>
                <w:color w:val="auto"/>
              </w:rPr>
            </w:pPr>
          </w:p>
        </w:tc>
        <w:tc>
          <w:tcPr>
            <w:tcW w:w="1783" w:type="dxa"/>
            <w:shd w:val="clear" w:color="auto" w:fill="auto"/>
            <w:vAlign w:val="center"/>
          </w:tcPr>
          <w:p w:rsidR="00262B1C" w:rsidRPr="00595BE1" w:rsidRDefault="00262B1C" w:rsidP="00F149FC">
            <w:pPr>
              <w:pBdr>
                <w:top w:val="none" w:sz="0" w:space="0" w:color="auto"/>
                <w:left w:val="none" w:sz="0" w:space="0" w:color="auto"/>
                <w:bottom w:val="none" w:sz="0" w:space="0" w:color="auto"/>
                <w:right w:val="none" w:sz="0" w:space="0" w:color="auto"/>
                <w:between w:val="none" w:sz="0" w:space="0" w:color="auto"/>
              </w:pBdr>
              <w:cnfStyle w:val="000000100000" w:firstRow="0" w:lastRow="0" w:firstColumn="0" w:lastColumn="0" w:oddVBand="0" w:evenVBand="0" w:oddHBand="1" w:evenHBand="0" w:firstRowFirstColumn="0" w:firstRowLastColumn="0" w:lastRowFirstColumn="0" w:lastRowLastColumn="0"/>
              <w:rPr>
                <w:color w:val="auto"/>
              </w:rPr>
            </w:pPr>
            <w:r w:rsidRPr="00595BE1">
              <w:rPr>
                <w:color w:val="auto"/>
              </w:rPr>
              <w:t xml:space="preserve">60-70 </w:t>
            </w:r>
            <w:proofErr w:type="spellStart"/>
            <w:r w:rsidRPr="00595BE1">
              <w:rPr>
                <w:color w:val="auto"/>
              </w:rPr>
              <w:t>yrs</w:t>
            </w:r>
            <w:proofErr w:type="spellEnd"/>
          </w:p>
        </w:tc>
        <w:tc>
          <w:tcPr>
            <w:tcW w:w="1848" w:type="dxa"/>
            <w:shd w:val="clear" w:color="auto" w:fill="auto"/>
            <w:vAlign w:val="center"/>
          </w:tcPr>
          <w:p w:rsidR="00262B1C" w:rsidRPr="003C319C"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000000100000" w:firstRow="0" w:lastRow="0" w:firstColumn="0" w:lastColumn="0" w:oddVBand="0" w:evenVBand="0" w:oddHBand="1" w:evenHBand="0" w:firstRowFirstColumn="0" w:firstRowLastColumn="0" w:lastRowFirstColumn="0" w:lastRowLastColumn="0"/>
              <w:rPr>
                <w:color w:val="auto"/>
              </w:rPr>
            </w:pPr>
            <w:r>
              <w:rPr>
                <w:color w:val="auto"/>
              </w:rPr>
              <w:t>34 (40.5%)</w:t>
            </w:r>
          </w:p>
        </w:tc>
        <w:tc>
          <w:tcPr>
            <w:tcW w:w="2056" w:type="dxa"/>
            <w:shd w:val="clear" w:color="auto" w:fill="auto"/>
            <w:vAlign w:val="center"/>
          </w:tcPr>
          <w:p w:rsidR="00262B1C" w:rsidRPr="003C319C"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000000100000" w:firstRow="0" w:lastRow="0" w:firstColumn="0" w:lastColumn="0" w:oddVBand="0" w:evenVBand="0" w:oddHBand="1" w:evenHBand="0" w:firstRowFirstColumn="0" w:firstRowLastColumn="0" w:lastRowFirstColumn="0" w:lastRowLastColumn="0"/>
              <w:rPr>
                <w:color w:val="auto"/>
              </w:rPr>
            </w:pPr>
            <w:r>
              <w:rPr>
                <w:color w:val="auto"/>
              </w:rPr>
              <w:t>183 (42.7%)</w:t>
            </w:r>
          </w:p>
        </w:tc>
        <w:tc>
          <w:tcPr>
            <w:tcW w:w="2307" w:type="dxa"/>
            <w:vMerge/>
            <w:shd w:val="clear" w:color="auto" w:fill="auto"/>
            <w:vAlign w:val="center"/>
          </w:tcPr>
          <w:p w:rsidR="00262B1C" w:rsidRPr="003C319C"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000000100000" w:firstRow="0" w:lastRow="0" w:firstColumn="0" w:lastColumn="0" w:oddVBand="0" w:evenVBand="0" w:oddHBand="1" w:evenHBand="0" w:firstRowFirstColumn="0" w:firstRowLastColumn="0" w:lastRowFirstColumn="0" w:lastRowLastColumn="0"/>
              <w:rPr>
                <w:color w:val="auto"/>
              </w:rPr>
            </w:pPr>
          </w:p>
        </w:tc>
      </w:tr>
      <w:tr w:rsidR="00262B1C" w:rsidTr="00F149FC">
        <w:trPr>
          <w:trHeight w:val="519"/>
        </w:trPr>
        <w:tc>
          <w:tcPr>
            <w:cnfStyle w:val="001000000000" w:firstRow="0" w:lastRow="0" w:firstColumn="1" w:lastColumn="0" w:oddVBand="0" w:evenVBand="0" w:oddHBand="0" w:evenHBand="0" w:firstRowFirstColumn="0" w:firstRowLastColumn="0" w:lastRowFirstColumn="0" w:lastRowLastColumn="0"/>
            <w:tcW w:w="1860" w:type="dxa"/>
            <w:vMerge/>
            <w:vAlign w:val="center"/>
          </w:tcPr>
          <w:p w:rsidR="00262B1C" w:rsidRDefault="00262B1C" w:rsidP="00F149FC">
            <w:pPr>
              <w:pBdr>
                <w:top w:val="none" w:sz="0" w:space="0" w:color="auto"/>
                <w:left w:val="none" w:sz="0" w:space="0" w:color="auto"/>
                <w:bottom w:val="none" w:sz="0" w:space="0" w:color="auto"/>
                <w:right w:val="none" w:sz="0" w:space="0" w:color="auto"/>
                <w:between w:val="none" w:sz="0" w:space="0" w:color="auto"/>
              </w:pBdr>
              <w:rPr>
                <w:b w:val="0"/>
                <w:color w:val="auto"/>
              </w:rPr>
            </w:pPr>
          </w:p>
        </w:tc>
        <w:tc>
          <w:tcPr>
            <w:tcW w:w="1783" w:type="dxa"/>
            <w:vAlign w:val="center"/>
          </w:tcPr>
          <w:p w:rsidR="00262B1C" w:rsidRPr="00595BE1" w:rsidRDefault="00262B1C" w:rsidP="00F149FC">
            <w:pPr>
              <w:pBdr>
                <w:top w:val="none" w:sz="0" w:space="0" w:color="auto"/>
                <w:left w:val="none" w:sz="0" w:space="0" w:color="auto"/>
                <w:bottom w:val="none" w:sz="0" w:space="0" w:color="auto"/>
                <w:right w:val="none" w:sz="0" w:space="0" w:color="auto"/>
                <w:between w:val="none" w:sz="0" w:space="0" w:color="auto"/>
              </w:pBdr>
              <w:cnfStyle w:val="000000000000" w:firstRow="0" w:lastRow="0" w:firstColumn="0" w:lastColumn="0" w:oddVBand="0" w:evenVBand="0" w:oddHBand="0" w:evenHBand="0" w:firstRowFirstColumn="0" w:firstRowLastColumn="0" w:lastRowFirstColumn="0" w:lastRowLastColumn="0"/>
              <w:rPr>
                <w:color w:val="auto"/>
              </w:rPr>
            </w:pPr>
            <w:r w:rsidRPr="00595BE1">
              <w:rPr>
                <w:color w:val="auto"/>
              </w:rPr>
              <w:t xml:space="preserve">&gt;70 </w:t>
            </w:r>
            <w:proofErr w:type="spellStart"/>
            <w:r w:rsidRPr="00595BE1">
              <w:rPr>
                <w:color w:val="auto"/>
              </w:rPr>
              <w:t>yrs</w:t>
            </w:r>
            <w:proofErr w:type="spellEnd"/>
          </w:p>
        </w:tc>
        <w:tc>
          <w:tcPr>
            <w:tcW w:w="1848" w:type="dxa"/>
            <w:shd w:val="clear" w:color="auto" w:fill="auto"/>
            <w:vAlign w:val="center"/>
          </w:tcPr>
          <w:p w:rsidR="00262B1C" w:rsidRPr="003C319C"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000000000000" w:firstRow="0" w:lastRow="0" w:firstColumn="0" w:lastColumn="0" w:oddVBand="0" w:evenVBand="0" w:oddHBand="0" w:evenHBand="0" w:firstRowFirstColumn="0" w:firstRowLastColumn="0" w:lastRowFirstColumn="0" w:lastRowLastColumn="0"/>
              <w:rPr>
                <w:color w:val="auto"/>
              </w:rPr>
            </w:pPr>
            <w:r>
              <w:rPr>
                <w:color w:val="auto"/>
              </w:rPr>
              <w:t>23 (27.4%)</w:t>
            </w:r>
          </w:p>
        </w:tc>
        <w:tc>
          <w:tcPr>
            <w:tcW w:w="2056" w:type="dxa"/>
            <w:shd w:val="clear" w:color="auto" w:fill="auto"/>
            <w:vAlign w:val="center"/>
          </w:tcPr>
          <w:p w:rsidR="00262B1C" w:rsidRPr="003C319C"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000000000000" w:firstRow="0" w:lastRow="0" w:firstColumn="0" w:lastColumn="0" w:oddVBand="0" w:evenVBand="0" w:oddHBand="0" w:evenHBand="0" w:firstRowFirstColumn="0" w:firstRowLastColumn="0" w:lastRowFirstColumn="0" w:lastRowLastColumn="0"/>
              <w:rPr>
                <w:color w:val="auto"/>
              </w:rPr>
            </w:pPr>
            <w:r>
              <w:rPr>
                <w:color w:val="auto"/>
              </w:rPr>
              <w:t>74 (17.2%)</w:t>
            </w:r>
          </w:p>
        </w:tc>
        <w:tc>
          <w:tcPr>
            <w:tcW w:w="2307" w:type="dxa"/>
            <w:vMerge/>
            <w:vAlign w:val="center"/>
          </w:tcPr>
          <w:p w:rsidR="00262B1C" w:rsidRPr="003C319C"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000000000000" w:firstRow="0" w:lastRow="0" w:firstColumn="0" w:lastColumn="0" w:oddVBand="0" w:evenVBand="0" w:oddHBand="0" w:evenHBand="0" w:firstRowFirstColumn="0" w:firstRowLastColumn="0" w:lastRowFirstColumn="0" w:lastRowLastColumn="0"/>
              <w:rPr>
                <w:color w:val="auto"/>
              </w:rPr>
            </w:pPr>
          </w:p>
        </w:tc>
      </w:tr>
      <w:tr w:rsidR="00262B1C" w:rsidTr="00F149FC">
        <w:trPr>
          <w:cnfStyle w:val="000000100000" w:firstRow="0" w:lastRow="0" w:firstColumn="0" w:lastColumn="0" w:oddVBand="0" w:evenVBand="0" w:oddHBand="1" w:evenHBand="0" w:firstRowFirstColumn="0" w:firstRowLastColumn="0" w:lastRowFirstColumn="0" w:lastRowLastColumn="0"/>
          <w:trHeight w:val="519"/>
        </w:trPr>
        <w:tc>
          <w:tcPr>
            <w:cnfStyle w:val="001000000000" w:firstRow="0" w:lastRow="0" w:firstColumn="1" w:lastColumn="0" w:oddVBand="0" w:evenVBand="0" w:oddHBand="0" w:evenHBand="0" w:firstRowFirstColumn="0" w:firstRowLastColumn="0" w:lastRowFirstColumn="0" w:lastRowLastColumn="0"/>
            <w:tcW w:w="1860" w:type="dxa"/>
            <w:vMerge w:val="restart"/>
            <w:shd w:val="clear" w:color="auto" w:fill="DEEAF6" w:themeFill="accent5" w:themeFillTint="33"/>
            <w:vAlign w:val="center"/>
          </w:tcPr>
          <w:p w:rsidR="00262B1C" w:rsidRPr="003945EC" w:rsidRDefault="00262B1C" w:rsidP="00F149FC">
            <w:pPr>
              <w:pBdr>
                <w:top w:val="none" w:sz="0" w:space="0" w:color="auto"/>
                <w:left w:val="none" w:sz="0" w:space="0" w:color="auto"/>
                <w:bottom w:val="none" w:sz="0" w:space="0" w:color="auto"/>
                <w:right w:val="none" w:sz="0" w:space="0" w:color="auto"/>
                <w:between w:val="none" w:sz="0" w:space="0" w:color="auto"/>
              </w:pBdr>
              <w:rPr>
                <w:bCs w:val="0"/>
                <w:i/>
                <w:color w:val="auto"/>
              </w:rPr>
            </w:pPr>
            <w:r w:rsidRPr="003945EC">
              <w:rPr>
                <w:bCs w:val="0"/>
                <w:i/>
                <w:color w:val="auto"/>
              </w:rPr>
              <w:t>TP53</w:t>
            </w:r>
          </w:p>
        </w:tc>
        <w:tc>
          <w:tcPr>
            <w:tcW w:w="1783" w:type="dxa"/>
            <w:shd w:val="clear" w:color="auto" w:fill="DEEAF6" w:themeFill="accent5" w:themeFillTint="33"/>
            <w:vAlign w:val="center"/>
          </w:tcPr>
          <w:p w:rsidR="00262B1C" w:rsidRPr="00595BE1" w:rsidRDefault="00262B1C" w:rsidP="00F149FC">
            <w:pPr>
              <w:pBdr>
                <w:top w:val="none" w:sz="0" w:space="0" w:color="auto"/>
                <w:left w:val="none" w:sz="0" w:space="0" w:color="auto"/>
                <w:bottom w:val="none" w:sz="0" w:space="0" w:color="auto"/>
                <w:right w:val="none" w:sz="0" w:space="0" w:color="auto"/>
                <w:between w:val="none" w:sz="0" w:space="0" w:color="auto"/>
              </w:pBdr>
              <w:cnfStyle w:val="000000100000" w:firstRow="0" w:lastRow="0" w:firstColumn="0" w:lastColumn="0" w:oddVBand="0" w:evenVBand="0" w:oddHBand="1" w:evenHBand="0" w:firstRowFirstColumn="0" w:firstRowLastColumn="0" w:lastRowFirstColumn="0" w:lastRowLastColumn="0"/>
              <w:rPr>
                <w:color w:val="auto"/>
              </w:rPr>
            </w:pPr>
            <w:r w:rsidRPr="00595BE1">
              <w:rPr>
                <w:color w:val="auto"/>
              </w:rPr>
              <w:t>Mutated</w:t>
            </w:r>
          </w:p>
        </w:tc>
        <w:tc>
          <w:tcPr>
            <w:tcW w:w="1848" w:type="dxa"/>
            <w:shd w:val="clear" w:color="auto" w:fill="DEEAF6" w:themeFill="accent5" w:themeFillTint="33"/>
            <w:vAlign w:val="center"/>
          </w:tcPr>
          <w:p w:rsidR="00262B1C" w:rsidRPr="004C68AA"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000000100000" w:firstRow="0" w:lastRow="0" w:firstColumn="0" w:lastColumn="0" w:oddVBand="0" w:evenVBand="0" w:oddHBand="1" w:evenHBand="0" w:firstRowFirstColumn="0" w:firstRowLastColumn="0" w:lastRowFirstColumn="0" w:lastRowLastColumn="0"/>
              <w:rPr>
                <w:color w:val="auto"/>
              </w:rPr>
            </w:pPr>
            <w:r>
              <w:rPr>
                <w:color w:val="auto"/>
              </w:rPr>
              <w:t>4 (7.5%)</w:t>
            </w:r>
          </w:p>
        </w:tc>
        <w:tc>
          <w:tcPr>
            <w:tcW w:w="2056" w:type="dxa"/>
            <w:shd w:val="clear" w:color="auto" w:fill="DEEAF6" w:themeFill="accent5" w:themeFillTint="33"/>
            <w:vAlign w:val="center"/>
          </w:tcPr>
          <w:p w:rsidR="00262B1C" w:rsidRPr="004C68AA"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000000100000" w:firstRow="0" w:lastRow="0" w:firstColumn="0" w:lastColumn="0" w:oddVBand="0" w:evenVBand="0" w:oddHBand="1" w:evenHBand="0" w:firstRowFirstColumn="0" w:firstRowLastColumn="0" w:lastRowFirstColumn="0" w:lastRowLastColumn="0"/>
              <w:rPr>
                <w:color w:val="auto"/>
              </w:rPr>
            </w:pPr>
            <w:r>
              <w:rPr>
                <w:color w:val="auto"/>
              </w:rPr>
              <w:t>46 (16.3%)</w:t>
            </w:r>
          </w:p>
        </w:tc>
        <w:tc>
          <w:tcPr>
            <w:tcW w:w="2307" w:type="dxa"/>
            <w:vMerge w:val="restart"/>
            <w:shd w:val="clear" w:color="auto" w:fill="DEEAF6" w:themeFill="accent5" w:themeFillTint="33"/>
            <w:vAlign w:val="center"/>
          </w:tcPr>
          <w:p w:rsidR="00262B1C" w:rsidRPr="00EF1CA8"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000000100000" w:firstRow="0" w:lastRow="0" w:firstColumn="0" w:lastColumn="0" w:oddVBand="0" w:evenVBand="0" w:oddHBand="1" w:evenHBand="0" w:firstRowFirstColumn="0" w:firstRowLastColumn="0" w:lastRowFirstColumn="0" w:lastRowLastColumn="0"/>
              <w:rPr>
                <w:color w:val="auto"/>
              </w:rPr>
            </w:pPr>
            <w:r w:rsidRPr="00EF1CA8">
              <w:rPr>
                <w:color w:val="auto"/>
              </w:rPr>
              <w:t>0.139</w:t>
            </w:r>
          </w:p>
        </w:tc>
      </w:tr>
      <w:tr w:rsidR="00262B1C" w:rsidTr="00F149FC">
        <w:trPr>
          <w:trHeight w:val="519"/>
        </w:trPr>
        <w:tc>
          <w:tcPr>
            <w:cnfStyle w:val="001000000000" w:firstRow="0" w:lastRow="0" w:firstColumn="1" w:lastColumn="0" w:oddVBand="0" w:evenVBand="0" w:oddHBand="0" w:evenHBand="0" w:firstRowFirstColumn="0" w:firstRowLastColumn="0" w:lastRowFirstColumn="0" w:lastRowLastColumn="0"/>
            <w:tcW w:w="1860" w:type="dxa"/>
            <w:vMerge/>
            <w:shd w:val="clear" w:color="auto" w:fill="DEEAF6" w:themeFill="accent5" w:themeFillTint="33"/>
            <w:vAlign w:val="center"/>
          </w:tcPr>
          <w:p w:rsidR="00262B1C" w:rsidRDefault="00262B1C" w:rsidP="00F149FC">
            <w:pPr>
              <w:pBdr>
                <w:top w:val="none" w:sz="0" w:space="0" w:color="auto"/>
                <w:left w:val="none" w:sz="0" w:space="0" w:color="auto"/>
                <w:bottom w:val="none" w:sz="0" w:space="0" w:color="auto"/>
                <w:right w:val="none" w:sz="0" w:space="0" w:color="auto"/>
                <w:between w:val="none" w:sz="0" w:space="0" w:color="auto"/>
              </w:pBdr>
              <w:rPr>
                <w:bCs w:val="0"/>
                <w:color w:val="auto"/>
              </w:rPr>
            </w:pPr>
          </w:p>
        </w:tc>
        <w:tc>
          <w:tcPr>
            <w:tcW w:w="1783" w:type="dxa"/>
            <w:shd w:val="clear" w:color="auto" w:fill="DEEAF6" w:themeFill="accent5" w:themeFillTint="33"/>
            <w:vAlign w:val="center"/>
          </w:tcPr>
          <w:p w:rsidR="00262B1C" w:rsidRPr="00595BE1" w:rsidRDefault="00262B1C" w:rsidP="00F149FC">
            <w:pPr>
              <w:pBdr>
                <w:top w:val="none" w:sz="0" w:space="0" w:color="auto"/>
                <w:left w:val="none" w:sz="0" w:space="0" w:color="auto"/>
                <w:bottom w:val="none" w:sz="0" w:space="0" w:color="auto"/>
                <w:right w:val="none" w:sz="0" w:space="0" w:color="auto"/>
                <w:between w:val="none" w:sz="0" w:space="0" w:color="auto"/>
              </w:pBdr>
              <w:cnfStyle w:val="000000000000" w:firstRow="0" w:lastRow="0" w:firstColumn="0" w:lastColumn="0" w:oddVBand="0" w:evenVBand="0" w:oddHBand="0" w:evenHBand="0" w:firstRowFirstColumn="0" w:firstRowLastColumn="0" w:lastRowFirstColumn="0" w:lastRowLastColumn="0"/>
              <w:rPr>
                <w:color w:val="auto"/>
              </w:rPr>
            </w:pPr>
            <w:r w:rsidRPr="00595BE1">
              <w:rPr>
                <w:color w:val="auto"/>
              </w:rPr>
              <w:t>Wildtype</w:t>
            </w:r>
          </w:p>
        </w:tc>
        <w:tc>
          <w:tcPr>
            <w:tcW w:w="1848" w:type="dxa"/>
            <w:shd w:val="clear" w:color="auto" w:fill="DEEAF6" w:themeFill="accent5" w:themeFillTint="33"/>
            <w:vAlign w:val="center"/>
          </w:tcPr>
          <w:p w:rsidR="00262B1C" w:rsidRPr="003945EC"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000000000000" w:firstRow="0" w:lastRow="0" w:firstColumn="0" w:lastColumn="0" w:oddVBand="0" w:evenVBand="0" w:oddHBand="0" w:evenHBand="0" w:firstRowFirstColumn="0" w:firstRowLastColumn="0" w:lastRowFirstColumn="0" w:lastRowLastColumn="0"/>
              <w:rPr>
                <w:color w:val="auto"/>
              </w:rPr>
            </w:pPr>
            <w:r>
              <w:rPr>
                <w:color w:val="auto"/>
              </w:rPr>
              <w:t>46 (92.5)</w:t>
            </w:r>
          </w:p>
        </w:tc>
        <w:tc>
          <w:tcPr>
            <w:tcW w:w="2056" w:type="dxa"/>
            <w:shd w:val="clear" w:color="auto" w:fill="DEEAF6" w:themeFill="accent5" w:themeFillTint="33"/>
            <w:vAlign w:val="center"/>
          </w:tcPr>
          <w:p w:rsidR="00262B1C" w:rsidRPr="003945EC"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000000000000" w:firstRow="0" w:lastRow="0" w:firstColumn="0" w:lastColumn="0" w:oddVBand="0" w:evenVBand="0" w:oddHBand="0" w:evenHBand="0" w:firstRowFirstColumn="0" w:firstRowLastColumn="0" w:lastRowFirstColumn="0" w:lastRowLastColumn="0"/>
              <w:rPr>
                <w:color w:val="auto"/>
              </w:rPr>
            </w:pPr>
            <w:r>
              <w:rPr>
                <w:color w:val="auto"/>
              </w:rPr>
              <w:t>236 (83.7%)</w:t>
            </w:r>
          </w:p>
        </w:tc>
        <w:tc>
          <w:tcPr>
            <w:tcW w:w="2307" w:type="dxa"/>
            <w:vMerge/>
            <w:shd w:val="clear" w:color="auto" w:fill="DEEAF6" w:themeFill="accent5" w:themeFillTint="33"/>
            <w:vAlign w:val="center"/>
          </w:tcPr>
          <w:p w:rsidR="00262B1C" w:rsidRPr="003945EC"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000000000000" w:firstRow="0" w:lastRow="0" w:firstColumn="0" w:lastColumn="0" w:oddVBand="0" w:evenVBand="0" w:oddHBand="0" w:evenHBand="0" w:firstRowFirstColumn="0" w:firstRowLastColumn="0" w:lastRowFirstColumn="0" w:lastRowLastColumn="0"/>
              <w:rPr>
                <w:color w:val="auto"/>
              </w:rPr>
            </w:pPr>
          </w:p>
        </w:tc>
      </w:tr>
      <w:tr w:rsidR="00262B1C" w:rsidTr="00F149FC">
        <w:trPr>
          <w:cnfStyle w:val="000000100000" w:firstRow="0" w:lastRow="0" w:firstColumn="0" w:lastColumn="0" w:oddVBand="0" w:evenVBand="0" w:oddHBand="1" w:evenHBand="0" w:firstRowFirstColumn="0" w:firstRowLastColumn="0" w:lastRowFirstColumn="0" w:lastRowLastColumn="0"/>
          <w:trHeight w:val="519"/>
        </w:trPr>
        <w:tc>
          <w:tcPr>
            <w:cnfStyle w:val="001000000000" w:firstRow="0" w:lastRow="0" w:firstColumn="1" w:lastColumn="0" w:oddVBand="0" w:evenVBand="0" w:oddHBand="0" w:evenHBand="0" w:firstRowFirstColumn="0" w:firstRowLastColumn="0" w:lastRowFirstColumn="0" w:lastRowLastColumn="0"/>
            <w:tcW w:w="1860" w:type="dxa"/>
            <w:vMerge w:val="restart"/>
            <w:shd w:val="clear" w:color="auto" w:fill="FFFFFF" w:themeFill="background1"/>
            <w:vAlign w:val="center"/>
          </w:tcPr>
          <w:p w:rsidR="00262B1C" w:rsidRDefault="00262B1C" w:rsidP="00F149FC">
            <w:pPr>
              <w:pBdr>
                <w:top w:val="none" w:sz="0" w:space="0" w:color="auto"/>
                <w:left w:val="none" w:sz="0" w:space="0" w:color="auto"/>
                <w:bottom w:val="none" w:sz="0" w:space="0" w:color="auto"/>
                <w:right w:val="none" w:sz="0" w:space="0" w:color="auto"/>
                <w:between w:val="none" w:sz="0" w:space="0" w:color="auto"/>
              </w:pBdr>
              <w:rPr>
                <w:bCs w:val="0"/>
                <w:color w:val="auto"/>
              </w:rPr>
            </w:pPr>
            <w:r>
              <w:rPr>
                <w:bCs w:val="0"/>
                <w:color w:val="auto"/>
              </w:rPr>
              <w:t xml:space="preserve">ELN 2017 </w:t>
            </w:r>
          </w:p>
        </w:tc>
        <w:tc>
          <w:tcPr>
            <w:tcW w:w="1783" w:type="dxa"/>
            <w:shd w:val="clear" w:color="auto" w:fill="FFFFFF" w:themeFill="background1"/>
            <w:vAlign w:val="center"/>
          </w:tcPr>
          <w:p w:rsidR="00262B1C" w:rsidRPr="00595BE1" w:rsidRDefault="00262B1C" w:rsidP="00F149FC">
            <w:pPr>
              <w:pBdr>
                <w:top w:val="none" w:sz="0" w:space="0" w:color="auto"/>
                <w:left w:val="none" w:sz="0" w:space="0" w:color="auto"/>
                <w:bottom w:val="none" w:sz="0" w:space="0" w:color="auto"/>
                <w:right w:val="none" w:sz="0" w:space="0" w:color="auto"/>
                <w:between w:val="none" w:sz="0" w:space="0" w:color="auto"/>
              </w:pBdr>
              <w:cnfStyle w:val="000000100000" w:firstRow="0" w:lastRow="0" w:firstColumn="0" w:lastColumn="0" w:oddVBand="0" w:evenVBand="0" w:oddHBand="1" w:evenHBand="0" w:firstRowFirstColumn="0" w:firstRowLastColumn="0" w:lastRowFirstColumn="0" w:lastRowLastColumn="0"/>
              <w:rPr>
                <w:color w:val="auto"/>
              </w:rPr>
            </w:pPr>
            <w:r w:rsidRPr="00595BE1">
              <w:rPr>
                <w:color w:val="auto"/>
              </w:rPr>
              <w:t>Favorable</w:t>
            </w:r>
          </w:p>
        </w:tc>
        <w:tc>
          <w:tcPr>
            <w:tcW w:w="1848" w:type="dxa"/>
            <w:shd w:val="clear" w:color="auto" w:fill="FFFFFF" w:themeFill="background1"/>
          </w:tcPr>
          <w:p w:rsidR="00262B1C" w:rsidRPr="004C68AA"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000000100000" w:firstRow="0" w:lastRow="0" w:firstColumn="0" w:lastColumn="0" w:oddVBand="0" w:evenVBand="0" w:oddHBand="1" w:evenHBand="0" w:firstRowFirstColumn="0" w:firstRowLastColumn="0" w:lastRowFirstColumn="0" w:lastRowLastColumn="0"/>
              <w:rPr>
                <w:color w:val="auto"/>
              </w:rPr>
            </w:pPr>
            <w:r>
              <w:rPr>
                <w:color w:val="auto"/>
              </w:rPr>
              <w:t>6 (7.1%)</w:t>
            </w:r>
          </w:p>
        </w:tc>
        <w:tc>
          <w:tcPr>
            <w:tcW w:w="2056" w:type="dxa"/>
            <w:shd w:val="clear" w:color="auto" w:fill="FFFFFF" w:themeFill="background1"/>
          </w:tcPr>
          <w:p w:rsidR="00262B1C" w:rsidRPr="004C68AA"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000000100000" w:firstRow="0" w:lastRow="0" w:firstColumn="0" w:lastColumn="0" w:oddVBand="0" w:evenVBand="0" w:oddHBand="1" w:evenHBand="0" w:firstRowFirstColumn="0" w:firstRowLastColumn="0" w:lastRowFirstColumn="0" w:lastRowLastColumn="0"/>
              <w:rPr>
                <w:color w:val="auto"/>
              </w:rPr>
            </w:pPr>
            <w:r>
              <w:rPr>
                <w:color w:val="auto"/>
              </w:rPr>
              <w:t>21 (4.9%)</w:t>
            </w:r>
          </w:p>
        </w:tc>
        <w:tc>
          <w:tcPr>
            <w:tcW w:w="2307" w:type="dxa"/>
            <w:vMerge w:val="restart"/>
            <w:shd w:val="clear" w:color="auto" w:fill="FFFFFF" w:themeFill="background1"/>
            <w:vAlign w:val="center"/>
          </w:tcPr>
          <w:p w:rsidR="00262B1C" w:rsidRPr="00EF1CA8"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000000100000" w:firstRow="0" w:lastRow="0" w:firstColumn="0" w:lastColumn="0" w:oddVBand="0" w:evenVBand="0" w:oddHBand="1" w:evenHBand="0" w:firstRowFirstColumn="0" w:firstRowLastColumn="0" w:lastRowFirstColumn="0" w:lastRowLastColumn="0"/>
              <w:rPr>
                <w:color w:val="auto"/>
              </w:rPr>
            </w:pPr>
            <w:r w:rsidRPr="00EF1CA8">
              <w:rPr>
                <w:color w:val="auto"/>
              </w:rPr>
              <w:t>0.764</w:t>
            </w:r>
          </w:p>
        </w:tc>
      </w:tr>
      <w:tr w:rsidR="00262B1C" w:rsidTr="00F149FC">
        <w:trPr>
          <w:trHeight w:val="519"/>
        </w:trPr>
        <w:tc>
          <w:tcPr>
            <w:cnfStyle w:val="001000000000" w:firstRow="0" w:lastRow="0" w:firstColumn="1" w:lastColumn="0" w:oddVBand="0" w:evenVBand="0" w:oddHBand="0" w:evenHBand="0" w:firstRowFirstColumn="0" w:firstRowLastColumn="0" w:lastRowFirstColumn="0" w:lastRowLastColumn="0"/>
            <w:tcW w:w="1860" w:type="dxa"/>
            <w:vMerge/>
            <w:shd w:val="clear" w:color="auto" w:fill="FFFFFF" w:themeFill="background1"/>
            <w:vAlign w:val="center"/>
          </w:tcPr>
          <w:p w:rsidR="00262B1C" w:rsidRDefault="00262B1C" w:rsidP="00F149FC">
            <w:pPr>
              <w:pBdr>
                <w:top w:val="none" w:sz="0" w:space="0" w:color="auto"/>
                <w:left w:val="none" w:sz="0" w:space="0" w:color="auto"/>
                <w:bottom w:val="none" w:sz="0" w:space="0" w:color="auto"/>
                <w:right w:val="none" w:sz="0" w:space="0" w:color="auto"/>
                <w:between w:val="none" w:sz="0" w:space="0" w:color="auto"/>
              </w:pBdr>
              <w:rPr>
                <w:bCs w:val="0"/>
                <w:color w:val="auto"/>
              </w:rPr>
            </w:pPr>
          </w:p>
        </w:tc>
        <w:tc>
          <w:tcPr>
            <w:tcW w:w="1783" w:type="dxa"/>
            <w:shd w:val="clear" w:color="auto" w:fill="FFFFFF" w:themeFill="background1"/>
            <w:vAlign w:val="center"/>
          </w:tcPr>
          <w:p w:rsidR="00262B1C" w:rsidRPr="00595BE1" w:rsidRDefault="00262B1C" w:rsidP="00F149FC">
            <w:pPr>
              <w:pBdr>
                <w:top w:val="none" w:sz="0" w:space="0" w:color="auto"/>
                <w:left w:val="none" w:sz="0" w:space="0" w:color="auto"/>
                <w:bottom w:val="none" w:sz="0" w:space="0" w:color="auto"/>
                <w:right w:val="none" w:sz="0" w:space="0" w:color="auto"/>
                <w:between w:val="none" w:sz="0" w:space="0" w:color="auto"/>
              </w:pBdr>
              <w:cnfStyle w:val="000000000000" w:firstRow="0" w:lastRow="0" w:firstColumn="0" w:lastColumn="0" w:oddVBand="0" w:evenVBand="0" w:oddHBand="0" w:evenHBand="0" w:firstRowFirstColumn="0" w:firstRowLastColumn="0" w:lastRowFirstColumn="0" w:lastRowLastColumn="0"/>
              <w:rPr>
                <w:color w:val="auto"/>
              </w:rPr>
            </w:pPr>
            <w:r w:rsidRPr="00595BE1">
              <w:rPr>
                <w:color w:val="auto"/>
              </w:rPr>
              <w:t>Intermediate</w:t>
            </w:r>
          </w:p>
        </w:tc>
        <w:tc>
          <w:tcPr>
            <w:tcW w:w="1848" w:type="dxa"/>
            <w:shd w:val="clear" w:color="auto" w:fill="FFFFFF" w:themeFill="background1"/>
          </w:tcPr>
          <w:p w:rsidR="00262B1C" w:rsidRPr="004C68AA"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000000000000" w:firstRow="0" w:lastRow="0" w:firstColumn="0" w:lastColumn="0" w:oddVBand="0" w:evenVBand="0" w:oddHBand="0" w:evenHBand="0" w:firstRowFirstColumn="0" w:firstRowLastColumn="0" w:lastRowFirstColumn="0" w:lastRowLastColumn="0"/>
              <w:rPr>
                <w:color w:val="auto"/>
              </w:rPr>
            </w:pPr>
            <w:r>
              <w:rPr>
                <w:color w:val="auto"/>
              </w:rPr>
              <w:t>24 (28.6%)</w:t>
            </w:r>
          </w:p>
        </w:tc>
        <w:tc>
          <w:tcPr>
            <w:tcW w:w="2056" w:type="dxa"/>
            <w:shd w:val="clear" w:color="auto" w:fill="FFFFFF" w:themeFill="background1"/>
          </w:tcPr>
          <w:p w:rsidR="00262B1C" w:rsidRPr="004C68AA"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000000000000" w:firstRow="0" w:lastRow="0" w:firstColumn="0" w:lastColumn="0" w:oddVBand="0" w:evenVBand="0" w:oddHBand="0" w:evenHBand="0" w:firstRowFirstColumn="0" w:firstRowLastColumn="0" w:lastRowFirstColumn="0" w:lastRowLastColumn="0"/>
              <w:rPr>
                <w:color w:val="auto"/>
              </w:rPr>
            </w:pPr>
            <w:r>
              <w:rPr>
                <w:color w:val="auto"/>
              </w:rPr>
              <w:t>153 (35.7%)</w:t>
            </w:r>
          </w:p>
        </w:tc>
        <w:tc>
          <w:tcPr>
            <w:tcW w:w="2307" w:type="dxa"/>
            <w:vMerge/>
            <w:shd w:val="clear" w:color="auto" w:fill="FFFFFF" w:themeFill="background1"/>
            <w:vAlign w:val="center"/>
          </w:tcPr>
          <w:p w:rsidR="00262B1C"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000000000000" w:firstRow="0" w:lastRow="0" w:firstColumn="0" w:lastColumn="0" w:oddVBand="0" w:evenVBand="0" w:oddHBand="0" w:evenHBand="0" w:firstRowFirstColumn="0" w:firstRowLastColumn="0" w:lastRowFirstColumn="0" w:lastRowLastColumn="0"/>
              <w:rPr>
                <w:b/>
                <w:color w:val="auto"/>
              </w:rPr>
            </w:pPr>
          </w:p>
        </w:tc>
      </w:tr>
      <w:tr w:rsidR="00262B1C" w:rsidTr="00F149FC">
        <w:trPr>
          <w:cnfStyle w:val="000000100000" w:firstRow="0" w:lastRow="0" w:firstColumn="0" w:lastColumn="0" w:oddVBand="0" w:evenVBand="0" w:oddHBand="1" w:evenHBand="0" w:firstRowFirstColumn="0" w:firstRowLastColumn="0" w:lastRowFirstColumn="0" w:lastRowLastColumn="0"/>
          <w:trHeight w:val="519"/>
        </w:trPr>
        <w:tc>
          <w:tcPr>
            <w:cnfStyle w:val="001000000000" w:firstRow="0" w:lastRow="0" w:firstColumn="1" w:lastColumn="0" w:oddVBand="0" w:evenVBand="0" w:oddHBand="0" w:evenHBand="0" w:firstRowFirstColumn="0" w:firstRowLastColumn="0" w:lastRowFirstColumn="0" w:lastRowLastColumn="0"/>
            <w:tcW w:w="1860" w:type="dxa"/>
            <w:vMerge/>
            <w:shd w:val="clear" w:color="auto" w:fill="FFFFFF" w:themeFill="background1"/>
            <w:vAlign w:val="center"/>
          </w:tcPr>
          <w:p w:rsidR="00262B1C" w:rsidRDefault="00262B1C" w:rsidP="00F149FC">
            <w:pPr>
              <w:pBdr>
                <w:top w:val="none" w:sz="0" w:space="0" w:color="auto"/>
                <w:left w:val="none" w:sz="0" w:space="0" w:color="auto"/>
                <w:bottom w:val="none" w:sz="0" w:space="0" w:color="auto"/>
                <w:right w:val="none" w:sz="0" w:space="0" w:color="auto"/>
                <w:between w:val="none" w:sz="0" w:space="0" w:color="auto"/>
              </w:pBdr>
              <w:rPr>
                <w:bCs w:val="0"/>
                <w:color w:val="auto"/>
              </w:rPr>
            </w:pPr>
          </w:p>
        </w:tc>
        <w:tc>
          <w:tcPr>
            <w:tcW w:w="1783" w:type="dxa"/>
            <w:shd w:val="clear" w:color="auto" w:fill="FFFFFF" w:themeFill="background1"/>
            <w:vAlign w:val="center"/>
          </w:tcPr>
          <w:p w:rsidR="00262B1C" w:rsidRPr="00595BE1" w:rsidRDefault="00262B1C" w:rsidP="00F149FC">
            <w:pPr>
              <w:pBdr>
                <w:top w:val="none" w:sz="0" w:space="0" w:color="auto"/>
                <w:left w:val="none" w:sz="0" w:space="0" w:color="auto"/>
                <w:bottom w:val="none" w:sz="0" w:space="0" w:color="auto"/>
                <w:right w:val="none" w:sz="0" w:space="0" w:color="auto"/>
                <w:between w:val="none" w:sz="0" w:space="0" w:color="auto"/>
              </w:pBdr>
              <w:cnfStyle w:val="000000100000" w:firstRow="0" w:lastRow="0" w:firstColumn="0" w:lastColumn="0" w:oddVBand="0" w:evenVBand="0" w:oddHBand="1" w:evenHBand="0" w:firstRowFirstColumn="0" w:firstRowLastColumn="0" w:lastRowFirstColumn="0" w:lastRowLastColumn="0"/>
              <w:rPr>
                <w:color w:val="auto"/>
              </w:rPr>
            </w:pPr>
            <w:r w:rsidRPr="00595BE1">
              <w:rPr>
                <w:color w:val="auto"/>
              </w:rPr>
              <w:t>Unfavorable</w:t>
            </w:r>
          </w:p>
        </w:tc>
        <w:tc>
          <w:tcPr>
            <w:tcW w:w="1848" w:type="dxa"/>
            <w:shd w:val="clear" w:color="auto" w:fill="FFFFFF" w:themeFill="background1"/>
          </w:tcPr>
          <w:p w:rsidR="00262B1C" w:rsidRPr="004C68AA"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000000100000" w:firstRow="0" w:lastRow="0" w:firstColumn="0" w:lastColumn="0" w:oddVBand="0" w:evenVBand="0" w:oddHBand="1" w:evenHBand="0" w:firstRowFirstColumn="0" w:firstRowLastColumn="0" w:lastRowFirstColumn="0" w:lastRowLastColumn="0"/>
              <w:rPr>
                <w:color w:val="auto"/>
              </w:rPr>
            </w:pPr>
            <w:r>
              <w:rPr>
                <w:color w:val="auto"/>
              </w:rPr>
              <w:t>54 (64.3%)</w:t>
            </w:r>
          </w:p>
        </w:tc>
        <w:tc>
          <w:tcPr>
            <w:tcW w:w="2056" w:type="dxa"/>
            <w:shd w:val="clear" w:color="auto" w:fill="FFFFFF" w:themeFill="background1"/>
          </w:tcPr>
          <w:p w:rsidR="00262B1C" w:rsidRPr="004C68AA"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000000100000" w:firstRow="0" w:lastRow="0" w:firstColumn="0" w:lastColumn="0" w:oddVBand="0" w:evenVBand="0" w:oddHBand="1" w:evenHBand="0" w:firstRowFirstColumn="0" w:firstRowLastColumn="0" w:lastRowFirstColumn="0" w:lastRowLastColumn="0"/>
              <w:rPr>
                <w:color w:val="auto"/>
              </w:rPr>
            </w:pPr>
            <w:r>
              <w:rPr>
                <w:color w:val="auto"/>
              </w:rPr>
              <w:t>255 (59.4%)</w:t>
            </w:r>
          </w:p>
        </w:tc>
        <w:tc>
          <w:tcPr>
            <w:tcW w:w="2307" w:type="dxa"/>
            <w:vMerge/>
            <w:shd w:val="clear" w:color="auto" w:fill="FFFFFF" w:themeFill="background1"/>
            <w:vAlign w:val="center"/>
          </w:tcPr>
          <w:p w:rsidR="00262B1C" w:rsidRDefault="00262B1C" w:rsidP="00F149FC">
            <w:pPr>
              <w:pBdr>
                <w:top w:val="none" w:sz="0" w:space="0" w:color="auto"/>
                <w:left w:val="none" w:sz="0" w:space="0" w:color="auto"/>
                <w:bottom w:val="none" w:sz="0" w:space="0" w:color="auto"/>
                <w:right w:val="none" w:sz="0" w:space="0" w:color="auto"/>
                <w:between w:val="none" w:sz="0" w:space="0" w:color="auto"/>
              </w:pBdr>
              <w:jc w:val="center"/>
              <w:cnfStyle w:val="000000100000" w:firstRow="0" w:lastRow="0" w:firstColumn="0" w:lastColumn="0" w:oddVBand="0" w:evenVBand="0" w:oddHBand="1" w:evenHBand="0" w:firstRowFirstColumn="0" w:firstRowLastColumn="0" w:lastRowFirstColumn="0" w:lastRowLastColumn="0"/>
              <w:rPr>
                <w:b/>
                <w:color w:val="auto"/>
              </w:rPr>
            </w:pPr>
          </w:p>
        </w:tc>
      </w:tr>
    </w:tbl>
    <w:p w:rsidR="00262B1C" w:rsidRPr="00C545C3" w:rsidRDefault="00262B1C" w:rsidP="00262B1C">
      <w:pPr>
        <w:widowControl w:val="0"/>
        <w:spacing w:after="0" w:line="360" w:lineRule="auto"/>
        <w:ind w:left="360"/>
        <w:rPr>
          <w:b/>
          <w:color w:val="auto"/>
          <w:sz w:val="20"/>
          <w:lang w:val="en-GB"/>
        </w:rPr>
      </w:pPr>
      <w:r w:rsidRPr="00C545C3">
        <w:rPr>
          <w:b/>
          <w:color w:val="auto"/>
          <w:sz w:val="20"/>
          <w:lang w:val="en-GB"/>
        </w:rPr>
        <w:t xml:space="preserve">Table Legend: HMA= Hypomethylating Agents; MDS= </w:t>
      </w:r>
      <w:proofErr w:type="spellStart"/>
      <w:r w:rsidRPr="00C545C3">
        <w:rPr>
          <w:b/>
          <w:color w:val="auto"/>
          <w:sz w:val="20"/>
          <w:lang w:val="en-GB"/>
        </w:rPr>
        <w:t>Myelodisplastic</w:t>
      </w:r>
      <w:proofErr w:type="spellEnd"/>
      <w:r w:rsidRPr="00C545C3">
        <w:rPr>
          <w:b/>
          <w:color w:val="auto"/>
          <w:sz w:val="20"/>
          <w:lang w:val="en-GB"/>
        </w:rPr>
        <w:t xml:space="preserve"> Syndrome; ELN= European </w:t>
      </w:r>
      <w:proofErr w:type="spellStart"/>
      <w:r w:rsidRPr="00C545C3">
        <w:rPr>
          <w:b/>
          <w:color w:val="auto"/>
          <w:sz w:val="20"/>
          <w:lang w:val="en-GB"/>
        </w:rPr>
        <w:t>LeukemiaNet</w:t>
      </w:r>
      <w:proofErr w:type="spellEnd"/>
    </w:p>
    <w:p w:rsidR="00262B1C" w:rsidRDefault="00262B1C" w:rsidP="00262B1C">
      <w:pPr>
        <w:rPr>
          <w:b/>
          <w:color w:val="auto"/>
          <w:lang w:val="en-GB"/>
        </w:rPr>
      </w:pPr>
      <w:r>
        <w:rPr>
          <w:b/>
          <w:color w:val="auto"/>
          <w:lang w:val="en-GB"/>
        </w:rPr>
        <w:br w:type="page"/>
      </w:r>
    </w:p>
    <w:p w:rsidR="00262B1C" w:rsidRPr="00A46FDB" w:rsidRDefault="00262B1C" w:rsidP="00262B1C">
      <w:pPr>
        <w:rPr>
          <w:b/>
          <w:color w:val="auto"/>
          <w:lang w:val="en-GB"/>
        </w:rPr>
      </w:pPr>
      <w:r w:rsidRPr="00A46FDB">
        <w:rPr>
          <w:b/>
          <w:color w:val="auto"/>
          <w:lang w:val="en-GB"/>
        </w:rPr>
        <w:lastRenderedPageBreak/>
        <w:t>Figure 1S: O</w:t>
      </w:r>
      <w:r>
        <w:rPr>
          <w:b/>
          <w:color w:val="auto"/>
          <w:lang w:val="en-GB"/>
        </w:rPr>
        <w:t xml:space="preserve">verall </w:t>
      </w:r>
      <w:r w:rsidRPr="00A46FDB">
        <w:rPr>
          <w:b/>
          <w:color w:val="auto"/>
          <w:lang w:val="en-GB"/>
        </w:rPr>
        <w:t>S</w:t>
      </w:r>
      <w:r>
        <w:rPr>
          <w:b/>
          <w:color w:val="auto"/>
          <w:lang w:val="en-GB"/>
        </w:rPr>
        <w:t>urvival</w:t>
      </w:r>
      <w:r w:rsidRPr="00A46FDB">
        <w:rPr>
          <w:b/>
          <w:color w:val="auto"/>
          <w:lang w:val="en-GB"/>
        </w:rPr>
        <w:t xml:space="preserve"> in </w:t>
      </w:r>
      <w:r>
        <w:rPr>
          <w:b/>
          <w:color w:val="auto"/>
          <w:lang w:val="en-GB"/>
        </w:rPr>
        <w:t xml:space="preserve">the </w:t>
      </w:r>
      <w:r w:rsidRPr="00A46FDB">
        <w:rPr>
          <w:b/>
          <w:color w:val="auto"/>
          <w:lang w:val="en-GB"/>
        </w:rPr>
        <w:t>whole cohort</w:t>
      </w:r>
    </w:p>
    <w:p w:rsidR="00262B1C" w:rsidRDefault="00262B1C" w:rsidP="00262B1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240" w:lineRule="auto"/>
        <w:rPr>
          <w:rFonts w:ascii="Times New Roman" w:hAnsi="Times New Roman" w:cs="Times New Roman"/>
          <w:sz w:val="24"/>
          <w:szCs w:val="24"/>
          <w:lang w:val="en-GB"/>
        </w:rPr>
      </w:pPr>
      <w:r>
        <w:rPr>
          <w:rFonts w:ascii="Times New Roman" w:hAnsi="Times New Roman" w:cs="Times New Roman"/>
          <w:noProof/>
          <w:sz w:val="24"/>
          <w:szCs w:val="24"/>
          <w:lang w:val="en-GB"/>
        </w:rPr>
        <w:drawing>
          <wp:inline distT="0" distB="0" distL="0" distR="0" wp14:anchorId="6FD62859" wp14:editId="05D6C5A9">
            <wp:extent cx="4420235" cy="4346575"/>
            <wp:effectExtent l="0" t="0" r="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420235" cy="4346575"/>
                    </a:xfrm>
                    <a:prstGeom prst="rect">
                      <a:avLst/>
                    </a:prstGeom>
                    <a:noFill/>
                  </pic:spPr>
                </pic:pic>
              </a:graphicData>
            </a:graphic>
          </wp:inline>
        </w:drawing>
      </w:r>
    </w:p>
    <w:p w:rsidR="00262B1C" w:rsidRDefault="00262B1C" w:rsidP="00262B1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240" w:lineRule="auto"/>
        <w:rPr>
          <w:rFonts w:ascii="Times New Roman" w:hAnsi="Times New Roman" w:cs="Times New Roman"/>
          <w:sz w:val="24"/>
          <w:szCs w:val="24"/>
          <w:lang w:val="en-GB"/>
        </w:rPr>
      </w:pPr>
    </w:p>
    <w:p w:rsidR="00262B1C" w:rsidRDefault="00262B1C" w:rsidP="00262B1C">
      <w:pPr>
        <w:rPr>
          <w:b/>
          <w:color w:val="auto"/>
          <w:lang w:val="en-GB"/>
        </w:rPr>
      </w:pPr>
      <w:r>
        <w:rPr>
          <w:b/>
          <w:color w:val="auto"/>
          <w:lang w:val="en-GB"/>
        </w:rPr>
        <w:br w:type="page"/>
      </w:r>
    </w:p>
    <w:p w:rsidR="00262B1C" w:rsidRDefault="00262B1C" w:rsidP="00262B1C">
      <w:pPr>
        <w:widowControl w:val="0"/>
        <w:spacing w:after="0" w:line="360" w:lineRule="auto"/>
        <w:rPr>
          <w:b/>
          <w:color w:val="auto"/>
          <w:lang w:val="en-GB"/>
        </w:rPr>
      </w:pPr>
      <w:r w:rsidRPr="00A46FDB">
        <w:rPr>
          <w:b/>
          <w:color w:val="auto"/>
          <w:lang w:val="en-GB"/>
        </w:rPr>
        <w:lastRenderedPageBreak/>
        <w:t xml:space="preserve">Figure </w:t>
      </w:r>
      <w:r>
        <w:rPr>
          <w:b/>
          <w:color w:val="auto"/>
          <w:lang w:val="en-GB"/>
        </w:rPr>
        <w:t>2</w:t>
      </w:r>
      <w:r w:rsidRPr="00A46FDB">
        <w:rPr>
          <w:b/>
          <w:color w:val="auto"/>
          <w:lang w:val="en-GB"/>
        </w:rPr>
        <w:t xml:space="preserve">S: </w:t>
      </w:r>
      <w:r>
        <w:rPr>
          <w:b/>
          <w:color w:val="auto"/>
          <w:lang w:val="en-GB"/>
        </w:rPr>
        <w:t xml:space="preserve">Relapse Free </w:t>
      </w:r>
      <w:r w:rsidRPr="00A46FDB">
        <w:rPr>
          <w:b/>
          <w:color w:val="auto"/>
          <w:lang w:val="en-GB"/>
        </w:rPr>
        <w:t>S</w:t>
      </w:r>
      <w:r>
        <w:rPr>
          <w:b/>
          <w:color w:val="auto"/>
          <w:lang w:val="en-GB"/>
        </w:rPr>
        <w:t>urvival</w:t>
      </w:r>
      <w:r w:rsidRPr="00A46FDB">
        <w:rPr>
          <w:b/>
          <w:color w:val="auto"/>
          <w:lang w:val="en-GB"/>
        </w:rPr>
        <w:t xml:space="preserve"> in </w:t>
      </w:r>
      <w:r>
        <w:rPr>
          <w:b/>
          <w:color w:val="auto"/>
          <w:lang w:val="en-GB"/>
        </w:rPr>
        <w:t xml:space="preserve">the </w:t>
      </w:r>
      <w:r w:rsidRPr="00A46FDB">
        <w:rPr>
          <w:b/>
          <w:color w:val="auto"/>
          <w:lang w:val="en-GB"/>
        </w:rPr>
        <w:t>whole cohort</w:t>
      </w:r>
      <w:r>
        <w:rPr>
          <w:b/>
          <w:color w:val="auto"/>
          <w:lang w:val="en-GB"/>
        </w:rPr>
        <w:t xml:space="preserve"> (censored at transplant)</w:t>
      </w:r>
    </w:p>
    <w:p w:rsidR="00262B1C" w:rsidRDefault="00262B1C" w:rsidP="00262B1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240" w:lineRule="auto"/>
        <w:rPr>
          <w:rFonts w:ascii="Times New Roman" w:hAnsi="Times New Roman" w:cs="Times New Roman"/>
          <w:sz w:val="24"/>
          <w:szCs w:val="24"/>
          <w:lang w:val="en-GB"/>
        </w:rPr>
      </w:pPr>
      <w:r>
        <w:rPr>
          <w:rFonts w:ascii="Times New Roman" w:hAnsi="Times New Roman" w:cs="Times New Roman"/>
          <w:noProof/>
          <w:sz w:val="24"/>
          <w:szCs w:val="24"/>
          <w:lang w:val="en-GB"/>
        </w:rPr>
        <w:drawing>
          <wp:inline distT="0" distB="0" distL="0" distR="0" wp14:anchorId="1B69AA74" wp14:editId="3FBCF79C">
            <wp:extent cx="4629150" cy="4469872"/>
            <wp:effectExtent l="0" t="0" r="0" b="6985"/>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643140" cy="4483380"/>
                    </a:xfrm>
                    <a:prstGeom prst="rect">
                      <a:avLst/>
                    </a:prstGeom>
                    <a:noFill/>
                  </pic:spPr>
                </pic:pic>
              </a:graphicData>
            </a:graphic>
          </wp:inline>
        </w:drawing>
      </w:r>
    </w:p>
    <w:p w:rsidR="00262B1C" w:rsidRDefault="00262B1C" w:rsidP="00262B1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240" w:lineRule="auto"/>
        <w:rPr>
          <w:rFonts w:ascii="Times New Roman" w:hAnsi="Times New Roman" w:cs="Times New Roman"/>
          <w:sz w:val="24"/>
          <w:szCs w:val="24"/>
          <w:lang w:val="en-GB"/>
        </w:rPr>
      </w:pPr>
    </w:p>
    <w:p w:rsidR="00262B1C" w:rsidRDefault="00262B1C" w:rsidP="00262B1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400" w:lineRule="atLeast"/>
        <w:rPr>
          <w:rFonts w:ascii="Times New Roman" w:hAnsi="Times New Roman" w:cs="Times New Roman"/>
          <w:sz w:val="24"/>
          <w:szCs w:val="24"/>
          <w:lang w:val="en-GB"/>
        </w:rPr>
      </w:pPr>
    </w:p>
    <w:p w:rsidR="00262B1C" w:rsidRDefault="00262B1C" w:rsidP="00262B1C">
      <w:pPr>
        <w:rPr>
          <w:b/>
          <w:color w:val="auto"/>
          <w:lang w:val="en-GB"/>
        </w:rPr>
      </w:pPr>
      <w:r>
        <w:rPr>
          <w:b/>
          <w:color w:val="auto"/>
          <w:lang w:val="en-GB"/>
        </w:rPr>
        <w:br w:type="page"/>
      </w:r>
    </w:p>
    <w:p w:rsidR="00262B1C" w:rsidRDefault="00262B1C" w:rsidP="00262B1C">
      <w:pPr>
        <w:widowControl w:val="0"/>
        <w:spacing w:after="0" w:line="360" w:lineRule="auto"/>
        <w:rPr>
          <w:b/>
          <w:color w:val="auto"/>
          <w:lang w:val="en-GB"/>
        </w:rPr>
      </w:pPr>
      <w:r>
        <w:rPr>
          <w:b/>
          <w:color w:val="auto"/>
          <w:lang w:val="en-GB"/>
        </w:rPr>
        <w:lastRenderedPageBreak/>
        <w:t xml:space="preserve">Figure 3S: Overall Survival According to European </w:t>
      </w:r>
      <w:proofErr w:type="spellStart"/>
      <w:r>
        <w:rPr>
          <w:b/>
          <w:color w:val="auto"/>
          <w:lang w:val="en-GB"/>
        </w:rPr>
        <w:t>LeukemiaNET</w:t>
      </w:r>
      <w:proofErr w:type="spellEnd"/>
      <w:r>
        <w:rPr>
          <w:b/>
          <w:color w:val="auto"/>
          <w:lang w:val="en-GB"/>
        </w:rPr>
        <w:t xml:space="preserve"> 2017 risk score in the whole cohort</w:t>
      </w:r>
    </w:p>
    <w:p w:rsidR="00262B1C" w:rsidRDefault="00262B1C" w:rsidP="00262B1C">
      <w:pPr>
        <w:widowControl w:val="0"/>
        <w:spacing w:after="0" w:line="360" w:lineRule="auto"/>
        <w:rPr>
          <w:b/>
          <w:color w:val="auto"/>
          <w:lang w:val="en-GB"/>
        </w:rPr>
      </w:pPr>
      <w:r>
        <w:rPr>
          <w:b/>
          <w:noProof/>
          <w:color w:val="auto"/>
          <w:lang w:val="en-GB"/>
        </w:rPr>
        <w:drawing>
          <wp:inline distT="0" distB="0" distL="0" distR="0" wp14:anchorId="4F7402D9" wp14:editId="309E1D3E">
            <wp:extent cx="4657725" cy="4583434"/>
            <wp:effectExtent l="0" t="0" r="0" b="762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660109" cy="4585780"/>
                    </a:xfrm>
                    <a:prstGeom prst="rect">
                      <a:avLst/>
                    </a:prstGeom>
                    <a:noFill/>
                  </pic:spPr>
                </pic:pic>
              </a:graphicData>
            </a:graphic>
          </wp:inline>
        </w:drawing>
      </w:r>
    </w:p>
    <w:p w:rsidR="00262B1C" w:rsidRPr="00046B51" w:rsidRDefault="00262B1C" w:rsidP="00262B1C">
      <w:pPr>
        <w:widowControl w:val="0"/>
        <w:spacing w:after="0" w:line="360" w:lineRule="auto"/>
        <w:rPr>
          <w:b/>
          <w:color w:val="auto"/>
          <w:lang w:val="en-GB"/>
        </w:rPr>
      </w:pPr>
    </w:p>
    <w:p w:rsidR="00262B1C" w:rsidRPr="00A3521A" w:rsidRDefault="00262B1C" w:rsidP="00262B1C">
      <w:pPr>
        <w:widowControl w:val="0"/>
        <w:spacing w:after="0" w:line="360" w:lineRule="auto"/>
        <w:ind w:left="360"/>
        <w:rPr>
          <w:color w:val="auto"/>
          <w:lang w:val="en-GB"/>
        </w:rPr>
      </w:pPr>
    </w:p>
    <w:p w:rsidR="00262B1C" w:rsidRPr="00A3521A" w:rsidRDefault="00262B1C" w:rsidP="00262B1C">
      <w:pPr>
        <w:widowControl w:val="0"/>
        <w:spacing w:after="0" w:line="360" w:lineRule="auto"/>
        <w:ind w:left="360"/>
        <w:rPr>
          <w:color w:val="auto"/>
          <w:lang w:val="en-GB"/>
        </w:rPr>
      </w:pPr>
    </w:p>
    <w:p w:rsidR="00262B1C" w:rsidRPr="00A3521A" w:rsidRDefault="00262B1C" w:rsidP="00262B1C">
      <w:pPr>
        <w:widowControl w:val="0"/>
        <w:spacing w:after="0" w:line="360" w:lineRule="auto"/>
        <w:rPr>
          <w:color w:val="auto"/>
          <w:lang w:val="en-GB"/>
        </w:rPr>
      </w:pPr>
    </w:p>
    <w:p w:rsidR="00262B1C" w:rsidRPr="00A3521A" w:rsidRDefault="00262B1C" w:rsidP="00262B1C">
      <w:pPr>
        <w:widowControl w:val="0"/>
        <w:spacing w:after="0" w:line="360" w:lineRule="auto"/>
        <w:rPr>
          <w:color w:val="auto"/>
          <w:lang w:val="en-GB"/>
        </w:rPr>
      </w:pPr>
    </w:p>
    <w:p w:rsidR="00262B1C" w:rsidRPr="00A3521A" w:rsidRDefault="00262B1C" w:rsidP="00262B1C">
      <w:pPr>
        <w:widowControl w:val="0"/>
        <w:spacing w:after="0" w:line="360" w:lineRule="auto"/>
        <w:rPr>
          <w:b/>
          <w:color w:val="auto"/>
          <w:lang w:val="en-GB"/>
        </w:rPr>
      </w:pPr>
    </w:p>
    <w:p w:rsidR="00262B1C" w:rsidRPr="00A3521A" w:rsidRDefault="00262B1C" w:rsidP="00262B1C">
      <w:pPr>
        <w:widowControl w:val="0"/>
        <w:spacing w:after="0" w:line="240" w:lineRule="auto"/>
        <w:rPr>
          <w:lang w:val="en-GB"/>
        </w:rPr>
      </w:pPr>
    </w:p>
    <w:p w:rsidR="00AF65B1" w:rsidRDefault="00AF65B1">
      <w:pPr>
        <w:pBdr>
          <w:top w:val="none" w:sz="0" w:space="0" w:color="auto"/>
          <w:left w:val="none" w:sz="0" w:space="0" w:color="auto"/>
          <w:bottom w:val="none" w:sz="0" w:space="0" w:color="auto"/>
          <w:right w:val="none" w:sz="0" w:space="0" w:color="auto"/>
          <w:between w:val="none" w:sz="0" w:space="0" w:color="auto"/>
        </w:pBdr>
        <w:spacing w:after="160" w:line="259" w:lineRule="auto"/>
        <w:rPr>
          <w:sz w:val="18"/>
          <w:szCs w:val="18"/>
          <w:lang w:val="en-GB"/>
        </w:rPr>
      </w:pPr>
      <w:r>
        <w:rPr>
          <w:sz w:val="18"/>
          <w:szCs w:val="18"/>
          <w:lang w:val="en-GB"/>
        </w:rPr>
        <w:br w:type="page"/>
      </w:r>
    </w:p>
    <w:p w:rsidR="00AF65B1" w:rsidRDefault="00AF65B1" w:rsidP="00AF65B1">
      <w:pPr>
        <w:widowControl w:val="0"/>
        <w:spacing w:after="0" w:line="360" w:lineRule="auto"/>
        <w:rPr>
          <w:b/>
          <w:color w:val="auto"/>
          <w:lang w:val="en-GB"/>
        </w:rPr>
      </w:pPr>
      <w:r>
        <w:rPr>
          <w:b/>
          <w:color w:val="auto"/>
          <w:lang w:val="en-GB"/>
        </w:rPr>
        <w:lastRenderedPageBreak/>
        <w:t>Figure 4S: Overall Survival According to TP53 mutational status and complex karyotype in the whole cohort</w:t>
      </w:r>
    </w:p>
    <w:p w:rsidR="00E94AFA" w:rsidRDefault="00AF65B1">
      <w:pPr>
        <w:rPr>
          <w:lang w:val="en-GB"/>
        </w:rPr>
      </w:pPr>
      <w:r>
        <w:rPr>
          <w:noProof/>
        </w:rPr>
        <w:drawing>
          <wp:inline distT="0" distB="0" distL="0" distR="0" wp14:anchorId="2B9BAFC8" wp14:editId="104FCD15">
            <wp:extent cx="4141448" cy="3706519"/>
            <wp:effectExtent l="0" t="0" r="0" b="8255"/>
            <wp:docPr id="4" name="Immagine 3">
              <a:extLst xmlns:a="http://schemas.openxmlformats.org/drawingml/2006/main">
                <a:ext uri="{FF2B5EF4-FFF2-40B4-BE49-F238E27FC236}">
                  <a16:creationId xmlns:a16="http://schemas.microsoft.com/office/drawing/2014/main" id="{8FFA2B89-8576-4D8F-9C57-645BF5A50EA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3">
                      <a:extLst>
                        <a:ext uri="{FF2B5EF4-FFF2-40B4-BE49-F238E27FC236}">
                          <a16:creationId xmlns:a16="http://schemas.microsoft.com/office/drawing/2014/main" id="{8FFA2B89-8576-4D8F-9C57-645BF5A50EA9}"/>
                        </a:ext>
                      </a:extLst>
                    </pic:cNvPr>
                    <pic:cNvPicPr>
                      <a:picLocks noChangeAspect="1"/>
                    </pic:cNvPicPr>
                  </pic:nvPicPr>
                  <pic:blipFill>
                    <a:blip r:embed="rId7"/>
                    <a:stretch>
                      <a:fillRect/>
                    </a:stretch>
                  </pic:blipFill>
                  <pic:spPr>
                    <a:xfrm>
                      <a:off x="0" y="0"/>
                      <a:ext cx="4141448" cy="3706519"/>
                    </a:xfrm>
                    <a:prstGeom prst="rect">
                      <a:avLst/>
                    </a:prstGeom>
                  </pic:spPr>
                </pic:pic>
              </a:graphicData>
            </a:graphic>
          </wp:inline>
        </w:drawing>
      </w:r>
    </w:p>
    <w:p w:rsidR="00E94AFA" w:rsidRDefault="00E94AFA">
      <w:pPr>
        <w:pBdr>
          <w:top w:val="none" w:sz="0" w:space="0" w:color="auto"/>
          <w:left w:val="none" w:sz="0" w:space="0" w:color="auto"/>
          <w:bottom w:val="none" w:sz="0" w:space="0" w:color="auto"/>
          <w:right w:val="none" w:sz="0" w:space="0" w:color="auto"/>
          <w:between w:val="none" w:sz="0" w:space="0" w:color="auto"/>
        </w:pBdr>
        <w:spacing w:after="160" w:line="259" w:lineRule="auto"/>
        <w:rPr>
          <w:lang w:val="en-GB"/>
        </w:rPr>
      </w:pPr>
      <w:r>
        <w:rPr>
          <w:lang w:val="en-GB"/>
        </w:rPr>
        <w:br w:type="page"/>
      </w:r>
    </w:p>
    <w:p w:rsidR="006F1E81" w:rsidRDefault="00E94AFA">
      <w:pPr>
        <w:rPr>
          <w:b/>
          <w:lang w:val="en-GB"/>
        </w:rPr>
      </w:pPr>
      <w:r>
        <w:rPr>
          <w:b/>
          <w:lang w:val="en-GB"/>
        </w:rPr>
        <w:lastRenderedPageBreak/>
        <w:t xml:space="preserve">Figure 5S: Overall Survival </w:t>
      </w:r>
      <w:r w:rsidR="00130D6D">
        <w:rPr>
          <w:b/>
          <w:lang w:val="en-GB"/>
        </w:rPr>
        <w:t xml:space="preserve">in CR patients </w:t>
      </w:r>
      <w:r>
        <w:rPr>
          <w:b/>
          <w:lang w:val="en-GB"/>
        </w:rPr>
        <w:t xml:space="preserve">after each CPX-351 course according to receiving or not a </w:t>
      </w:r>
      <w:r w:rsidR="00130D6D">
        <w:rPr>
          <w:b/>
          <w:lang w:val="en-GB"/>
        </w:rPr>
        <w:t xml:space="preserve">allogeneic stem cell </w:t>
      </w:r>
      <w:r>
        <w:rPr>
          <w:b/>
          <w:lang w:val="en-GB"/>
        </w:rPr>
        <w:t>transplant</w:t>
      </w:r>
      <w:r w:rsidR="00130D6D">
        <w:rPr>
          <w:b/>
          <w:lang w:val="en-GB"/>
        </w:rPr>
        <w:t>ation.</w:t>
      </w:r>
    </w:p>
    <w:p w:rsidR="00173393" w:rsidRDefault="00130D6D">
      <w:pPr>
        <w:rPr>
          <w:b/>
          <w:lang w:val="en-GB"/>
        </w:rPr>
      </w:pPr>
      <w:r>
        <w:rPr>
          <w:noProof/>
        </w:rPr>
        <w:drawing>
          <wp:inline distT="0" distB="0" distL="0" distR="0" wp14:anchorId="51D10ADE" wp14:editId="5B9AD9A9">
            <wp:extent cx="5974080" cy="5811520"/>
            <wp:effectExtent l="0" t="0" r="0" b="0"/>
            <wp:docPr id="1027" name="Picture 3"/>
            <wp:cNvGraphicFramePr/>
            <a:graphic xmlns:a="http://schemas.openxmlformats.org/drawingml/2006/main">
              <a:graphicData uri="http://schemas.openxmlformats.org/drawingml/2006/picture">
                <pic:pic xmlns:pic="http://schemas.openxmlformats.org/drawingml/2006/picture">
                  <pic:nvPicPr>
                    <pic:cNvPr id="1027" name="Picture 3"/>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74080" cy="5811520"/>
                    </a:xfrm>
                    <a:prstGeom prst="rect">
                      <a:avLst/>
                    </a:prstGeom>
                    <a:noFill/>
                    <a:ln>
                      <a:noFill/>
                    </a:ln>
                    <a:effectLst/>
                    <a:extLst/>
                  </pic:spPr>
                </pic:pic>
              </a:graphicData>
            </a:graphic>
          </wp:inline>
        </w:drawing>
      </w:r>
    </w:p>
    <w:p w:rsidR="00173393" w:rsidRDefault="00173393">
      <w:pPr>
        <w:pBdr>
          <w:top w:val="none" w:sz="0" w:space="0" w:color="auto"/>
          <w:left w:val="none" w:sz="0" w:space="0" w:color="auto"/>
          <w:bottom w:val="none" w:sz="0" w:space="0" w:color="auto"/>
          <w:right w:val="none" w:sz="0" w:space="0" w:color="auto"/>
          <w:between w:val="none" w:sz="0" w:space="0" w:color="auto"/>
        </w:pBdr>
        <w:spacing w:after="160" w:line="259" w:lineRule="auto"/>
        <w:rPr>
          <w:b/>
          <w:lang w:val="en-GB"/>
        </w:rPr>
      </w:pPr>
      <w:r>
        <w:rPr>
          <w:b/>
          <w:lang w:val="en-GB"/>
        </w:rPr>
        <w:br w:type="page"/>
      </w:r>
    </w:p>
    <w:p w:rsidR="00130D6D" w:rsidRDefault="00173393">
      <w:pPr>
        <w:rPr>
          <w:b/>
          <w:lang w:val="en-GB"/>
        </w:rPr>
      </w:pPr>
      <w:r>
        <w:rPr>
          <w:b/>
          <w:lang w:val="en-GB"/>
        </w:rPr>
        <w:lastRenderedPageBreak/>
        <w:t>Figure 6S: Overall Survival according to allo-HSCT in different ELN 2017 risk groups.</w:t>
      </w:r>
    </w:p>
    <w:p w:rsidR="00173393" w:rsidRDefault="00173393">
      <w:pPr>
        <w:rPr>
          <w:b/>
          <w:lang w:val="en-GB"/>
        </w:rPr>
      </w:pPr>
      <w:r w:rsidRPr="00173393">
        <w:rPr>
          <w:b/>
          <w:lang w:val="en-GB"/>
        </w:rPr>
        <w:t>6SA: favourable risk; 6SB: intermediate risk</w:t>
      </w:r>
      <w:r>
        <w:rPr>
          <w:b/>
          <w:lang w:val="en-GB"/>
        </w:rPr>
        <w:t>; 6SC: unfavourable risk.</w:t>
      </w:r>
    </w:p>
    <w:p w:rsidR="00173393" w:rsidRPr="00173393" w:rsidRDefault="00173393">
      <w:pPr>
        <w:rPr>
          <w:b/>
          <w:lang w:val="en-GB"/>
        </w:rPr>
      </w:pPr>
      <w:r>
        <w:rPr>
          <w:b/>
          <w:noProof/>
          <w:lang w:val="en-GB"/>
        </w:rPr>
        <w:drawing>
          <wp:inline distT="0" distB="0" distL="0" distR="0" wp14:anchorId="0F3E129F">
            <wp:extent cx="6388735" cy="2448380"/>
            <wp:effectExtent l="0" t="0" r="0" b="9525"/>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02037" cy="2453478"/>
                    </a:xfrm>
                    <a:prstGeom prst="rect">
                      <a:avLst/>
                    </a:prstGeom>
                    <a:noFill/>
                  </pic:spPr>
                </pic:pic>
              </a:graphicData>
            </a:graphic>
          </wp:inline>
        </w:drawing>
      </w:r>
    </w:p>
    <w:p w:rsidR="00173393" w:rsidRPr="00173393" w:rsidRDefault="00173393">
      <w:pPr>
        <w:rPr>
          <w:b/>
          <w:lang w:val="en-GB"/>
        </w:rPr>
      </w:pPr>
    </w:p>
    <w:sectPr w:rsidR="00173393" w:rsidRPr="00173393" w:rsidSect="00E0466B">
      <w:pgSz w:w="11906" w:h="16838"/>
      <w:pgMar w:top="1417" w:right="1134" w:bottom="1134" w:left="1134"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2B1C"/>
    <w:rsid w:val="00130D6D"/>
    <w:rsid w:val="00173393"/>
    <w:rsid w:val="00262B1C"/>
    <w:rsid w:val="00800170"/>
    <w:rsid w:val="008239DB"/>
    <w:rsid w:val="008D2AED"/>
    <w:rsid w:val="009867D4"/>
    <w:rsid w:val="009D05E3"/>
    <w:rsid w:val="00A013B4"/>
    <w:rsid w:val="00A06F2E"/>
    <w:rsid w:val="00A10463"/>
    <w:rsid w:val="00AF65B1"/>
    <w:rsid w:val="00CC6B3B"/>
    <w:rsid w:val="00DB1C8F"/>
    <w:rsid w:val="00E94AFA"/>
    <w:rsid w:val="00F57F3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4253FA"/>
  <w15:chartTrackingRefBased/>
  <w15:docId w15:val="{01594BD9-1DF3-4769-9EA3-20810010F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rsid w:val="00262B1C"/>
    <w:pPr>
      <w:pBdr>
        <w:top w:val="nil"/>
        <w:left w:val="nil"/>
        <w:bottom w:val="nil"/>
        <w:right w:val="nil"/>
        <w:between w:val="nil"/>
      </w:pBdr>
      <w:spacing w:after="200" w:line="276" w:lineRule="auto"/>
    </w:pPr>
    <w:rPr>
      <w:rFonts w:ascii="Calibri" w:eastAsia="Calibri" w:hAnsi="Calibri" w:cs="Calibri"/>
      <w:color w:val="000000"/>
      <w:lang w:val="en-US"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ellaelenco1chiara-colore11">
    <w:name w:val="Tabella elenco 1 chiara - colore 11"/>
    <w:basedOn w:val="Tabellanormale"/>
    <w:uiPriority w:val="46"/>
    <w:rsid w:val="00262B1C"/>
    <w:pPr>
      <w:pBdr>
        <w:top w:val="nil"/>
        <w:left w:val="nil"/>
        <w:bottom w:val="nil"/>
        <w:right w:val="nil"/>
        <w:between w:val="nil"/>
      </w:pBdr>
      <w:spacing w:after="0" w:line="240" w:lineRule="auto"/>
    </w:pPr>
    <w:rPr>
      <w:rFonts w:ascii="Calibri" w:eastAsia="Calibri" w:hAnsi="Calibri" w:cs="Calibri"/>
      <w:color w:val="000000"/>
      <w:lang w:val="en-US" w:eastAsia="it-IT"/>
    </w:rPr>
    <w:tblPr>
      <w:tblStyleRowBandSize w:val="1"/>
      <w:tblStyleColBandSize w:val="1"/>
    </w:tblPr>
    <w:tblStylePr w:type="firstRow">
      <w:rPr>
        <w:b/>
        <w:bCs/>
      </w:rPr>
      <w:tblPr/>
      <w:tcPr>
        <w:tcBorders>
          <w:bottom w:val="single" w:sz="4" w:space="0" w:color="8EAADB" w:themeColor="accent1" w:themeTint="99"/>
        </w:tcBorders>
      </w:tcPr>
    </w:tblStylePr>
    <w:tblStylePr w:type="lastRow">
      <w:rPr>
        <w:b/>
        <w:bCs/>
      </w:rPr>
      <w:tblPr/>
      <w:tcPr>
        <w:tcBorders>
          <w:top w:val="sing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theme" Target="theme/theme1.xml"/><Relationship Id="rId5" Type="http://schemas.openxmlformats.org/officeDocument/2006/relationships/image" Target="media/image2.png"/><Relationship Id="rId10"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image" Target="media/image6.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9</Pages>
  <Words>875</Words>
  <Characters>4991</Characters>
  <Application>Microsoft Office Word</Application>
  <DocSecurity>0</DocSecurity>
  <Lines>41</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Fabio Guolo</dc:creator>
  <cp:keywords/>
  <dc:description/>
  <cp:lastModifiedBy>Fabio Guolo</cp:lastModifiedBy>
  <cp:revision>3</cp:revision>
  <dcterms:created xsi:type="dcterms:W3CDTF">2025-07-15T15:31:00Z</dcterms:created>
  <dcterms:modified xsi:type="dcterms:W3CDTF">2025-07-16T16:53:00Z</dcterms:modified>
</cp:coreProperties>
</file>