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4148BD" w14:textId="77777777" w:rsidR="00BD1552" w:rsidRDefault="00BD1552" w:rsidP="002E28F2">
      <w:pPr>
        <w:spacing w:line="360" w:lineRule="auto"/>
        <w:jc w:val="both"/>
        <w:outlineLvl w:val="0"/>
        <w:rPr>
          <w:rFonts w:ascii="Helvetica" w:hAnsi="Helvetica"/>
          <w:b/>
          <w:bCs/>
          <w:sz w:val="22"/>
          <w:szCs w:val="22"/>
          <w:lang w:val="en-US"/>
        </w:rPr>
      </w:pPr>
      <w:r>
        <w:rPr>
          <w:rFonts w:ascii="Helvetica" w:hAnsi="Helvetica"/>
          <w:b/>
          <w:bCs/>
          <w:sz w:val="22"/>
          <w:szCs w:val="22"/>
          <w:lang w:val="en-US"/>
        </w:rPr>
        <w:t xml:space="preserve">Copy of the script </w:t>
      </w:r>
    </w:p>
    <w:p w14:paraId="7C90735E" w14:textId="77777777" w:rsidR="00BD1552" w:rsidRDefault="00BD1552" w:rsidP="00BD1552">
      <w:pPr>
        <w:spacing w:line="360" w:lineRule="auto"/>
        <w:jc w:val="both"/>
        <w:rPr>
          <w:rFonts w:ascii="Helvetica" w:hAnsi="Helvetica"/>
          <w:b/>
          <w:bCs/>
          <w:sz w:val="22"/>
          <w:szCs w:val="22"/>
          <w:lang w:val="en-US"/>
        </w:rPr>
      </w:pPr>
    </w:p>
    <w:p w14:paraId="4CA6CEF7" w14:textId="77777777" w:rsidR="00BD1552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sz w:val="22"/>
          <w:szCs w:val="22"/>
          <w:lang w:val="en-US"/>
        </w:rPr>
        <w:t>Video 1</w:t>
      </w:r>
    </w:p>
    <w:p w14:paraId="365EB046" w14:textId="77777777" w:rsidR="00BD1552" w:rsidRDefault="00BD1552" w:rsidP="00BD1552">
      <w:pPr>
        <w:spacing w:line="360" w:lineRule="auto"/>
        <w:jc w:val="both"/>
        <w:rPr>
          <w:rFonts w:ascii="Helvetica" w:hAnsi="Helvetica" w:cstheme="minorHAnsi"/>
          <w:sz w:val="22"/>
          <w:szCs w:val="22"/>
          <w:lang w:val="en-US" w:eastAsia="en-US"/>
        </w:rPr>
      </w:pPr>
      <w:r>
        <w:rPr>
          <w:rFonts w:ascii="Helvetica" w:hAnsi="Helvetica"/>
          <w:sz w:val="22"/>
          <w:szCs w:val="22"/>
          <w:lang w:val="en-US"/>
        </w:rPr>
        <w:t xml:space="preserve">This video shows a guidance through </w:t>
      </w:r>
      <w:r w:rsidRPr="000C2340">
        <w:rPr>
          <w:rFonts w:ascii="Helvetica" w:hAnsi="Helvetica" w:cstheme="minorHAnsi"/>
          <w:sz w:val="22"/>
          <w:szCs w:val="22"/>
          <w:lang w:val="en-US" w:eastAsia="en-US"/>
        </w:rPr>
        <w:t xml:space="preserve">core clinical features, supportive motor and non-motor features </w:t>
      </w:r>
      <w:r>
        <w:rPr>
          <w:rFonts w:ascii="Helvetica" w:hAnsi="Helvetica" w:cstheme="minorHAnsi"/>
          <w:sz w:val="22"/>
          <w:szCs w:val="22"/>
          <w:lang w:val="en-US" w:eastAsia="en-US"/>
        </w:rPr>
        <w:t>as well as</w:t>
      </w:r>
      <w:r w:rsidRPr="000C2340">
        <w:rPr>
          <w:rFonts w:ascii="Helvetica" w:hAnsi="Helvetica" w:cstheme="minorHAnsi"/>
          <w:sz w:val="22"/>
          <w:szCs w:val="22"/>
          <w:lang w:val="en-US" w:eastAsia="en-US"/>
        </w:rPr>
        <w:t xml:space="preserve"> MRI features</w:t>
      </w:r>
      <w:r w:rsidRPr="000A3E37">
        <w:rPr>
          <w:rFonts w:ascii="Helvetica" w:hAnsi="Helvetica" w:cstheme="minorHAnsi"/>
          <w:sz w:val="22"/>
          <w:szCs w:val="22"/>
          <w:lang w:val="en-US" w:eastAsia="en-US"/>
        </w:rPr>
        <w:t xml:space="preserve"> </w:t>
      </w:r>
      <w:r w:rsidRPr="000C2340">
        <w:rPr>
          <w:rFonts w:ascii="Helvetica" w:hAnsi="Helvetica" w:cstheme="minorHAnsi"/>
          <w:sz w:val="22"/>
          <w:szCs w:val="22"/>
          <w:lang w:val="en-US" w:eastAsia="en-US"/>
        </w:rPr>
        <w:t>following the MDS-MSA diagnostic criteria</w:t>
      </w:r>
      <w:r>
        <w:rPr>
          <w:rFonts w:ascii="Helvetica" w:hAnsi="Helvetica" w:cstheme="minorHAnsi"/>
          <w:sz w:val="22"/>
          <w:szCs w:val="22"/>
          <w:vertAlign w:val="superscript"/>
          <w:lang w:val="en-US" w:eastAsia="en-US"/>
        </w:rPr>
        <w:t xml:space="preserve"> </w:t>
      </w:r>
      <w:r>
        <w:rPr>
          <w:rFonts w:ascii="Helvetica" w:hAnsi="Helvetica" w:cstheme="minorHAnsi"/>
          <w:sz w:val="22"/>
          <w:szCs w:val="22"/>
          <w:lang w:val="en-US" w:eastAsia="en-US"/>
        </w:rPr>
        <w:t>(</w:t>
      </w:r>
      <w:proofErr w:type="spellStart"/>
      <w:r>
        <w:rPr>
          <w:rFonts w:ascii="Helvetica" w:hAnsi="Helvetica" w:cstheme="minorHAnsi"/>
          <w:sz w:val="22"/>
          <w:szCs w:val="22"/>
          <w:lang w:val="en-US" w:eastAsia="en-US"/>
        </w:rPr>
        <w:t>Wenning</w:t>
      </w:r>
      <w:proofErr w:type="spellEnd"/>
      <w:r>
        <w:rPr>
          <w:rFonts w:ascii="Helvetica" w:hAnsi="Helvetica" w:cstheme="minorHAnsi"/>
          <w:sz w:val="22"/>
          <w:szCs w:val="22"/>
          <w:lang w:val="en-US" w:eastAsia="en-US"/>
        </w:rPr>
        <w:t xml:space="preserve"> et al 2022). </w:t>
      </w:r>
    </w:p>
    <w:p w14:paraId="699D3F66" w14:textId="77777777" w:rsidR="00BD1552" w:rsidRDefault="00BD1552" w:rsidP="00BD1552">
      <w:pPr>
        <w:spacing w:line="360" w:lineRule="auto"/>
        <w:jc w:val="both"/>
        <w:rPr>
          <w:rFonts w:ascii="Helvetica" w:hAnsi="Helvetica" w:cstheme="minorHAnsi"/>
          <w:sz w:val="22"/>
          <w:szCs w:val="22"/>
          <w:lang w:val="en-US" w:eastAsia="en-US"/>
        </w:rPr>
      </w:pPr>
    </w:p>
    <w:p w14:paraId="50962151" w14:textId="77777777" w:rsidR="00BD1552" w:rsidRDefault="00BD1552" w:rsidP="002E28F2">
      <w:pPr>
        <w:spacing w:line="360" w:lineRule="auto"/>
        <w:jc w:val="both"/>
        <w:outlineLvl w:val="0"/>
        <w:rPr>
          <w:rFonts w:ascii="Helvetica" w:hAnsi="Helvetica" w:cstheme="minorHAnsi"/>
          <w:sz w:val="22"/>
          <w:szCs w:val="22"/>
          <w:lang w:val="en-US" w:eastAsia="en-US"/>
        </w:rPr>
      </w:pPr>
      <w:r w:rsidRPr="00C62E30">
        <w:rPr>
          <w:rFonts w:ascii="Helvetica" w:hAnsi="Helvetica" w:cstheme="minorHAnsi"/>
          <w:sz w:val="22"/>
          <w:szCs w:val="22"/>
          <w:lang w:val="en-US" w:eastAsia="en-US"/>
        </w:rPr>
        <w:t xml:space="preserve">The video is initiated by an overview </w:t>
      </w:r>
      <w:r>
        <w:rPr>
          <w:rFonts w:ascii="Helvetica" w:hAnsi="Helvetica" w:cstheme="minorHAnsi"/>
          <w:sz w:val="22"/>
          <w:szCs w:val="22"/>
          <w:lang w:val="en-US" w:eastAsia="en-US"/>
        </w:rPr>
        <w:t>of core clinical feature of MSA.</w:t>
      </w:r>
    </w:p>
    <w:p w14:paraId="2A890488" w14:textId="77777777" w:rsidR="00BD1552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657FA2A8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sz w:val="22"/>
          <w:szCs w:val="22"/>
          <w:u w:val="single"/>
          <w:lang w:val="en-US"/>
        </w:rPr>
        <w:t>Part 1 (00:24):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Voiding difficulties with urine post-void residual volume &gt;100 ml</w:t>
      </w:r>
    </w:p>
    <w:p w14:paraId="6C8FEB48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>This video shows an increased urine pos</w:t>
      </w:r>
      <w:r>
        <w:rPr>
          <w:rFonts w:ascii="Helvetica" w:hAnsi="Helvetica"/>
          <w:sz w:val="22"/>
          <w:szCs w:val="22"/>
          <w:lang w:val="en-US"/>
        </w:rPr>
        <w:t xml:space="preserve">t-void urinary residual volume </w:t>
      </w:r>
      <w:r w:rsidRPr="007264F7">
        <w:rPr>
          <w:rFonts w:ascii="Helvetica" w:hAnsi="Helvetica"/>
          <w:sz w:val="22"/>
          <w:szCs w:val="22"/>
          <w:lang w:val="en-US"/>
        </w:rPr>
        <w:t xml:space="preserve">in a patient with clinically established MSA-C measured with a dedicated bladder ultrasound device. In case no ultrasound device is available, urine PVR can be assessed with in-and-out catheterization. </w:t>
      </w:r>
    </w:p>
    <w:p w14:paraId="68422AB5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4D6D3DD7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2 (00:51):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Neurogenic orthostatic hypotension</w:t>
      </w:r>
    </w:p>
    <w:p w14:paraId="72EA4402" w14:textId="30A93F1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CD6E1C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1</w:t>
      </w:r>
      <w:r w:rsidRPr="00CD6E1C">
        <w:rPr>
          <w:rFonts w:ascii="Helvetica" w:hAnsi="Helvetica"/>
          <w:i/>
          <w:sz w:val="22"/>
          <w:szCs w:val="22"/>
          <w:lang w:val="en-US"/>
        </w:rPr>
        <w:t>, standing test: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 xml:space="preserve"> This video presents a MSA patient with neurogenic orthostatic hypotension as evidenced by standing test. Blood pressure and heart rate measurements are taken after 5 minutes lying supine and </w:t>
      </w:r>
      <w:r w:rsidRPr="007B1820">
        <w:rPr>
          <w:rFonts w:ascii="Helvetica" w:hAnsi="Helvetica"/>
          <w:sz w:val="22"/>
          <w:szCs w:val="22"/>
          <w:lang w:val="en-US"/>
        </w:rPr>
        <w:t>after 3 minutes of</w:t>
      </w:r>
      <w:r w:rsidRPr="0022164A">
        <w:rPr>
          <w:rFonts w:ascii="Helvetica" w:hAnsi="Helvetica"/>
          <w:sz w:val="22"/>
          <w:szCs w:val="22"/>
          <w:lang w:val="en-US"/>
        </w:rPr>
        <w:t xml:space="preserve"> active standing.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 w:rsidR="002E28F2" w:rsidRPr="00FD3F56">
        <w:rPr>
          <w:rFonts w:ascii="Arial" w:hAnsi="Arial" w:cs="Arial"/>
          <w:color w:val="000000" w:themeColor="text1"/>
          <w:sz w:val="22"/>
          <w:szCs w:val="22"/>
          <w:lang w:val="en-US"/>
        </w:rPr>
        <w:t>Ratio of change in heart rate and systolic blood pressure below 0.5 suggests a neurogenic cause of orthostatic hypotension</w:t>
      </w:r>
      <w:r w:rsidR="002E28F2">
        <w:rPr>
          <w:rFonts w:ascii="Arial" w:hAnsi="Arial" w:cs="Arial"/>
          <w:color w:val="000000" w:themeColor="text1"/>
          <w:sz w:val="22"/>
          <w:szCs w:val="22"/>
          <w:lang w:val="en-US"/>
        </w:rPr>
        <w:t>.</w:t>
      </w:r>
    </w:p>
    <w:p w14:paraId="203FF7F1" w14:textId="77777777" w:rsidR="00BD1552" w:rsidRPr="007B1820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highlight w:val="yellow"/>
          <w:lang w:val="en-US"/>
        </w:rPr>
      </w:pPr>
      <w:r>
        <w:rPr>
          <w:rFonts w:ascii="Helvetica" w:hAnsi="Helvetica"/>
          <w:b/>
          <w:i/>
          <w:sz w:val="22"/>
          <w:szCs w:val="22"/>
          <w:lang w:val="en-US"/>
        </w:rPr>
        <w:t>Segment 2</w:t>
      </w:r>
      <w:r w:rsidRPr="00CD6E1C">
        <w:rPr>
          <w:rFonts w:ascii="Helvetica" w:hAnsi="Helvetica"/>
          <w:i/>
          <w:sz w:val="22"/>
          <w:szCs w:val="22"/>
          <w:lang w:val="en-US"/>
        </w:rPr>
        <w:t>, head-up tilt test:</w:t>
      </w:r>
      <w:r>
        <w:rPr>
          <w:rFonts w:ascii="Helvetica" w:hAnsi="Helvetica"/>
          <w:b/>
          <w:i/>
          <w:sz w:val="22"/>
          <w:szCs w:val="22"/>
          <w:lang w:val="en-US"/>
        </w:rPr>
        <w:t xml:space="preserve"> </w:t>
      </w:r>
      <w:r w:rsidRPr="007B1820">
        <w:rPr>
          <w:rFonts w:ascii="Helvetica" w:hAnsi="Helvetica"/>
          <w:sz w:val="22"/>
          <w:szCs w:val="22"/>
          <w:lang w:val="en-US"/>
        </w:rPr>
        <w:t>Another</w:t>
      </w:r>
      <w:r>
        <w:rPr>
          <w:rFonts w:ascii="Helvetica" w:hAnsi="Helvetica"/>
          <w:b/>
          <w:bCs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 xml:space="preserve">way to capture neurogenic orthostatic hypotension is using the </w:t>
      </w:r>
      <w:r w:rsidRPr="007264F7">
        <w:rPr>
          <w:rFonts w:ascii="Helvetica" w:hAnsi="Helvetica"/>
          <w:sz w:val="22"/>
          <w:szCs w:val="22"/>
          <w:lang w:val="en-US"/>
        </w:rPr>
        <w:t>head-up tilt test</w:t>
      </w:r>
      <w:r>
        <w:rPr>
          <w:rFonts w:ascii="Helvetica" w:hAnsi="Helvetica"/>
          <w:sz w:val="22"/>
          <w:szCs w:val="22"/>
          <w:lang w:val="en-US"/>
        </w:rPr>
        <w:t>. T</w:t>
      </w:r>
      <w:r w:rsidRPr="007264F7">
        <w:rPr>
          <w:rFonts w:ascii="Helvetica" w:hAnsi="Helvetica"/>
          <w:sz w:val="22"/>
          <w:szCs w:val="22"/>
          <w:lang w:val="en-US"/>
        </w:rPr>
        <w:t xml:space="preserve">his video shows a progressive blood pressure fall ≥20/10 mmHg within 3 minutes upon head-up tilt without compensatory heart rate increase, consistent with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nOH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in a patient with clinically established MSA-C</w:t>
      </w:r>
      <w:r w:rsidRPr="00CD6E1C">
        <w:rPr>
          <w:rFonts w:ascii="Helvetica" w:hAnsi="Helvetica"/>
          <w:sz w:val="22"/>
          <w:szCs w:val="22"/>
          <w:lang w:val="en-US"/>
        </w:rPr>
        <w:t xml:space="preserve">. Prolonging orthostatic challenge to 10 </w:t>
      </w:r>
      <w:proofErr w:type="gramStart"/>
      <w:r w:rsidRPr="00CD6E1C">
        <w:rPr>
          <w:rFonts w:ascii="Helvetica" w:hAnsi="Helvetica"/>
          <w:sz w:val="22"/>
          <w:szCs w:val="22"/>
          <w:lang w:val="en-US"/>
        </w:rPr>
        <w:t>minutes</w:t>
      </w:r>
      <w:proofErr w:type="gramEnd"/>
      <w:r w:rsidRPr="00CD6E1C">
        <w:rPr>
          <w:rFonts w:ascii="Helvetica" w:hAnsi="Helvetica"/>
          <w:sz w:val="22"/>
          <w:szCs w:val="22"/>
          <w:lang w:val="en-US"/>
        </w:rPr>
        <w:t xml:space="preserve"> leads to further decrease of blood pressure without heart rate increase. </w:t>
      </w:r>
    </w:p>
    <w:p w14:paraId="51178BBA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 xml:space="preserve">Abbreviations used in the video: HR… hearth rate; sys BP… systolic blood pressure;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dia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BP… diastolic blood pressure;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nOH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ratio… neurogenic orthostatic hypotension ratio </w:t>
      </w:r>
    </w:p>
    <w:p w14:paraId="0F583ABC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46D201CF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3</w:t>
      </w: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 xml:space="preserve"> (02:03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Poor </w:t>
      </w:r>
      <w:proofErr w:type="spellStart"/>
      <w:r w:rsidRPr="00BB7A04">
        <w:rPr>
          <w:rFonts w:ascii="Helvetica" w:hAnsi="Helvetica"/>
          <w:sz w:val="22"/>
          <w:szCs w:val="22"/>
          <w:u w:val="single"/>
          <w:lang w:val="en-US"/>
        </w:rPr>
        <w:t>l-dopa</w:t>
      </w:r>
      <w:proofErr w:type="spellEnd"/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responsive parkinsonism</w:t>
      </w:r>
    </w:p>
    <w:p w14:paraId="019C2EEE" w14:textId="77777777" w:rsidR="00BD1552" w:rsidRDefault="00BD1552" w:rsidP="00BD1552">
      <w:pPr>
        <w:spacing w:line="360" w:lineRule="auto"/>
        <w:jc w:val="both"/>
        <w:rPr>
          <w:rFonts w:ascii="Helvetica" w:hAnsi="Helvetica"/>
          <w:bCs/>
          <w:sz w:val="22"/>
          <w:szCs w:val="22"/>
          <w:lang w:val="en-US"/>
        </w:rPr>
      </w:pPr>
      <w:r w:rsidRPr="00C62E30">
        <w:rPr>
          <w:rFonts w:ascii="Helvetica" w:hAnsi="Helvetica"/>
          <w:bCs/>
          <w:sz w:val="22"/>
          <w:szCs w:val="22"/>
          <w:lang w:val="en-US"/>
        </w:rPr>
        <w:t xml:space="preserve">The video on the left shows MDS-UPDRS part III assessment in a patient with clinically established MSA-P when drug naïve. Video on the right shows the same patient a month </w:t>
      </w:r>
      <w:proofErr w:type="gramStart"/>
      <w:r w:rsidRPr="00C62E30">
        <w:rPr>
          <w:rFonts w:ascii="Helvetica" w:hAnsi="Helvetica"/>
          <w:bCs/>
          <w:sz w:val="22"/>
          <w:szCs w:val="22"/>
          <w:lang w:val="en-US"/>
        </w:rPr>
        <w:t>later on</w:t>
      </w:r>
      <w:proofErr w:type="gramEnd"/>
      <w:r w:rsidRPr="00C62E30">
        <w:rPr>
          <w:rFonts w:ascii="Helvetica" w:hAnsi="Helvetica"/>
          <w:bCs/>
          <w:sz w:val="22"/>
          <w:szCs w:val="22"/>
          <w:lang w:val="en-US"/>
        </w:rPr>
        <w:t xml:space="preserve"> 100 mg daily levodopa demonstrating poor </w:t>
      </w:r>
      <w:proofErr w:type="spellStart"/>
      <w:r w:rsidRPr="00C62E30">
        <w:rPr>
          <w:rFonts w:ascii="Helvetica" w:hAnsi="Helvetica"/>
          <w:bCs/>
          <w:sz w:val="22"/>
          <w:szCs w:val="22"/>
          <w:lang w:val="en-US"/>
        </w:rPr>
        <w:t>l-dopa</w:t>
      </w:r>
      <w:proofErr w:type="spellEnd"/>
      <w:r w:rsidRPr="00C62E30">
        <w:rPr>
          <w:rFonts w:ascii="Helvetica" w:hAnsi="Helvetica"/>
          <w:bCs/>
          <w:sz w:val="22"/>
          <w:szCs w:val="22"/>
          <w:lang w:val="en-US"/>
        </w:rPr>
        <w:t xml:space="preserve"> responsiveness. Total MDS-UPDRS III score in the left video equals 54, and in the right video equals 49 indicating less than 30% improvement).</w:t>
      </w:r>
    </w:p>
    <w:p w14:paraId="5FC113EF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0D26AFDD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4 (03:13):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Cerebellar syndrome </w:t>
      </w:r>
    </w:p>
    <w:p w14:paraId="20356FC7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lastRenderedPageBreak/>
        <w:t>Segment 1</w:t>
      </w:r>
      <w:r w:rsidRPr="007264F7">
        <w:rPr>
          <w:rFonts w:ascii="Helvetica" w:hAnsi="Helvetica"/>
          <w:i/>
          <w:iCs/>
          <w:sz w:val="22"/>
          <w:szCs w:val="22"/>
          <w:lang w:val="en-US"/>
        </w:rPr>
        <w:t xml:space="preserve"> </w:t>
      </w:r>
      <w:r w:rsidRPr="007264F7">
        <w:rPr>
          <w:rFonts w:ascii="Helvetica" w:hAnsi="Helvetica"/>
          <w:sz w:val="22"/>
          <w:szCs w:val="22"/>
          <w:lang w:val="en-US"/>
        </w:rPr>
        <w:t xml:space="preserve">shows gait ataxia </w:t>
      </w:r>
      <w:r>
        <w:rPr>
          <w:rFonts w:ascii="Helvetica" w:hAnsi="Helvetica"/>
          <w:sz w:val="22"/>
          <w:szCs w:val="22"/>
          <w:lang w:val="en-US"/>
        </w:rPr>
        <w:t>in a patient with clinically established MSA-C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>who takes</w:t>
      </w:r>
      <w:r w:rsidRPr="007264F7">
        <w:rPr>
          <w:rFonts w:ascii="Helvetica" w:hAnsi="Helvetica"/>
          <w:sz w:val="22"/>
          <w:szCs w:val="22"/>
          <w:lang w:val="en-US"/>
        </w:rPr>
        <w:t xml:space="preserve"> multiple steps to the sides to keep his balance and is unable to perform tandem gait. </w:t>
      </w:r>
    </w:p>
    <w:p w14:paraId="3D0DEB80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2</w:t>
      </w:r>
      <w:r w:rsidRPr="007264F7">
        <w:rPr>
          <w:rFonts w:ascii="Helvetica" w:hAnsi="Helvetica"/>
          <w:sz w:val="22"/>
          <w:szCs w:val="22"/>
          <w:lang w:val="en-US"/>
        </w:rPr>
        <w:t xml:space="preserve"> demonstrates </w:t>
      </w:r>
      <w:r w:rsidRPr="00F75912">
        <w:rPr>
          <w:rFonts w:ascii="Helvetica" w:hAnsi="Helvetica"/>
          <w:sz w:val="22"/>
          <w:szCs w:val="22"/>
          <w:lang w:val="en-US"/>
        </w:rPr>
        <w:t xml:space="preserve">limb ataxia </w:t>
      </w:r>
      <w:r>
        <w:rPr>
          <w:rFonts w:ascii="Helvetica" w:hAnsi="Helvetica"/>
          <w:sz w:val="22"/>
          <w:szCs w:val="22"/>
          <w:lang w:val="en-US"/>
        </w:rPr>
        <w:t>in the same patient</w:t>
      </w:r>
      <w:r w:rsidRPr="00F75912">
        <w:rPr>
          <w:rFonts w:ascii="Helvetica" w:hAnsi="Helvetica"/>
          <w:sz w:val="22"/>
          <w:szCs w:val="22"/>
          <w:lang w:val="en-US"/>
        </w:rPr>
        <w:t xml:space="preserve"> with </w:t>
      </w:r>
      <w:r w:rsidRPr="007264F7">
        <w:rPr>
          <w:rFonts w:ascii="Helvetica" w:hAnsi="Helvetica"/>
          <w:sz w:val="22"/>
          <w:szCs w:val="22"/>
          <w:lang w:val="en-US"/>
        </w:rPr>
        <w:t xml:space="preserve">bilateral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dysmetria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during finger-nose testing.</w:t>
      </w:r>
    </w:p>
    <w:p w14:paraId="5A106EE8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3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>demonstrates cerebellar dysarthria with</w:t>
      </w:r>
      <w:r w:rsidRPr="007264F7">
        <w:rPr>
          <w:rFonts w:ascii="Helvetica" w:hAnsi="Helvetica"/>
          <w:sz w:val="22"/>
          <w:szCs w:val="22"/>
          <w:lang w:val="en-US"/>
        </w:rPr>
        <w:t xml:space="preserve"> slurred and slow</w:t>
      </w:r>
      <w:r>
        <w:rPr>
          <w:rFonts w:ascii="Helvetica" w:hAnsi="Helvetica"/>
          <w:sz w:val="22"/>
          <w:szCs w:val="22"/>
          <w:lang w:val="en-US"/>
        </w:rPr>
        <w:t xml:space="preserve"> speech</w:t>
      </w:r>
      <w:r w:rsidRPr="00F75912">
        <w:rPr>
          <w:rFonts w:ascii="Helvetica" w:hAnsi="Helvetica"/>
          <w:sz w:val="22"/>
          <w:szCs w:val="22"/>
          <w:lang w:val="en-US"/>
        </w:rPr>
        <w:t>, s</w:t>
      </w:r>
      <w:r w:rsidRPr="007264F7">
        <w:rPr>
          <w:rFonts w:ascii="Helvetica" w:hAnsi="Helvetica"/>
          <w:sz w:val="22"/>
          <w:szCs w:val="22"/>
          <w:lang w:val="en-US"/>
        </w:rPr>
        <w:t xml:space="preserve">ustained phonation and repeated phonation </w:t>
      </w:r>
      <w:r w:rsidRPr="00F75912">
        <w:rPr>
          <w:rFonts w:ascii="Helvetica" w:hAnsi="Helvetica"/>
          <w:sz w:val="22"/>
          <w:szCs w:val="22"/>
          <w:lang w:val="en-US"/>
        </w:rPr>
        <w:t xml:space="preserve">are </w:t>
      </w:r>
      <w:r>
        <w:rPr>
          <w:rFonts w:ascii="Helvetica" w:hAnsi="Helvetica"/>
          <w:sz w:val="22"/>
          <w:szCs w:val="22"/>
          <w:lang w:val="en-US"/>
        </w:rPr>
        <w:t xml:space="preserve">particularly difficult. </w:t>
      </w:r>
    </w:p>
    <w:p w14:paraId="437B9937" w14:textId="77777777" w:rsidR="00BD1552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4</w:t>
      </w:r>
      <w:r w:rsidRPr="007264F7">
        <w:rPr>
          <w:rFonts w:ascii="Helvetica" w:hAnsi="Helvetica"/>
          <w:sz w:val="22"/>
          <w:szCs w:val="22"/>
          <w:lang w:val="en-US"/>
        </w:rPr>
        <w:t xml:space="preserve"> shows </w:t>
      </w:r>
      <w:r>
        <w:rPr>
          <w:rFonts w:ascii="Helvetica" w:hAnsi="Helvetica"/>
          <w:sz w:val="22"/>
          <w:szCs w:val="22"/>
          <w:lang w:val="en-US"/>
        </w:rPr>
        <w:t>different oculomotor features</w:t>
      </w:r>
      <w:r w:rsidRPr="001F5F27">
        <w:rPr>
          <w:rFonts w:ascii="Helvetica" w:hAnsi="Helvetica"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 xml:space="preserve">in patients with clinically probable MSA-C including </w:t>
      </w:r>
      <w:r w:rsidRPr="00F75912">
        <w:rPr>
          <w:rFonts w:ascii="Helvetica" w:hAnsi="Helvetica"/>
          <w:sz w:val="22"/>
          <w:szCs w:val="22"/>
          <w:lang w:val="en-US"/>
        </w:rPr>
        <w:t xml:space="preserve">sustained </w:t>
      </w:r>
      <w:r w:rsidRPr="007264F7">
        <w:rPr>
          <w:rFonts w:ascii="Helvetica" w:hAnsi="Helvetica"/>
          <w:sz w:val="22"/>
          <w:szCs w:val="22"/>
          <w:lang w:val="en-US"/>
        </w:rPr>
        <w:t xml:space="preserve">gaze-evoked horizontal </w:t>
      </w:r>
      <w:r w:rsidRPr="00F75912">
        <w:rPr>
          <w:rFonts w:ascii="Helvetica" w:hAnsi="Helvetica"/>
          <w:sz w:val="22"/>
          <w:szCs w:val="22"/>
          <w:lang w:val="en-US"/>
        </w:rPr>
        <w:t>nystagmus</w:t>
      </w:r>
      <w:r>
        <w:rPr>
          <w:rFonts w:ascii="Helvetica" w:hAnsi="Helvetica"/>
          <w:sz w:val="22"/>
          <w:szCs w:val="22"/>
          <w:lang w:val="en-US"/>
        </w:rPr>
        <w:t xml:space="preserve">, </w:t>
      </w:r>
      <w:r w:rsidRPr="00F75912">
        <w:rPr>
          <w:rFonts w:ascii="Helvetica" w:hAnsi="Helvetica"/>
          <w:sz w:val="22"/>
          <w:szCs w:val="22"/>
          <w:lang w:val="en-US"/>
        </w:rPr>
        <w:t xml:space="preserve">sustained </w:t>
      </w:r>
      <w:r w:rsidRPr="007264F7">
        <w:rPr>
          <w:rFonts w:ascii="Helvetica" w:hAnsi="Helvetica"/>
          <w:sz w:val="22"/>
          <w:szCs w:val="22"/>
          <w:lang w:val="en-US"/>
        </w:rPr>
        <w:t xml:space="preserve">gaze-evoked </w:t>
      </w:r>
      <w:r>
        <w:rPr>
          <w:rFonts w:ascii="Helvetica" w:hAnsi="Helvetica"/>
          <w:sz w:val="22"/>
          <w:szCs w:val="22"/>
          <w:lang w:val="en-US"/>
        </w:rPr>
        <w:t>downbeat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 w:rsidRPr="00F75912">
        <w:rPr>
          <w:rFonts w:ascii="Helvetica" w:hAnsi="Helvetica"/>
          <w:sz w:val="22"/>
          <w:szCs w:val="22"/>
          <w:lang w:val="en-US"/>
        </w:rPr>
        <w:t>nystagmus</w:t>
      </w:r>
      <w:r>
        <w:rPr>
          <w:rFonts w:ascii="Helvetica" w:hAnsi="Helvetica"/>
          <w:sz w:val="22"/>
          <w:szCs w:val="22"/>
          <w:lang w:val="en-US"/>
        </w:rPr>
        <w:t xml:space="preserve"> and hypermetric saccades.</w:t>
      </w:r>
    </w:p>
    <w:p w14:paraId="77B1B223" w14:textId="77777777" w:rsidR="00BD1552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770BDCC7" w14:textId="77777777" w:rsidR="00BD1552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lang w:val="en-US"/>
        </w:rPr>
      </w:pPr>
      <w:r>
        <w:rPr>
          <w:rFonts w:ascii="Helvetica" w:hAnsi="Helvetica"/>
          <w:sz w:val="22"/>
          <w:szCs w:val="22"/>
          <w:lang w:val="en-US"/>
        </w:rPr>
        <w:t>In the next part, supportive motor and non-motor features are demonstrated.</w:t>
      </w:r>
    </w:p>
    <w:p w14:paraId="1D21A612" w14:textId="77777777" w:rsidR="00BD1552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2EECCA0C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>
        <w:rPr>
          <w:rFonts w:ascii="Helvetica" w:hAnsi="Helvetica"/>
          <w:b/>
          <w:sz w:val="22"/>
          <w:szCs w:val="22"/>
          <w:u w:val="single"/>
          <w:lang w:val="en-US"/>
        </w:rPr>
        <w:t>Part 5 (05:28</w:t>
      </w:r>
      <w:r w:rsidRPr="00BB7A04">
        <w:rPr>
          <w:rFonts w:ascii="Helvetica" w:hAnsi="Helvetica"/>
          <w:b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Rapid progression within 3 years of motor onset </w:t>
      </w:r>
    </w:p>
    <w:p w14:paraId="4D0FE91A" w14:textId="77777777" w:rsidR="00BD1552" w:rsidRPr="00C62E30" w:rsidRDefault="00BD1552" w:rsidP="00BD1552">
      <w:pPr>
        <w:spacing w:line="360" w:lineRule="auto"/>
        <w:jc w:val="both"/>
        <w:rPr>
          <w:rFonts w:ascii="Helvetica" w:hAnsi="Helvetica"/>
          <w:bCs/>
          <w:iCs/>
          <w:sz w:val="22"/>
          <w:szCs w:val="22"/>
          <w:lang w:val="en-US"/>
        </w:rPr>
      </w:pPr>
      <w:r w:rsidRPr="00C62E30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1:</w:t>
      </w:r>
      <w:r w:rsidRPr="00C62E30">
        <w:rPr>
          <w:rFonts w:ascii="Helvetica" w:hAnsi="Helvetica"/>
          <w:bCs/>
          <w:iCs/>
          <w:sz w:val="22"/>
          <w:szCs w:val="22"/>
          <w:lang w:val="en-US"/>
        </w:rPr>
        <w:t xml:space="preserve"> This video shows a patient with </w:t>
      </w:r>
      <w:proofErr w:type="spellStart"/>
      <w:r w:rsidRPr="00C62E30">
        <w:rPr>
          <w:rFonts w:ascii="Helvetica" w:hAnsi="Helvetica"/>
          <w:bCs/>
          <w:iCs/>
          <w:sz w:val="22"/>
          <w:szCs w:val="22"/>
          <w:lang w:val="en-US"/>
        </w:rPr>
        <w:t>neuropathologically</w:t>
      </w:r>
      <w:proofErr w:type="spellEnd"/>
      <w:r w:rsidRPr="00C62E30">
        <w:rPr>
          <w:rFonts w:ascii="Helvetica" w:hAnsi="Helvetica"/>
          <w:bCs/>
          <w:iCs/>
          <w:sz w:val="22"/>
          <w:szCs w:val="22"/>
          <w:lang w:val="en-US"/>
        </w:rPr>
        <w:t xml:space="preserve"> established MSA with rapid progression within 3 years of motor onset. In the first </w:t>
      </w:r>
      <w:proofErr w:type="gramStart"/>
      <w:r w:rsidRPr="00C62E30">
        <w:rPr>
          <w:rFonts w:ascii="Helvetica" w:hAnsi="Helvetica"/>
          <w:bCs/>
          <w:iCs/>
          <w:sz w:val="22"/>
          <w:szCs w:val="22"/>
          <w:lang w:val="en-US"/>
        </w:rPr>
        <w:t>year</w:t>
      </w:r>
      <w:proofErr w:type="gramEnd"/>
      <w:r w:rsidRPr="00C62E30">
        <w:rPr>
          <w:rFonts w:ascii="Helvetica" w:hAnsi="Helvetica"/>
          <w:bCs/>
          <w:iCs/>
          <w:sz w:val="22"/>
          <w:szCs w:val="22"/>
          <w:lang w:val="en-US"/>
        </w:rPr>
        <w:t xml:space="preserve"> she presented with mild appendicular ataxia and gait imbalance, impaired tandem gait and postural instability. </w:t>
      </w:r>
    </w:p>
    <w:p w14:paraId="766E73DE" w14:textId="77777777" w:rsidR="00BD1552" w:rsidRPr="00C62E30" w:rsidRDefault="00BD1552" w:rsidP="00BD1552">
      <w:pPr>
        <w:spacing w:line="360" w:lineRule="auto"/>
        <w:jc w:val="both"/>
        <w:rPr>
          <w:rFonts w:ascii="Helvetica" w:hAnsi="Helvetica"/>
          <w:bCs/>
          <w:iCs/>
          <w:sz w:val="22"/>
          <w:szCs w:val="22"/>
          <w:lang w:val="en-US"/>
        </w:rPr>
      </w:pPr>
      <w:r w:rsidRPr="00C62E30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2</w:t>
      </w:r>
      <w:r w:rsidRPr="00C62E30">
        <w:rPr>
          <w:rFonts w:ascii="Helvetica" w:hAnsi="Helvetica"/>
          <w:bCs/>
          <w:iCs/>
          <w:sz w:val="22"/>
          <w:szCs w:val="22"/>
          <w:lang w:val="en-US"/>
        </w:rPr>
        <w:t xml:space="preserve"> represents the same patient 2 years later with bilateral bradykinesia and jerky tremor more so on the left and severe appendicular ataxia. She became wheelchair-bound and requires a two-person assistance to ambulate.</w:t>
      </w:r>
    </w:p>
    <w:p w14:paraId="065FFB4C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2B38389A" w14:textId="77777777" w:rsidR="00BD1552" w:rsidRPr="00BB7A04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u w:val="single"/>
          <w:lang w:val="en-US"/>
        </w:rPr>
      </w:pP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>Part 6 (06:55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</w:t>
      </w:r>
      <w:proofErr w:type="spellStart"/>
      <w:r w:rsidRPr="00BB7A04">
        <w:rPr>
          <w:rFonts w:ascii="Helvetica" w:hAnsi="Helvetica"/>
          <w:sz w:val="22"/>
          <w:szCs w:val="22"/>
          <w:u w:val="single"/>
          <w:lang w:val="en-US"/>
        </w:rPr>
        <w:t>Craniocervical</w:t>
      </w:r>
      <w:proofErr w:type="spellEnd"/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dystonia induced or exacerbated by L-dopa in the absence of limb dyskinesia </w:t>
      </w:r>
    </w:p>
    <w:p w14:paraId="26E022F2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 xml:space="preserve">The video shows a patient with clinically established MSA-P with craniofacial dystonic movements exacerbated by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l</w:t>
      </w:r>
      <w:r>
        <w:rPr>
          <w:rFonts w:ascii="Helvetica" w:hAnsi="Helvetica"/>
          <w:sz w:val="22"/>
          <w:szCs w:val="22"/>
          <w:lang w:val="en-US"/>
        </w:rPr>
        <w:t>-</w:t>
      </w:r>
      <w:r w:rsidRPr="007264F7">
        <w:rPr>
          <w:rFonts w:ascii="Helvetica" w:hAnsi="Helvetica"/>
          <w:sz w:val="22"/>
          <w:szCs w:val="22"/>
          <w:lang w:val="en-US"/>
        </w:rPr>
        <w:t>dopa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in the absence of limb dyskinesia.</w:t>
      </w:r>
    </w:p>
    <w:p w14:paraId="7FA95DD3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1F816589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7 (</w:t>
      </w: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>07:11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Jerky myoclonic postural or kinetic tremor </w:t>
      </w:r>
    </w:p>
    <w:p w14:paraId="4220F23D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 xml:space="preserve">The video shows a patient with </w:t>
      </w:r>
      <w:r>
        <w:rPr>
          <w:rFonts w:ascii="Helvetica" w:hAnsi="Helvetica"/>
          <w:sz w:val="22"/>
          <w:szCs w:val="22"/>
          <w:lang w:val="en-US"/>
        </w:rPr>
        <w:t>c</w:t>
      </w:r>
      <w:r w:rsidRPr="00393E2D">
        <w:rPr>
          <w:rFonts w:ascii="Helvetica" w:hAnsi="Helvetica"/>
          <w:sz w:val="22"/>
          <w:szCs w:val="22"/>
          <w:lang w:val="en-US"/>
        </w:rPr>
        <w:t>linically probable MSA</w:t>
      </w:r>
      <w:r>
        <w:rPr>
          <w:rFonts w:ascii="Helvetica" w:hAnsi="Helvetica"/>
          <w:sz w:val="22"/>
          <w:szCs w:val="22"/>
          <w:lang w:val="en-US"/>
        </w:rPr>
        <w:t xml:space="preserve"> </w:t>
      </w:r>
      <w:r w:rsidRPr="007264F7">
        <w:rPr>
          <w:rFonts w:ascii="Helvetica" w:hAnsi="Helvetica"/>
          <w:sz w:val="22"/>
          <w:szCs w:val="22"/>
          <w:lang w:val="en-US"/>
        </w:rPr>
        <w:t>with bilateral, small amplitude, irregular and jerky rest and action tremor, consistent with myoclonus. There is stimulus-sensitive myoclonus in the right hand.</w:t>
      </w:r>
    </w:p>
    <w:p w14:paraId="04F9F437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041AA499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8 (08:31):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Postural deformities</w:t>
      </w:r>
    </w:p>
    <w:p w14:paraId="0D29210E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 xml:space="preserve">This video shows clinically established MSA patients with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antecollis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(</w:t>
      </w: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1</w:t>
      </w:r>
      <w:r w:rsidRPr="007264F7">
        <w:rPr>
          <w:rFonts w:ascii="Helvetica" w:hAnsi="Helvetica"/>
          <w:sz w:val="22"/>
          <w:szCs w:val="22"/>
          <w:lang w:val="en-US"/>
        </w:rPr>
        <w:t>), Pisa syndrome (</w:t>
      </w: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2</w:t>
      </w:r>
      <w:r w:rsidRPr="007264F7">
        <w:rPr>
          <w:rFonts w:ascii="Helvetica" w:hAnsi="Helvetica"/>
          <w:sz w:val="22"/>
          <w:szCs w:val="22"/>
          <w:lang w:val="en-US"/>
        </w:rPr>
        <w:t xml:space="preserve">), </w:t>
      </w:r>
      <w:proofErr w:type="spellStart"/>
      <w:r w:rsidRPr="007264F7">
        <w:rPr>
          <w:rFonts w:ascii="Helvetica" w:hAnsi="Helvetica"/>
          <w:sz w:val="22"/>
          <w:szCs w:val="22"/>
          <w:lang w:val="en-US"/>
        </w:rPr>
        <w:t>camptocormia</w:t>
      </w:r>
      <w:proofErr w:type="spellEnd"/>
      <w:r w:rsidRPr="007264F7">
        <w:rPr>
          <w:rFonts w:ascii="Helvetica" w:hAnsi="Helvetica"/>
          <w:sz w:val="22"/>
          <w:szCs w:val="22"/>
          <w:lang w:val="en-US"/>
        </w:rPr>
        <w:t xml:space="preserve"> (</w:t>
      </w: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3</w:t>
      </w:r>
      <w:r w:rsidRPr="007264F7">
        <w:rPr>
          <w:rFonts w:ascii="Helvetica" w:hAnsi="Helvetica"/>
          <w:sz w:val="22"/>
          <w:szCs w:val="22"/>
          <w:lang w:val="en-US"/>
        </w:rPr>
        <w:t>) and contractures of hands (</w:t>
      </w: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 4</w:t>
      </w:r>
      <w:r w:rsidRPr="007264F7">
        <w:rPr>
          <w:rFonts w:ascii="Helvetica" w:hAnsi="Helvetica"/>
          <w:sz w:val="22"/>
          <w:szCs w:val="22"/>
          <w:lang w:val="en-US"/>
        </w:rPr>
        <w:t xml:space="preserve">). </w:t>
      </w:r>
    </w:p>
    <w:p w14:paraId="7DE5D4A6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751BD7D7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9 (08:11):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Stridor </w:t>
      </w:r>
    </w:p>
    <w:p w14:paraId="483456E7" w14:textId="77777777" w:rsidR="00BD1552" w:rsidRPr="0056215A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4226EA">
        <w:rPr>
          <w:rFonts w:ascii="Helvetica" w:hAnsi="Helvetica"/>
          <w:bCs/>
          <w:iCs/>
          <w:sz w:val="22"/>
          <w:szCs w:val="22"/>
          <w:lang w:val="en-US"/>
        </w:rPr>
        <w:t xml:space="preserve">Stridor is demonstrated in a patient </w:t>
      </w:r>
      <w:r w:rsidRPr="004226EA">
        <w:rPr>
          <w:rFonts w:ascii="Helvetica" w:hAnsi="Helvetica"/>
          <w:sz w:val="22"/>
          <w:szCs w:val="22"/>
          <w:lang w:val="en-US"/>
        </w:rPr>
        <w:t>during</w:t>
      </w:r>
      <w:r>
        <w:rPr>
          <w:rFonts w:ascii="Helvetica" w:hAnsi="Helvetica"/>
          <w:sz w:val="22"/>
          <w:szCs w:val="22"/>
          <w:lang w:val="en-US"/>
        </w:rPr>
        <w:t xml:space="preserve"> wakefulness (</w:t>
      </w:r>
      <w:r w:rsidRPr="004226EA">
        <w:rPr>
          <w:rFonts w:ascii="Helvetica" w:hAnsi="Helvetica"/>
          <w:b/>
          <w:i/>
          <w:sz w:val="22"/>
          <w:szCs w:val="22"/>
          <w:lang w:val="en-US"/>
        </w:rPr>
        <w:t>segment 1</w:t>
      </w:r>
      <w:r>
        <w:rPr>
          <w:rFonts w:ascii="Helvetica" w:hAnsi="Helvetica"/>
          <w:sz w:val="22"/>
          <w:szCs w:val="22"/>
          <w:lang w:val="en-US"/>
        </w:rPr>
        <w:t xml:space="preserve">), a </w:t>
      </w:r>
      <w:proofErr w:type="spellStart"/>
      <w:r>
        <w:rPr>
          <w:rFonts w:ascii="Helvetica" w:hAnsi="Helvetica"/>
          <w:sz w:val="22"/>
          <w:szCs w:val="22"/>
          <w:lang w:val="en-US"/>
        </w:rPr>
        <w:t>polysomnpgraphy</w:t>
      </w:r>
      <w:proofErr w:type="spellEnd"/>
      <w:r w:rsidRPr="004226EA">
        <w:rPr>
          <w:rFonts w:ascii="Helvetica" w:hAnsi="Helvetica"/>
          <w:b/>
          <w:i/>
          <w:sz w:val="22"/>
          <w:szCs w:val="22"/>
          <w:lang w:val="en-US"/>
        </w:rPr>
        <w:t xml:space="preserve"> </w:t>
      </w:r>
      <w:r>
        <w:rPr>
          <w:rFonts w:ascii="Helvetica" w:hAnsi="Helvetica"/>
          <w:b/>
          <w:i/>
          <w:sz w:val="22"/>
          <w:szCs w:val="22"/>
          <w:lang w:val="en-US"/>
        </w:rPr>
        <w:t>(</w:t>
      </w:r>
      <w:r w:rsidRPr="004226EA">
        <w:rPr>
          <w:rFonts w:ascii="Helvetica" w:hAnsi="Helvetica"/>
          <w:b/>
          <w:i/>
          <w:sz w:val="22"/>
          <w:szCs w:val="22"/>
          <w:lang w:val="en-US"/>
        </w:rPr>
        <w:t xml:space="preserve">segment </w:t>
      </w:r>
      <w:r>
        <w:rPr>
          <w:rFonts w:ascii="Helvetica" w:hAnsi="Helvetica"/>
          <w:b/>
          <w:i/>
          <w:sz w:val="22"/>
          <w:szCs w:val="22"/>
          <w:lang w:val="en-US"/>
        </w:rPr>
        <w:t>2)</w:t>
      </w:r>
      <w:r>
        <w:rPr>
          <w:rFonts w:ascii="Helvetica" w:hAnsi="Helvetica"/>
          <w:sz w:val="22"/>
          <w:szCs w:val="22"/>
          <w:lang w:val="en-US"/>
        </w:rPr>
        <w:t>, and with laryn</w:t>
      </w:r>
      <w:r w:rsidRPr="0056215A">
        <w:rPr>
          <w:rFonts w:ascii="Helvetica" w:hAnsi="Helvetica"/>
          <w:sz w:val="22"/>
          <w:szCs w:val="22"/>
          <w:lang w:val="en-US"/>
        </w:rPr>
        <w:t xml:space="preserve">goscopy </w:t>
      </w:r>
      <w:r w:rsidRPr="0056215A">
        <w:rPr>
          <w:rFonts w:ascii="Helvetica" w:hAnsi="Helvetica"/>
          <w:b/>
          <w:i/>
          <w:sz w:val="22"/>
          <w:szCs w:val="22"/>
          <w:lang w:val="en-US"/>
        </w:rPr>
        <w:t>(segment 3).</w:t>
      </w:r>
    </w:p>
    <w:p w14:paraId="1AF6C93E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A30B97">
        <w:rPr>
          <w:rFonts w:ascii="Helvetica" w:hAnsi="Helvetica"/>
          <w:b/>
          <w:i/>
          <w:sz w:val="22"/>
          <w:szCs w:val="22"/>
          <w:lang w:val="en-US"/>
        </w:rPr>
        <w:t>Segment 3</w:t>
      </w:r>
      <w:r w:rsidRPr="0056215A">
        <w:rPr>
          <w:rFonts w:ascii="Helvetica" w:hAnsi="Helvetica"/>
          <w:sz w:val="22"/>
          <w:szCs w:val="22"/>
          <w:lang w:val="en-US"/>
        </w:rPr>
        <w:t xml:space="preserve"> shows laryngoscopy in a healthy subject (segment 1) and a clinically probable MSA patient with severe vocal fold motion impairment (Segment 2). During forced inhalation (segment 3) the video demonstrates a clinically established MSA patient with severe paradoxical vocal fold motion called “gasping”.</w:t>
      </w:r>
    </w:p>
    <w:p w14:paraId="08930387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0AFB07C5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 xml:space="preserve">Part </w:t>
      </w: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>10 (10:20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Inspiratory sighs</w:t>
      </w:r>
    </w:p>
    <w:p w14:paraId="5B65CD1B" w14:textId="77777777" w:rsidR="00BD1552" w:rsidRPr="007264F7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lang w:val="en-US"/>
        </w:rPr>
      </w:pPr>
      <w:r w:rsidRPr="000A3E37">
        <w:rPr>
          <w:rFonts w:ascii="Helvetica" w:hAnsi="Helvetica"/>
          <w:bCs/>
          <w:iCs/>
          <w:sz w:val="22"/>
          <w:szCs w:val="22"/>
          <w:lang w:val="en-US"/>
        </w:rPr>
        <w:t>This segment</w:t>
      </w:r>
      <w:r w:rsidRPr="007264F7">
        <w:rPr>
          <w:rFonts w:ascii="Helvetica" w:hAnsi="Helvetica"/>
          <w:sz w:val="22"/>
          <w:szCs w:val="22"/>
          <w:lang w:val="en-US"/>
        </w:rPr>
        <w:t xml:space="preserve"> shows </w:t>
      </w:r>
      <w:r>
        <w:rPr>
          <w:rFonts w:ascii="Helvetica" w:hAnsi="Helvetica"/>
          <w:sz w:val="22"/>
          <w:szCs w:val="22"/>
          <w:lang w:val="en-US"/>
        </w:rPr>
        <w:t xml:space="preserve">inspiratory sighs in </w:t>
      </w:r>
      <w:r w:rsidRPr="007264F7">
        <w:rPr>
          <w:rFonts w:ascii="Helvetica" w:hAnsi="Helvetica"/>
          <w:sz w:val="22"/>
          <w:szCs w:val="22"/>
          <w:lang w:val="en-US"/>
        </w:rPr>
        <w:t>a patient with</w:t>
      </w:r>
      <w:r>
        <w:rPr>
          <w:rFonts w:ascii="Helvetica" w:hAnsi="Helvetica"/>
          <w:sz w:val="22"/>
          <w:szCs w:val="22"/>
          <w:lang w:val="en-US"/>
        </w:rPr>
        <w:t xml:space="preserve"> clinically established MSA</w:t>
      </w:r>
      <w:r w:rsidRPr="007264F7">
        <w:rPr>
          <w:rFonts w:ascii="Helvetica" w:hAnsi="Helvetica"/>
          <w:sz w:val="22"/>
          <w:szCs w:val="22"/>
          <w:lang w:val="en-US"/>
        </w:rPr>
        <w:t>.</w:t>
      </w:r>
    </w:p>
    <w:p w14:paraId="6B7A7C04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54F4A548" w14:textId="1B0B067F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>Part 11 (10:3</w:t>
      </w:r>
      <w:r w:rsidR="007C3932">
        <w:rPr>
          <w:rFonts w:ascii="Helvetica" w:hAnsi="Helvetica"/>
          <w:b/>
          <w:bCs/>
          <w:sz w:val="22"/>
          <w:szCs w:val="22"/>
          <w:u w:val="single"/>
          <w:lang w:val="en-US"/>
        </w:rPr>
        <w:t>3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Cold discolored hands and feet </w:t>
      </w:r>
    </w:p>
    <w:p w14:paraId="48759080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sz w:val="22"/>
          <w:szCs w:val="22"/>
          <w:lang w:val="en-US"/>
        </w:rPr>
        <w:t xml:space="preserve">The video demonstrates a purple discoloration of the hands with slow circulatory return, as evidenced by the prolonged blanching when pressure is removed. </w:t>
      </w:r>
    </w:p>
    <w:p w14:paraId="61355411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55E6FAA6" w14:textId="110503B1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 xml:space="preserve">Part </w:t>
      </w:r>
      <w:r>
        <w:rPr>
          <w:rFonts w:ascii="Helvetica" w:hAnsi="Helvetica"/>
          <w:b/>
          <w:bCs/>
          <w:sz w:val="22"/>
          <w:szCs w:val="22"/>
          <w:u w:val="single"/>
          <w:lang w:val="en-US"/>
        </w:rPr>
        <w:t>12 (10:</w:t>
      </w:r>
      <w:r w:rsidR="007C3932">
        <w:rPr>
          <w:rFonts w:ascii="Helvetica" w:hAnsi="Helvetica"/>
          <w:b/>
          <w:bCs/>
          <w:sz w:val="22"/>
          <w:szCs w:val="22"/>
          <w:u w:val="single"/>
          <w:lang w:val="en-US"/>
        </w:rPr>
        <w:t>5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1):</w:t>
      </w:r>
      <w:r w:rsidRPr="00BB7A04">
        <w:rPr>
          <w:rFonts w:ascii="Helvetica" w:hAnsi="Helvetica"/>
          <w:sz w:val="22"/>
          <w:szCs w:val="22"/>
          <w:u w:val="single"/>
          <w:lang w:val="en-US"/>
        </w:rPr>
        <w:t xml:space="preserve"> Pathologic laughter or crying</w:t>
      </w:r>
    </w:p>
    <w:p w14:paraId="192A906B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>Segment</w:t>
      </w:r>
      <w:r>
        <w:rPr>
          <w:rFonts w:ascii="Helvetica" w:hAnsi="Helvetica"/>
          <w:b/>
          <w:bCs/>
          <w:i/>
          <w:iCs/>
          <w:sz w:val="22"/>
          <w:szCs w:val="22"/>
          <w:lang w:val="en-US"/>
        </w:rPr>
        <w:t>s</w:t>
      </w:r>
      <w:r w:rsidRPr="007264F7">
        <w:rPr>
          <w:rFonts w:ascii="Helvetica" w:hAnsi="Helvetica"/>
          <w:b/>
          <w:bCs/>
          <w:i/>
          <w:iCs/>
          <w:sz w:val="22"/>
          <w:szCs w:val="22"/>
          <w:lang w:val="en-US"/>
        </w:rPr>
        <w:t xml:space="preserve"> </w:t>
      </w:r>
      <w:r w:rsidRPr="00A30B97">
        <w:rPr>
          <w:rFonts w:ascii="Helvetica" w:hAnsi="Helvetica"/>
          <w:b/>
          <w:bCs/>
          <w:i/>
          <w:iCs/>
          <w:sz w:val="22"/>
          <w:szCs w:val="22"/>
          <w:lang w:val="en-US"/>
        </w:rPr>
        <w:t>1</w:t>
      </w:r>
      <w:r w:rsidRPr="00A30B97">
        <w:rPr>
          <w:rFonts w:ascii="Helvetica" w:hAnsi="Helvetica"/>
          <w:b/>
          <w:i/>
          <w:sz w:val="22"/>
          <w:szCs w:val="22"/>
          <w:lang w:val="en-US"/>
        </w:rPr>
        <w:t xml:space="preserve"> and 2</w:t>
      </w:r>
      <w:r>
        <w:rPr>
          <w:rFonts w:ascii="Helvetica" w:hAnsi="Helvetica"/>
          <w:sz w:val="22"/>
          <w:szCs w:val="22"/>
          <w:lang w:val="en-US"/>
        </w:rPr>
        <w:t xml:space="preserve"> </w:t>
      </w:r>
      <w:r w:rsidRPr="007264F7">
        <w:rPr>
          <w:rFonts w:ascii="Helvetica" w:hAnsi="Helvetica"/>
          <w:sz w:val="22"/>
          <w:szCs w:val="22"/>
          <w:lang w:val="en-US"/>
        </w:rPr>
        <w:t xml:space="preserve">show pathological </w:t>
      </w:r>
      <w:r>
        <w:rPr>
          <w:rFonts w:ascii="Helvetica" w:hAnsi="Helvetica"/>
          <w:sz w:val="22"/>
          <w:szCs w:val="22"/>
          <w:lang w:val="en-US"/>
        </w:rPr>
        <w:t>laughter</w:t>
      </w:r>
      <w:r w:rsidRPr="007264F7">
        <w:rPr>
          <w:rFonts w:ascii="Helvetica" w:hAnsi="Helvetica"/>
          <w:sz w:val="22"/>
          <w:szCs w:val="22"/>
          <w:lang w:val="en-US"/>
        </w:rPr>
        <w:t xml:space="preserve"> </w:t>
      </w:r>
      <w:r>
        <w:rPr>
          <w:rFonts w:ascii="Helvetica" w:hAnsi="Helvetica"/>
          <w:sz w:val="22"/>
          <w:szCs w:val="22"/>
          <w:lang w:val="en-US"/>
        </w:rPr>
        <w:t>and pathological</w:t>
      </w:r>
      <w:r w:rsidRPr="00D8019E">
        <w:rPr>
          <w:rFonts w:ascii="Helvetica" w:hAnsi="Helvetica"/>
          <w:sz w:val="22"/>
          <w:szCs w:val="22"/>
          <w:lang w:val="en-US"/>
        </w:rPr>
        <w:t xml:space="preserve"> </w:t>
      </w:r>
      <w:r w:rsidRPr="007264F7">
        <w:rPr>
          <w:rFonts w:ascii="Helvetica" w:hAnsi="Helvetica"/>
          <w:sz w:val="22"/>
          <w:szCs w:val="22"/>
          <w:lang w:val="en-US"/>
        </w:rPr>
        <w:t>crying</w:t>
      </w:r>
      <w:r>
        <w:rPr>
          <w:rFonts w:ascii="Helvetica" w:hAnsi="Helvetica"/>
          <w:sz w:val="22"/>
          <w:szCs w:val="22"/>
          <w:lang w:val="en-US"/>
        </w:rPr>
        <w:t xml:space="preserve"> respectively in patients with clinically established MSA.</w:t>
      </w:r>
    </w:p>
    <w:p w14:paraId="10F311BF" w14:textId="77777777" w:rsidR="00BD1552" w:rsidRDefault="00BD1552" w:rsidP="00BD1552">
      <w:pPr>
        <w:spacing w:line="360" w:lineRule="auto"/>
        <w:jc w:val="both"/>
        <w:rPr>
          <w:rFonts w:ascii="Helvetica" w:hAnsi="Helvetica"/>
          <w:b/>
          <w:bCs/>
          <w:sz w:val="22"/>
          <w:szCs w:val="22"/>
          <w:lang w:val="en-US"/>
        </w:rPr>
      </w:pPr>
    </w:p>
    <w:p w14:paraId="57FC7AB1" w14:textId="086B50B5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bCs/>
          <w:sz w:val="22"/>
          <w:szCs w:val="22"/>
          <w:u w:val="single"/>
          <w:lang w:val="en-US"/>
        </w:rPr>
      </w:pP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>Part 13</w:t>
      </w:r>
      <w:r w:rsidR="007C3932">
        <w:rPr>
          <w:rFonts w:ascii="Helvetica" w:hAnsi="Helvetica"/>
          <w:b/>
          <w:bCs/>
          <w:sz w:val="22"/>
          <w:szCs w:val="22"/>
          <w:u w:val="single"/>
          <w:lang w:val="en-US"/>
        </w:rPr>
        <w:t xml:space="preserve"> (11:34</w:t>
      </w:r>
      <w:r w:rsidRPr="00BB7A04">
        <w:rPr>
          <w:rFonts w:ascii="Helvetica" w:hAnsi="Helvetica"/>
          <w:b/>
          <w:bCs/>
          <w:sz w:val="22"/>
          <w:szCs w:val="22"/>
          <w:u w:val="single"/>
          <w:lang w:val="en-US"/>
        </w:rPr>
        <w:t xml:space="preserve">): </w:t>
      </w:r>
      <w:r w:rsidRPr="00BB7A04">
        <w:rPr>
          <w:rFonts w:ascii="Helvetica" w:hAnsi="Helvetica"/>
          <w:bCs/>
          <w:sz w:val="22"/>
          <w:szCs w:val="22"/>
          <w:u w:val="single"/>
          <w:lang w:val="en-US"/>
        </w:rPr>
        <w:t>MRI features</w:t>
      </w:r>
    </w:p>
    <w:p w14:paraId="0BFBBBE2" w14:textId="77777777" w:rsidR="00BD1552" w:rsidRPr="004C20BB" w:rsidRDefault="00BD1552" w:rsidP="00BD1552">
      <w:pPr>
        <w:spacing w:line="360" w:lineRule="auto"/>
        <w:jc w:val="both"/>
        <w:rPr>
          <w:rFonts w:ascii="Helvetica" w:hAnsi="Helvetica"/>
          <w:bCs/>
          <w:sz w:val="22"/>
          <w:szCs w:val="22"/>
          <w:lang w:val="en-US"/>
        </w:rPr>
      </w:pPr>
      <w:r>
        <w:rPr>
          <w:rFonts w:ascii="Helvetica" w:hAnsi="Helvetica"/>
          <w:bCs/>
          <w:sz w:val="22"/>
          <w:szCs w:val="22"/>
          <w:lang w:val="en-US"/>
        </w:rPr>
        <w:t>C</w:t>
      </w:r>
      <w:r w:rsidRPr="00C62E30">
        <w:rPr>
          <w:rFonts w:ascii="Helvetica" w:hAnsi="Helvetica"/>
          <w:bCs/>
          <w:sz w:val="22"/>
          <w:szCs w:val="22"/>
          <w:lang w:val="en-US"/>
        </w:rPr>
        <w:t>linically established MSA diagnosis requires presence of at least o</w:t>
      </w:r>
      <w:r>
        <w:rPr>
          <w:rFonts w:ascii="Helvetica" w:hAnsi="Helvetica"/>
          <w:bCs/>
          <w:sz w:val="22"/>
          <w:szCs w:val="22"/>
          <w:lang w:val="en-US"/>
        </w:rPr>
        <w:t xml:space="preserve">ne of the following MRI markers. </w:t>
      </w:r>
      <w:r w:rsidRPr="004C20BB">
        <w:rPr>
          <w:rFonts w:ascii="Helvetica" w:hAnsi="Helvetica"/>
          <w:bCs/>
          <w:sz w:val="22"/>
          <w:szCs w:val="22"/>
          <w:lang w:val="en-US"/>
        </w:rPr>
        <w:t>Descriptions of the MRI features are provided within the video</w:t>
      </w:r>
    </w:p>
    <w:p w14:paraId="53638FF0" w14:textId="77777777" w:rsidR="00BD1552" w:rsidRDefault="00BD1552" w:rsidP="00BD1552">
      <w:pPr>
        <w:spacing w:line="360" w:lineRule="auto"/>
        <w:jc w:val="both"/>
        <w:rPr>
          <w:rFonts w:ascii="Helvetica" w:hAnsi="Helvetica"/>
          <w:b/>
          <w:bCs/>
          <w:sz w:val="22"/>
          <w:szCs w:val="22"/>
          <w:lang w:val="en-US"/>
        </w:rPr>
      </w:pPr>
    </w:p>
    <w:p w14:paraId="2D95C4ED" w14:textId="77777777" w:rsidR="00BD1552" w:rsidRDefault="00BD1552" w:rsidP="002E28F2">
      <w:pPr>
        <w:spacing w:line="360" w:lineRule="auto"/>
        <w:jc w:val="both"/>
        <w:outlineLvl w:val="0"/>
        <w:rPr>
          <w:rFonts w:ascii="Helvetica" w:hAnsi="Helvetica"/>
          <w:sz w:val="22"/>
          <w:szCs w:val="22"/>
          <w:lang w:val="en-US"/>
        </w:rPr>
      </w:pPr>
      <w:r>
        <w:rPr>
          <w:rFonts w:ascii="Helvetica" w:hAnsi="Helvetica"/>
          <w:sz w:val="22"/>
          <w:szCs w:val="22"/>
          <w:lang w:val="en-US"/>
        </w:rPr>
        <w:t xml:space="preserve">The video is closed by the clinical features of clinically possible MSA. </w:t>
      </w:r>
    </w:p>
    <w:p w14:paraId="65B090A9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b/>
          <w:bCs/>
          <w:sz w:val="22"/>
          <w:szCs w:val="22"/>
          <w:lang w:val="en-US"/>
        </w:rPr>
      </w:pPr>
    </w:p>
    <w:p w14:paraId="41AA980F" w14:textId="77777777" w:rsidR="00BD1552" w:rsidRPr="007264F7" w:rsidRDefault="00BD1552" w:rsidP="00BD1552">
      <w:pPr>
        <w:spacing w:line="360" w:lineRule="auto"/>
        <w:jc w:val="both"/>
        <w:rPr>
          <w:rFonts w:ascii="Helvetica" w:hAnsi="Helvetica"/>
          <w:sz w:val="22"/>
          <w:szCs w:val="22"/>
          <w:lang w:val="en-US"/>
        </w:rPr>
      </w:pPr>
    </w:p>
    <w:p w14:paraId="48984A2B" w14:textId="77777777" w:rsidR="00BD1552" w:rsidRPr="00BB7A04" w:rsidRDefault="00BD1552" w:rsidP="002E28F2">
      <w:pPr>
        <w:spacing w:line="360" w:lineRule="auto"/>
        <w:jc w:val="both"/>
        <w:outlineLvl w:val="0"/>
        <w:rPr>
          <w:rFonts w:ascii="Helvetica" w:hAnsi="Helvetica"/>
          <w:b/>
          <w:bCs/>
          <w:sz w:val="22"/>
          <w:szCs w:val="22"/>
          <w:lang w:val="en-US"/>
        </w:rPr>
      </w:pPr>
      <w:bookmarkStart w:id="0" w:name="_GoBack"/>
      <w:r w:rsidRPr="00BB7A04">
        <w:rPr>
          <w:rFonts w:ascii="Helvetica" w:hAnsi="Helvetica"/>
          <w:b/>
          <w:bCs/>
          <w:sz w:val="22"/>
          <w:szCs w:val="22"/>
          <w:lang w:val="en-US"/>
        </w:rPr>
        <w:t>Video 2</w:t>
      </w:r>
      <w:r w:rsidRPr="00BB7A04">
        <w:rPr>
          <w:rFonts w:ascii="Helvetica" w:hAnsi="Helvetica"/>
          <w:b/>
          <w:sz w:val="22"/>
          <w:szCs w:val="22"/>
          <w:lang w:val="en-US"/>
        </w:rPr>
        <w:t xml:space="preserve"> </w:t>
      </w:r>
    </w:p>
    <w:p w14:paraId="156241D8" w14:textId="77777777" w:rsidR="00BD1552" w:rsidRPr="00C62E30" w:rsidRDefault="00BD1552" w:rsidP="00BD1552">
      <w:pPr>
        <w:spacing w:line="360" w:lineRule="auto"/>
        <w:rPr>
          <w:rFonts w:ascii="Helvetica" w:hAnsi="Helvetica"/>
          <w:sz w:val="22"/>
          <w:szCs w:val="22"/>
          <w:lang w:val="en-US"/>
        </w:rPr>
      </w:pPr>
      <w:r w:rsidRPr="00C62E30">
        <w:rPr>
          <w:rFonts w:ascii="Helvetica" w:hAnsi="Helvetica"/>
          <w:sz w:val="22"/>
          <w:szCs w:val="22"/>
          <w:lang w:val="en-US"/>
        </w:rPr>
        <w:t xml:space="preserve">This video demonstrates progression from possible prodromal MSA to clinically established MSA-P diagnosis in a patient with </w:t>
      </w:r>
      <w:proofErr w:type="spellStart"/>
      <w:r w:rsidRPr="00C62E30">
        <w:rPr>
          <w:rFonts w:ascii="Helvetica" w:hAnsi="Helvetica"/>
          <w:sz w:val="22"/>
          <w:szCs w:val="22"/>
          <w:lang w:val="en-US"/>
        </w:rPr>
        <w:t>neuropathologically</w:t>
      </w:r>
      <w:proofErr w:type="spellEnd"/>
      <w:r w:rsidRPr="00C62E30">
        <w:rPr>
          <w:rFonts w:ascii="Helvetica" w:hAnsi="Helvetica"/>
          <w:sz w:val="22"/>
          <w:szCs w:val="22"/>
          <w:lang w:val="en-US"/>
        </w:rPr>
        <w:t xml:space="preserve"> established MSA. </w:t>
      </w:r>
    </w:p>
    <w:p w14:paraId="7584B65C" w14:textId="77777777" w:rsidR="00BD1552" w:rsidRPr="00C62E30" w:rsidRDefault="00BD1552" w:rsidP="00BD1552">
      <w:pPr>
        <w:spacing w:line="360" w:lineRule="auto"/>
        <w:rPr>
          <w:rFonts w:ascii="Helvetica" w:hAnsi="Helvetica"/>
          <w:sz w:val="22"/>
          <w:szCs w:val="22"/>
          <w:lang w:val="en-US"/>
        </w:rPr>
      </w:pPr>
      <w:r w:rsidRPr="00C62E30">
        <w:rPr>
          <w:rFonts w:ascii="Helvetica" w:hAnsi="Helvetica"/>
          <w:sz w:val="22"/>
          <w:szCs w:val="22"/>
          <w:lang w:val="en-US"/>
        </w:rPr>
        <w:t xml:space="preserve">A description of the case is provided within the video as subtitle. </w:t>
      </w:r>
    </w:p>
    <w:bookmarkEnd w:id="0"/>
    <w:p w14:paraId="7F54DEC7" w14:textId="77777777" w:rsidR="00BD1552" w:rsidRDefault="00BD1552" w:rsidP="00BD1552">
      <w:pPr>
        <w:spacing w:line="360" w:lineRule="auto"/>
        <w:rPr>
          <w:rFonts w:ascii="Helvetica" w:hAnsi="Helvetica"/>
          <w:sz w:val="22"/>
          <w:szCs w:val="22"/>
          <w:lang w:val="en-US"/>
        </w:rPr>
      </w:pPr>
    </w:p>
    <w:p w14:paraId="75F38621" w14:textId="77777777" w:rsidR="00550C52" w:rsidRPr="00BD1552" w:rsidRDefault="000365EB">
      <w:pPr>
        <w:rPr>
          <w:lang w:val="en-US"/>
        </w:rPr>
      </w:pPr>
    </w:p>
    <w:sectPr w:rsidR="00550C52" w:rsidRPr="00BD1552" w:rsidSect="007B297E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trackRevisions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552"/>
    <w:rsid w:val="00013651"/>
    <w:rsid w:val="000365EB"/>
    <w:rsid w:val="0005790B"/>
    <w:rsid w:val="00062085"/>
    <w:rsid w:val="00066A96"/>
    <w:rsid w:val="00082FB9"/>
    <w:rsid w:val="0009397D"/>
    <w:rsid w:val="000A1B6A"/>
    <w:rsid w:val="000A665D"/>
    <w:rsid w:val="000A6849"/>
    <w:rsid w:val="000B68C1"/>
    <w:rsid w:val="000C68A1"/>
    <w:rsid w:val="000D17E4"/>
    <w:rsid w:val="000D2B78"/>
    <w:rsid w:val="000F0C12"/>
    <w:rsid w:val="000F340B"/>
    <w:rsid w:val="00121370"/>
    <w:rsid w:val="00127058"/>
    <w:rsid w:val="00136938"/>
    <w:rsid w:val="001419BE"/>
    <w:rsid w:val="001453BA"/>
    <w:rsid w:val="0017121A"/>
    <w:rsid w:val="0018653C"/>
    <w:rsid w:val="00202157"/>
    <w:rsid w:val="002133FD"/>
    <w:rsid w:val="00222FDF"/>
    <w:rsid w:val="00234070"/>
    <w:rsid w:val="002647A3"/>
    <w:rsid w:val="002A641A"/>
    <w:rsid w:val="002B5BC5"/>
    <w:rsid w:val="002D6AC4"/>
    <w:rsid w:val="002E28F2"/>
    <w:rsid w:val="0030587A"/>
    <w:rsid w:val="0030712A"/>
    <w:rsid w:val="00316EFA"/>
    <w:rsid w:val="00317657"/>
    <w:rsid w:val="00332E87"/>
    <w:rsid w:val="003413CF"/>
    <w:rsid w:val="00341822"/>
    <w:rsid w:val="003617DE"/>
    <w:rsid w:val="0036388E"/>
    <w:rsid w:val="00366710"/>
    <w:rsid w:val="003669AA"/>
    <w:rsid w:val="00384615"/>
    <w:rsid w:val="003B7B1C"/>
    <w:rsid w:val="003C4ABA"/>
    <w:rsid w:val="003D51DF"/>
    <w:rsid w:val="003E77DE"/>
    <w:rsid w:val="00401E8C"/>
    <w:rsid w:val="00407792"/>
    <w:rsid w:val="00443CEC"/>
    <w:rsid w:val="00444826"/>
    <w:rsid w:val="004553B2"/>
    <w:rsid w:val="00465772"/>
    <w:rsid w:val="004D3B05"/>
    <w:rsid w:val="004E6CDB"/>
    <w:rsid w:val="004F21EE"/>
    <w:rsid w:val="00506FAA"/>
    <w:rsid w:val="00510F59"/>
    <w:rsid w:val="00537113"/>
    <w:rsid w:val="00544494"/>
    <w:rsid w:val="00550E11"/>
    <w:rsid w:val="005644D4"/>
    <w:rsid w:val="00583E28"/>
    <w:rsid w:val="005C0100"/>
    <w:rsid w:val="00626248"/>
    <w:rsid w:val="006359D6"/>
    <w:rsid w:val="00645FE2"/>
    <w:rsid w:val="006875B1"/>
    <w:rsid w:val="006D7278"/>
    <w:rsid w:val="006E329C"/>
    <w:rsid w:val="006F209B"/>
    <w:rsid w:val="00712BDF"/>
    <w:rsid w:val="007164B7"/>
    <w:rsid w:val="0073001F"/>
    <w:rsid w:val="007402D4"/>
    <w:rsid w:val="00763876"/>
    <w:rsid w:val="007834EA"/>
    <w:rsid w:val="00792C53"/>
    <w:rsid w:val="007A3359"/>
    <w:rsid w:val="007B297E"/>
    <w:rsid w:val="007C3570"/>
    <w:rsid w:val="007C3932"/>
    <w:rsid w:val="007D0CC1"/>
    <w:rsid w:val="007F4302"/>
    <w:rsid w:val="00800EC8"/>
    <w:rsid w:val="008176AA"/>
    <w:rsid w:val="00826464"/>
    <w:rsid w:val="00837423"/>
    <w:rsid w:val="00864D6E"/>
    <w:rsid w:val="0087360C"/>
    <w:rsid w:val="008A35E5"/>
    <w:rsid w:val="008A67B9"/>
    <w:rsid w:val="008C257C"/>
    <w:rsid w:val="008C78C3"/>
    <w:rsid w:val="00921988"/>
    <w:rsid w:val="00937962"/>
    <w:rsid w:val="0095467A"/>
    <w:rsid w:val="00962A0F"/>
    <w:rsid w:val="00973B9C"/>
    <w:rsid w:val="009C0D04"/>
    <w:rsid w:val="009D37E6"/>
    <w:rsid w:val="009E113C"/>
    <w:rsid w:val="009F759F"/>
    <w:rsid w:val="00A0056C"/>
    <w:rsid w:val="00A029FD"/>
    <w:rsid w:val="00A102F1"/>
    <w:rsid w:val="00A17FB3"/>
    <w:rsid w:val="00A22C93"/>
    <w:rsid w:val="00A276B8"/>
    <w:rsid w:val="00A4729E"/>
    <w:rsid w:val="00A575A4"/>
    <w:rsid w:val="00A676F8"/>
    <w:rsid w:val="00A93B04"/>
    <w:rsid w:val="00AD414F"/>
    <w:rsid w:val="00AE1D33"/>
    <w:rsid w:val="00AF14AC"/>
    <w:rsid w:val="00B07A34"/>
    <w:rsid w:val="00B26282"/>
    <w:rsid w:val="00B26746"/>
    <w:rsid w:val="00B51CB9"/>
    <w:rsid w:val="00B811E5"/>
    <w:rsid w:val="00BD1552"/>
    <w:rsid w:val="00BD2CCE"/>
    <w:rsid w:val="00BE7C41"/>
    <w:rsid w:val="00BF47AD"/>
    <w:rsid w:val="00C204BA"/>
    <w:rsid w:val="00C26015"/>
    <w:rsid w:val="00CA4E50"/>
    <w:rsid w:val="00CB0D92"/>
    <w:rsid w:val="00CB653A"/>
    <w:rsid w:val="00CC37BC"/>
    <w:rsid w:val="00CF22E2"/>
    <w:rsid w:val="00CF24FA"/>
    <w:rsid w:val="00D10065"/>
    <w:rsid w:val="00D46554"/>
    <w:rsid w:val="00D467EC"/>
    <w:rsid w:val="00D5561A"/>
    <w:rsid w:val="00D90D70"/>
    <w:rsid w:val="00DE29EF"/>
    <w:rsid w:val="00DE63CA"/>
    <w:rsid w:val="00DF195D"/>
    <w:rsid w:val="00DF627E"/>
    <w:rsid w:val="00E006BF"/>
    <w:rsid w:val="00E75C0D"/>
    <w:rsid w:val="00E92F57"/>
    <w:rsid w:val="00EA47FF"/>
    <w:rsid w:val="00EC1C3A"/>
    <w:rsid w:val="00EE4956"/>
    <w:rsid w:val="00EF5EBF"/>
    <w:rsid w:val="00F53352"/>
    <w:rsid w:val="00F63740"/>
    <w:rsid w:val="00F855C5"/>
    <w:rsid w:val="00FA458B"/>
    <w:rsid w:val="00FA6466"/>
    <w:rsid w:val="00FF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CED194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D1552"/>
    <w:rPr>
      <w:rFonts w:ascii="Times New Roman" w:hAnsi="Times New Roman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2E28F2"/>
    <w:rPr>
      <w:rFonts w:ascii="Times New Roman" w:hAnsi="Times New Roman" w:cs="Times New Roman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28F2"/>
    <w:rPr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28F2"/>
    <w:rPr>
      <w:rFonts w:ascii="Times New Roman" w:hAnsi="Times New Roman" w:cs="Times New Roman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776</Words>
  <Characters>4889</Characters>
  <Application>Microsoft Macintosh Word</Application>
  <DocSecurity>0</DocSecurity>
  <Lines>40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Headings</vt:lpstr>
      </vt:variant>
      <vt:variant>
        <vt:i4>19</vt:i4>
      </vt:variant>
    </vt:vector>
  </HeadingPairs>
  <TitlesOfParts>
    <vt:vector size="20" baseType="lpstr">
      <vt:lpstr/>
      <vt:lpstr>Copy of the script </vt:lpstr>
      <vt:lpstr>Video 1</vt:lpstr>
      <vt:lpstr>The video is initiated by an overview of core clinical feature of MSA.</vt:lpstr>
      <vt:lpstr>Part 1 (00:24): Voiding difficulties with urine post-void residual volume &gt;100 m</vt:lpstr>
      <vt:lpstr>Part 2 (00:51): Neurogenic orthostatic hypotension</vt:lpstr>
      <vt:lpstr>Part 3 (02:03): Poor l-dopa responsive parkinsonism</vt:lpstr>
      <vt:lpstr>Part 4 (03:13): Cerebellar syndrome </vt:lpstr>
      <vt:lpstr>In the next part, supportive motor and non-motor features are demonstrated.</vt:lpstr>
      <vt:lpstr>Part 5 (05:28): Rapid progression within 3 years of motor onset </vt:lpstr>
      <vt:lpstr>Part 7 (07:11): Jerky myoclonic postural or kinetic tremor </vt:lpstr>
      <vt:lpstr>Part 8 (08:31): Postural deformities</vt:lpstr>
      <vt:lpstr>Part 9 (08:11): Stridor </vt:lpstr>
      <vt:lpstr>Part 10 (10:20): Inspiratory sighs</vt:lpstr>
      <vt:lpstr>This segment shows inspiratory sighs in a patient with clinically established MS</vt:lpstr>
      <vt:lpstr>Part 11 (10:33): Cold discolored hands and feet </vt:lpstr>
      <vt:lpstr>Part 12 (10:51): Pathologic laughter or crying</vt:lpstr>
      <vt:lpstr>Part 13 (11:34): MRI features</vt:lpstr>
      <vt:lpstr>The video is closed by the clinical features of clinically possible MSA. </vt:lpstr>
      <vt:lpstr>Video 2 </vt:lpstr>
    </vt:vector>
  </TitlesOfParts>
  <LinksUpToDate>false</LinksUpToDate>
  <CharactersWithSpaces>5654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Sidoroff</dc:creator>
  <cp:keywords/>
  <dc:description/>
  <cp:lastModifiedBy>Victoria Sidoroff</cp:lastModifiedBy>
  <cp:revision>2</cp:revision>
  <dcterms:created xsi:type="dcterms:W3CDTF">2025-05-20T14:32:00Z</dcterms:created>
  <dcterms:modified xsi:type="dcterms:W3CDTF">2025-05-20T14:32:00Z</dcterms:modified>
</cp:coreProperties>
</file>