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02AB9" w14:textId="77777777" w:rsidR="00BA799D" w:rsidRPr="00BA799D" w:rsidRDefault="00BA799D" w:rsidP="00BA799D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799D">
        <w:rPr>
          <w:rFonts w:ascii="Times New Roman" w:hAnsi="Times New Roman" w:cs="Times New Roman"/>
          <w:color w:val="000000" w:themeColor="text1"/>
          <w:sz w:val="24"/>
          <w:szCs w:val="24"/>
        </w:rPr>
        <w:t>Table A1</w:t>
      </w:r>
      <w:bookmarkStart w:id="0" w:name="_GoBack"/>
      <w:bookmarkEnd w:id="0"/>
      <w:r w:rsidRPr="00BA79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Proximal composition and fatty acid profile of the Gold-Beel diet fed to European eel, </w:t>
      </w:r>
      <w:r w:rsidRPr="00BA79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Anguilla anguilla</w:t>
      </w:r>
      <w:r w:rsidRPr="00BA799D">
        <w:rPr>
          <w:rFonts w:ascii="Times New Roman" w:hAnsi="Times New Roman" w:cs="Times New Roman"/>
          <w:color w:val="000000" w:themeColor="text1"/>
          <w:sz w:val="24"/>
          <w:szCs w:val="24"/>
        </w:rPr>
        <w:t>, broodstock.</w:t>
      </w:r>
    </w:p>
    <w:tbl>
      <w:tblPr>
        <w:tblStyle w:val="TableGrid"/>
        <w:tblW w:w="3455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2114"/>
        <w:gridCol w:w="11"/>
      </w:tblGrid>
      <w:tr w:rsidR="00BA799D" w:rsidRPr="00BA799D" w14:paraId="4588E46B" w14:textId="77777777" w:rsidTr="009B0605">
        <w:trPr>
          <w:jc w:val="center"/>
        </w:trPr>
        <w:tc>
          <w:tcPr>
            <w:tcW w:w="3296" w:type="pct"/>
            <w:tcBorders>
              <w:top w:val="single" w:sz="8" w:space="0" w:color="auto"/>
              <w:bottom w:val="single" w:sz="8" w:space="0" w:color="auto"/>
            </w:tcBorders>
          </w:tcPr>
          <w:p w14:paraId="24E40155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Proximate analysis</w:t>
            </w:r>
          </w:p>
        </w:tc>
        <w:tc>
          <w:tcPr>
            <w:tcW w:w="1704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13D2C0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BA799D" w:rsidRPr="00BA799D" w14:paraId="603B258F" w14:textId="77777777" w:rsidTr="009B0605">
        <w:trPr>
          <w:jc w:val="center"/>
        </w:trPr>
        <w:tc>
          <w:tcPr>
            <w:tcW w:w="3296" w:type="pct"/>
            <w:tcBorders>
              <w:top w:val="single" w:sz="8" w:space="0" w:color="auto"/>
            </w:tcBorders>
          </w:tcPr>
          <w:p w14:paraId="2FAFC074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Dry matter (DM;%)</w:t>
            </w:r>
          </w:p>
        </w:tc>
        <w:tc>
          <w:tcPr>
            <w:tcW w:w="1704" w:type="pct"/>
            <w:gridSpan w:val="2"/>
            <w:tcBorders>
              <w:top w:val="single" w:sz="8" w:space="0" w:color="auto"/>
            </w:tcBorders>
            <w:vAlign w:val="center"/>
          </w:tcPr>
          <w:p w14:paraId="0476E4FB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95.22 </w:t>
            </w:r>
            <w:r w:rsidRPr="00BA799D">
              <w:rPr>
                <w:rFonts w:ascii="Times New Roman" w:hAnsi="Times New Roman" w:cs="Times New Roman"/>
                <w:color w:val="000000" w:themeColor="text1"/>
                <w:sz w:val="24"/>
              </w:rPr>
              <w:t>±</w:t>
            </w: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 0.04</w:t>
            </w:r>
          </w:p>
        </w:tc>
      </w:tr>
      <w:tr w:rsidR="00BA799D" w:rsidRPr="00BA799D" w14:paraId="36D7BD56" w14:textId="77777777" w:rsidTr="009B0605">
        <w:trPr>
          <w:jc w:val="center"/>
        </w:trPr>
        <w:tc>
          <w:tcPr>
            <w:tcW w:w="3296" w:type="pct"/>
          </w:tcPr>
          <w:p w14:paraId="581CB783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Ash (%DM)</w:t>
            </w:r>
          </w:p>
        </w:tc>
        <w:tc>
          <w:tcPr>
            <w:tcW w:w="1704" w:type="pct"/>
            <w:gridSpan w:val="2"/>
            <w:vAlign w:val="center"/>
          </w:tcPr>
          <w:p w14:paraId="60B91140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8.86 </w:t>
            </w:r>
            <w:r w:rsidRPr="00BA799D">
              <w:rPr>
                <w:rFonts w:ascii="Times New Roman" w:hAnsi="Times New Roman" w:cs="Times New Roman"/>
                <w:color w:val="000000" w:themeColor="text1"/>
                <w:sz w:val="24"/>
              </w:rPr>
              <w:t>± 0.01</w:t>
            </w:r>
          </w:p>
        </w:tc>
      </w:tr>
      <w:tr w:rsidR="00BA799D" w:rsidRPr="00BA799D" w14:paraId="1C28EE9B" w14:textId="77777777" w:rsidTr="009B0605">
        <w:trPr>
          <w:jc w:val="center"/>
        </w:trPr>
        <w:tc>
          <w:tcPr>
            <w:tcW w:w="3296" w:type="pct"/>
          </w:tcPr>
          <w:p w14:paraId="0D87541A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Protein (%DM)</w:t>
            </w:r>
          </w:p>
        </w:tc>
        <w:tc>
          <w:tcPr>
            <w:tcW w:w="1704" w:type="pct"/>
            <w:gridSpan w:val="2"/>
            <w:vAlign w:val="center"/>
          </w:tcPr>
          <w:p w14:paraId="1BB22457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57.49 </w:t>
            </w:r>
            <w:r w:rsidRPr="00BA799D">
              <w:rPr>
                <w:rFonts w:ascii="Times New Roman" w:hAnsi="Times New Roman" w:cs="Times New Roman"/>
                <w:color w:val="000000" w:themeColor="text1"/>
                <w:sz w:val="24"/>
              </w:rPr>
              <w:t>±</w:t>
            </w: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 0.03</w:t>
            </w:r>
          </w:p>
        </w:tc>
      </w:tr>
      <w:tr w:rsidR="00BA799D" w:rsidRPr="00BA799D" w14:paraId="2A1428E7" w14:textId="77777777" w:rsidTr="009B0605">
        <w:trPr>
          <w:jc w:val="center"/>
        </w:trPr>
        <w:tc>
          <w:tcPr>
            <w:tcW w:w="3296" w:type="pct"/>
          </w:tcPr>
          <w:p w14:paraId="69567158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Lipid (%DM)</w:t>
            </w:r>
          </w:p>
        </w:tc>
        <w:tc>
          <w:tcPr>
            <w:tcW w:w="1704" w:type="pct"/>
            <w:gridSpan w:val="2"/>
            <w:vAlign w:val="center"/>
          </w:tcPr>
          <w:p w14:paraId="34473049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25.35 </w:t>
            </w:r>
            <w:r w:rsidRPr="00BA799D">
              <w:rPr>
                <w:rFonts w:ascii="Times New Roman" w:hAnsi="Times New Roman" w:cs="Times New Roman"/>
                <w:color w:val="000000" w:themeColor="text1"/>
                <w:sz w:val="24"/>
              </w:rPr>
              <w:t>± 0.09</w:t>
            </w:r>
          </w:p>
        </w:tc>
      </w:tr>
      <w:tr w:rsidR="00BA799D" w:rsidRPr="00BA799D" w14:paraId="5F894027" w14:textId="77777777" w:rsidTr="009B0605">
        <w:trPr>
          <w:jc w:val="center"/>
        </w:trPr>
        <w:tc>
          <w:tcPr>
            <w:tcW w:w="3296" w:type="pct"/>
          </w:tcPr>
          <w:p w14:paraId="6271EB3A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Phosphorus (%)</w:t>
            </w:r>
          </w:p>
        </w:tc>
        <w:tc>
          <w:tcPr>
            <w:tcW w:w="1704" w:type="pct"/>
            <w:gridSpan w:val="2"/>
            <w:vAlign w:val="center"/>
          </w:tcPr>
          <w:p w14:paraId="4759EA95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1.12 </w:t>
            </w:r>
            <w:r w:rsidRPr="00BA799D">
              <w:rPr>
                <w:rFonts w:ascii="Times New Roman" w:hAnsi="Times New Roman" w:cs="Times New Roman"/>
                <w:color w:val="000000" w:themeColor="text1"/>
                <w:sz w:val="24"/>
              </w:rPr>
              <w:t>± 0.04</w:t>
            </w:r>
          </w:p>
        </w:tc>
      </w:tr>
      <w:tr w:rsidR="00BA799D" w:rsidRPr="00BA799D" w14:paraId="5320973E" w14:textId="77777777" w:rsidTr="009B0605">
        <w:trPr>
          <w:jc w:val="center"/>
        </w:trPr>
        <w:tc>
          <w:tcPr>
            <w:tcW w:w="3296" w:type="pct"/>
          </w:tcPr>
          <w:p w14:paraId="2F6EF2D5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Energy ((KJ/g) / %DM)</w:t>
            </w:r>
          </w:p>
        </w:tc>
        <w:tc>
          <w:tcPr>
            <w:tcW w:w="1704" w:type="pct"/>
            <w:gridSpan w:val="2"/>
            <w:vAlign w:val="center"/>
          </w:tcPr>
          <w:p w14:paraId="4E66A6F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 xml:space="preserve">24.68 </w:t>
            </w:r>
            <w:r w:rsidRPr="00BA799D">
              <w:rPr>
                <w:rFonts w:ascii="Times New Roman" w:hAnsi="Times New Roman" w:cs="Times New Roman"/>
                <w:color w:val="000000" w:themeColor="text1"/>
                <w:sz w:val="24"/>
              </w:rPr>
              <w:t>± 0.04</w:t>
            </w:r>
          </w:p>
        </w:tc>
      </w:tr>
      <w:tr w:rsidR="00BA799D" w:rsidRPr="00BA799D" w14:paraId="5C8C58D3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  <w:tcBorders>
              <w:top w:val="single" w:sz="8" w:space="0" w:color="auto"/>
              <w:bottom w:val="single" w:sz="8" w:space="0" w:color="auto"/>
            </w:tcBorders>
          </w:tcPr>
          <w:p w14:paraId="2456F7DF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Fatty acid (FA; % Total FA)</w:t>
            </w:r>
          </w:p>
        </w:tc>
        <w:tc>
          <w:tcPr>
            <w:tcW w:w="169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6FF164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799D" w:rsidRPr="00BA799D" w14:paraId="4BB28775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  <w:tcBorders>
              <w:top w:val="single" w:sz="8" w:space="0" w:color="auto"/>
            </w:tcBorders>
          </w:tcPr>
          <w:p w14:paraId="0F388C25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C12:0</w:t>
            </w:r>
          </w:p>
        </w:tc>
        <w:tc>
          <w:tcPr>
            <w:tcW w:w="1695" w:type="pct"/>
            <w:tcBorders>
              <w:top w:val="single" w:sz="8" w:space="0" w:color="auto"/>
            </w:tcBorders>
            <w:vAlign w:val="center"/>
          </w:tcPr>
          <w:p w14:paraId="076513B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0.11 ± 0.35</w:t>
            </w:r>
          </w:p>
        </w:tc>
      </w:tr>
      <w:tr w:rsidR="00BA799D" w:rsidRPr="00BA799D" w14:paraId="36431221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B0378E2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C14:0</w:t>
            </w:r>
          </w:p>
        </w:tc>
        <w:tc>
          <w:tcPr>
            <w:tcW w:w="1695" w:type="pct"/>
            <w:vAlign w:val="center"/>
          </w:tcPr>
          <w:p w14:paraId="6F4146B9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2.87 ± 0.79</w:t>
            </w:r>
          </w:p>
        </w:tc>
      </w:tr>
      <w:tr w:rsidR="00BA799D" w:rsidRPr="00BA799D" w14:paraId="096F78F6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461B5D9F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C15:0</w:t>
            </w:r>
          </w:p>
        </w:tc>
        <w:tc>
          <w:tcPr>
            <w:tcW w:w="1695" w:type="pct"/>
            <w:vAlign w:val="center"/>
          </w:tcPr>
          <w:p w14:paraId="22E36A3D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0.31 ± 0.43</w:t>
            </w:r>
          </w:p>
        </w:tc>
      </w:tr>
      <w:tr w:rsidR="00BA799D" w:rsidRPr="00BA799D" w14:paraId="6B55488A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4801DD5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C16:0</w:t>
            </w:r>
          </w:p>
        </w:tc>
        <w:tc>
          <w:tcPr>
            <w:tcW w:w="1695" w:type="pct"/>
            <w:vAlign w:val="center"/>
          </w:tcPr>
          <w:p w14:paraId="12052B28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15.36 ± 1.49</w:t>
            </w:r>
          </w:p>
        </w:tc>
      </w:tr>
      <w:tr w:rsidR="00BA799D" w:rsidRPr="00BA799D" w14:paraId="7E1AD998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41CCBA03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C16:1</w:t>
            </w:r>
          </w:p>
        </w:tc>
        <w:tc>
          <w:tcPr>
            <w:tcW w:w="1695" w:type="pct"/>
            <w:vAlign w:val="center"/>
          </w:tcPr>
          <w:p w14:paraId="6608E3DF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2.57 ± 0.76</w:t>
            </w:r>
          </w:p>
        </w:tc>
      </w:tr>
      <w:tr w:rsidR="00BA799D" w:rsidRPr="00BA799D" w14:paraId="597E773A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671A9886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C17:0</w:t>
            </w:r>
          </w:p>
        </w:tc>
        <w:tc>
          <w:tcPr>
            <w:tcW w:w="1695" w:type="pct"/>
            <w:vAlign w:val="center"/>
          </w:tcPr>
          <w:p w14:paraId="025A33B6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0.32 ± 0.43</w:t>
            </w:r>
          </w:p>
        </w:tc>
      </w:tr>
      <w:tr w:rsidR="00BA799D" w:rsidRPr="00BA799D" w14:paraId="6E93CD84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63B0C90F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C18:0</w:t>
            </w:r>
          </w:p>
        </w:tc>
        <w:tc>
          <w:tcPr>
            <w:tcW w:w="1695" w:type="pct"/>
            <w:vAlign w:val="center"/>
          </w:tcPr>
          <w:p w14:paraId="101E1EE4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4.39 ± 0.91</w:t>
            </w:r>
          </w:p>
        </w:tc>
      </w:tr>
      <w:tr w:rsidR="00BA799D" w:rsidRPr="00BA799D" w14:paraId="7A6469EE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3740461A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C18:1n9</w:t>
            </w:r>
          </w:p>
        </w:tc>
        <w:tc>
          <w:tcPr>
            <w:tcW w:w="1695" w:type="pct"/>
            <w:vAlign w:val="center"/>
          </w:tcPr>
          <w:p w14:paraId="37CE24BE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13.30 ± 1.40</w:t>
            </w:r>
          </w:p>
        </w:tc>
      </w:tr>
      <w:tr w:rsidR="00BA799D" w:rsidRPr="00BA799D" w14:paraId="55E29E2D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7940D8A7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C18:1n7</w:t>
            </w:r>
          </w:p>
        </w:tc>
        <w:tc>
          <w:tcPr>
            <w:tcW w:w="1695" w:type="pct"/>
            <w:vAlign w:val="center"/>
          </w:tcPr>
          <w:p w14:paraId="47C46EFC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1.74 ± 0.67</w:t>
            </w:r>
          </w:p>
        </w:tc>
      </w:tr>
      <w:tr w:rsidR="00BA799D" w:rsidRPr="00BA799D" w14:paraId="004591D0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71DAFC03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C18:2n6</w:t>
            </w:r>
          </w:p>
        </w:tc>
        <w:tc>
          <w:tcPr>
            <w:tcW w:w="1695" w:type="pct"/>
            <w:vAlign w:val="center"/>
          </w:tcPr>
          <w:p w14:paraId="7902ECDB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13.81 ± 1.43</w:t>
            </w:r>
          </w:p>
        </w:tc>
      </w:tr>
      <w:tr w:rsidR="00BA799D" w:rsidRPr="00BA799D" w14:paraId="4A61BBA0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07F77C9B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C18:3n6</w:t>
            </w:r>
          </w:p>
        </w:tc>
        <w:tc>
          <w:tcPr>
            <w:tcW w:w="1695" w:type="pct"/>
            <w:vAlign w:val="center"/>
          </w:tcPr>
          <w:p w14:paraId="3C7407F3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0.48 ± 0.47</w:t>
            </w:r>
          </w:p>
        </w:tc>
      </w:tr>
      <w:tr w:rsidR="00BA799D" w:rsidRPr="00BA799D" w14:paraId="7E5A50BB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2267C92F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C18:3n3</w:t>
            </w:r>
          </w:p>
        </w:tc>
        <w:tc>
          <w:tcPr>
            <w:tcW w:w="1695" w:type="pct"/>
            <w:vAlign w:val="center"/>
          </w:tcPr>
          <w:p w14:paraId="029DE4AC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13.91 ± 1.43</w:t>
            </w:r>
          </w:p>
        </w:tc>
      </w:tr>
      <w:tr w:rsidR="00BA799D" w:rsidRPr="00BA799D" w14:paraId="22150135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69D80341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C18:4n3</w:t>
            </w:r>
          </w:p>
        </w:tc>
        <w:tc>
          <w:tcPr>
            <w:tcW w:w="1695" w:type="pct"/>
            <w:vAlign w:val="center"/>
          </w:tcPr>
          <w:p w14:paraId="1F01C5FB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0.85 ± 0.54</w:t>
            </w:r>
          </w:p>
        </w:tc>
      </w:tr>
      <w:tr w:rsidR="00BA799D" w:rsidRPr="00BA799D" w14:paraId="27AC9144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ADC0B9F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C20:0</w:t>
            </w:r>
          </w:p>
        </w:tc>
        <w:tc>
          <w:tcPr>
            <w:tcW w:w="1695" w:type="pct"/>
            <w:vAlign w:val="center"/>
          </w:tcPr>
          <w:p w14:paraId="06B6A38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0.35 ± 0.44</w:t>
            </w:r>
          </w:p>
        </w:tc>
      </w:tr>
      <w:tr w:rsidR="00BA799D" w:rsidRPr="00BA799D" w14:paraId="492362C7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224DB705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C20:1</w:t>
            </w:r>
          </w:p>
        </w:tc>
        <w:tc>
          <w:tcPr>
            <w:tcW w:w="1695" w:type="pct"/>
            <w:vAlign w:val="center"/>
          </w:tcPr>
          <w:p w14:paraId="1A730213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1.11 ± 0.58</w:t>
            </w:r>
          </w:p>
        </w:tc>
      </w:tr>
      <w:tr w:rsidR="00BA799D" w:rsidRPr="00BA799D" w14:paraId="42C72058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6D9137E5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C20:2</w:t>
            </w:r>
          </w:p>
        </w:tc>
        <w:tc>
          <w:tcPr>
            <w:tcW w:w="1695" w:type="pct"/>
            <w:vAlign w:val="center"/>
          </w:tcPr>
          <w:p w14:paraId="771A3098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0.17 ± 0.38</w:t>
            </w:r>
          </w:p>
        </w:tc>
      </w:tr>
      <w:tr w:rsidR="00BA799D" w:rsidRPr="00BA799D" w14:paraId="7BD79C4B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6C30A3D0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C22:0</w:t>
            </w:r>
          </w:p>
        </w:tc>
        <w:tc>
          <w:tcPr>
            <w:tcW w:w="1695" w:type="pct"/>
            <w:vAlign w:val="center"/>
          </w:tcPr>
          <w:p w14:paraId="21094638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0.46 ± 0.46</w:t>
            </w:r>
          </w:p>
        </w:tc>
      </w:tr>
      <w:tr w:rsidR="00BA799D" w:rsidRPr="00BA799D" w14:paraId="2378A546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993F42A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C24:0</w:t>
            </w:r>
          </w:p>
        </w:tc>
        <w:tc>
          <w:tcPr>
            <w:tcW w:w="1695" w:type="pct"/>
            <w:vAlign w:val="center"/>
          </w:tcPr>
          <w:p w14:paraId="5C0AC01B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0.37 ± 0.44</w:t>
            </w:r>
          </w:p>
        </w:tc>
      </w:tr>
      <w:tr w:rsidR="00BA799D" w:rsidRPr="00BA799D" w14:paraId="084696D5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6669439F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C20:3n3</w:t>
            </w:r>
          </w:p>
        </w:tc>
        <w:tc>
          <w:tcPr>
            <w:tcW w:w="1695" w:type="pct"/>
            <w:vAlign w:val="center"/>
          </w:tcPr>
          <w:p w14:paraId="6F5418C1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0.15 ± 0.37</w:t>
            </w:r>
          </w:p>
        </w:tc>
      </w:tr>
      <w:tr w:rsidR="00BA799D" w:rsidRPr="00BA799D" w14:paraId="074EBE94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7152074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C20:3n6</w:t>
            </w:r>
          </w:p>
        </w:tc>
        <w:tc>
          <w:tcPr>
            <w:tcW w:w="1695" w:type="pct"/>
            <w:vAlign w:val="center"/>
          </w:tcPr>
          <w:p w14:paraId="208AC906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0.58 ± 0.49</w:t>
            </w:r>
          </w:p>
        </w:tc>
      </w:tr>
      <w:tr w:rsidR="00BA799D" w:rsidRPr="00BA799D" w14:paraId="081F0B57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72F1ED9C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C20:4n6 (ARA)</w:t>
            </w:r>
          </w:p>
        </w:tc>
        <w:tc>
          <w:tcPr>
            <w:tcW w:w="1695" w:type="pct"/>
            <w:vAlign w:val="center"/>
          </w:tcPr>
          <w:p w14:paraId="46355C34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7.79 ± 1.13</w:t>
            </w:r>
          </w:p>
        </w:tc>
      </w:tr>
      <w:tr w:rsidR="00BA799D" w:rsidRPr="00BA799D" w14:paraId="648518A7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2A02B0EB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C20:5n3 (EPA)</w:t>
            </w:r>
          </w:p>
        </w:tc>
        <w:tc>
          <w:tcPr>
            <w:tcW w:w="1695" w:type="pct"/>
            <w:vAlign w:val="center"/>
          </w:tcPr>
          <w:p w14:paraId="4449F692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7.43 ± 1.11</w:t>
            </w:r>
          </w:p>
        </w:tc>
      </w:tr>
      <w:tr w:rsidR="00BA799D" w:rsidRPr="00BA799D" w14:paraId="4BC48F63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610FA1CC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C22:1n9</w:t>
            </w:r>
          </w:p>
        </w:tc>
        <w:tc>
          <w:tcPr>
            <w:tcW w:w="1695" w:type="pct"/>
            <w:vAlign w:val="center"/>
          </w:tcPr>
          <w:p w14:paraId="2FBEF4DD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0.14 ± 0.37</w:t>
            </w:r>
          </w:p>
        </w:tc>
      </w:tr>
      <w:tr w:rsidR="00BA799D" w:rsidRPr="00BA799D" w14:paraId="68B005C1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4EBD9F48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C22:1n11</w:t>
            </w:r>
          </w:p>
        </w:tc>
        <w:tc>
          <w:tcPr>
            <w:tcW w:w="1695" w:type="pct"/>
            <w:vAlign w:val="center"/>
          </w:tcPr>
          <w:p w14:paraId="5B947096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1.23 ± 0.60</w:t>
            </w:r>
          </w:p>
        </w:tc>
      </w:tr>
      <w:tr w:rsidR="00BA799D" w:rsidRPr="00BA799D" w14:paraId="31B8AD1D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43D9A018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C22:5n3</w:t>
            </w:r>
          </w:p>
        </w:tc>
        <w:tc>
          <w:tcPr>
            <w:tcW w:w="1695" w:type="pct"/>
            <w:vAlign w:val="center"/>
          </w:tcPr>
          <w:p w14:paraId="0EDF908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0.63 ± 0.50</w:t>
            </w:r>
          </w:p>
        </w:tc>
      </w:tr>
      <w:tr w:rsidR="00BA799D" w:rsidRPr="00BA799D" w14:paraId="073BC77C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4D6071B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C22:5n6</w:t>
            </w:r>
          </w:p>
        </w:tc>
        <w:tc>
          <w:tcPr>
            <w:tcW w:w="1695" w:type="pct"/>
            <w:vAlign w:val="center"/>
          </w:tcPr>
          <w:p w14:paraId="71DB5AE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0.38 ± 0.44</w:t>
            </w:r>
          </w:p>
        </w:tc>
      </w:tr>
      <w:tr w:rsidR="00BA799D" w:rsidRPr="00BA799D" w14:paraId="545A1736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B6098EC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C22:6n3 (DHA)</w:t>
            </w:r>
          </w:p>
        </w:tc>
        <w:tc>
          <w:tcPr>
            <w:tcW w:w="1695" w:type="pct"/>
            <w:vAlign w:val="center"/>
          </w:tcPr>
          <w:p w14:paraId="63D7440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8.71 ± 1.18</w:t>
            </w:r>
          </w:p>
        </w:tc>
      </w:tr>
      <w:tr w:rsidR="00BA799D" w:rsidRPr="00BA799D" w14:paraId="49F1C153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1F395BD2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C24:1</w:t>
            </w:r>
          </w:p>
        </w:tc>
        <w:tc>
          <w:tcPr>
            <w:tcW w:w="1695" w:type="pct"/>
            <w:vAlign w:val="center"/>
          </w:tcPr>
          <w:p w14:paraId="76843BA9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0.13 ± 0.36</w:t>
            </w:r>
          </w:p>
        </w:tc>
      </w:tr>
      <w:tr w:rsidR="00BA799D" w:rsidRPr="00BA799D" w14:paraId="5C8410EC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5A925B9A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Σ saturated fatty acids (SFA)</w:t>
            </w:r>
          </w:p>
        </w:tc>
        <w:tc>
          <w:tcPr>
            <w:tcW w:w="1695" w:type="pct"/>
            <w:vAlign w:val="center"/>
          </w:tcPr>
          <w:p w14:paraId="3BD1039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24.52 ± 1.82</w:t>
            </w:r>
          </w:p>
        </w:tc>
      </w:tr>
      <w:tr w:rsidR="00BA799D" w:rsidRPr="00BA799D" w14:paraId="3C741C60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518A0FBD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Σ mono-unsaturated fatty acid (MUFA)</w:t>
            </w:r>
          </w:p>
        </w:tc>
        <w:tc>
          <w:tcPr>
            <w:tcW w:w="1695" w:type="pct"/>
            <w:vAlign w:val="center"/>
          </w:tcPr>
          <w:p w14:paraId="388AB5FA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20.23 ± 1.67</w:t>
            </w:r>
          </w:p>
        </w:tc>
      </w:tr>
      <w:tr w:rsidR="00BA799D" w:rsidRPr="00BA799D" w14:paraId="042968E7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4D715F93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Σ polyunsaturated fatty acid (PUFA)</w:t>
            </w:r>
          </w:p>
        </w:tc>
        <w:tc>
          <w:tcPr>
            <w:tcW w:w="1695" w:type="pct"/>
            <w:vAlign w:val="center"/>
          </w:tcPr>
          <w:p w14:paraId="116C55EF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54.99 ± 2.59</w:t>
            </w:r>
          </w:p>
        </w:tc>
      </w:tr>
      <w:tr w:rsidR="00BA799D" w:rsidRPr="00BA799D" w14:paraId="7AE667D5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43AA0670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Σ n-3</w:t>
            </w:r>
          </w:p>
        </w:tc>
        <w:tc>
          <w:tcPr>
            <w:tcW w:w="1695" w:type="pct"/>
            <w:vAlign w:val="center"/>
          </w:tcPr>
          <w:p w14:paraId="6CC5CA15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31.53 ± 2.03</w:t>
            </w:r>
          </w:p>
        </w:tc>
      </w:tr>
      <w:tr w:rsidR="00BA799D" w:rsidRPr="00BA799D" w14:paraId="47146420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742A5F45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Σ n-6 </w:t>
            </w:r>
          </w:p>
        </w:tc>
        <w:tc>
          <w:tcPr>
            <w:tcW w:w="1695" w:type="pct"/>
            <w:vAlign w:val="center"/>
          </w:tcPr>
          <w:p w14:paraId="1895D4E0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22.46 ± 1.75</w:t>
            </w:r>
          </w:p>
        </w:tc>
      </w:tr>
      <w:tr w:rsidR="00BA799D" w:rsidRPr="00BA799D" w14:paraId="06AD01BE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7451F5CA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n-3/n-6</w:t>
            </w:r>
          </w:p>
        </w:tc>
        <w:tc>
          <w:tcPr>
            <w:tcW w:w="1695" w:type="pct"/>
            <w:vAlign w:val="center"/>
          </w:tcPr>
          <w:p w14:paraId="074F423E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0.71</w:t>
            </w:r>
          </w:p>
        </w:tc>
      </w:tr>
      <w:tr w:rsidR="00BA799D" w:rsidRPr="00BA799D" w14:paraId="2E0ECDF6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362898DC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EPA/ARA</w:t>
            </w:r>
          </w:p>
        </w:tc>
        <w:tc>
          <w:tcPr>
            <w:tcW w:w="1695" w:type="pct"/>
            <w:vAlign w:val="center"/>
          </w:tcPr>
          <w:p w14:paraId="4E7D0AA9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0.95</w:t>
            </w:r>
          </w:p>
        </w:tc>
      </w:tr>
      <w:tr w:rsidR="00BA799D" w:rsidRPr="00BA799D" w14:paraId="34C0D453" w14:textId="77777777" w:rsidTr="009B0605">
        <w:trPr>
          <w:gridAfter w:val="1"/>
          <w:wAfter w:w="10" w:type="pct"/>
          <w:jc w:val="center"/>
        </w:trPr>
        <w:tc>
          <w:tcPr>
            <w:tcW w:w="3296" w:type="pct"/>
          </w:tcPr>
          <w:p w14:paraId="090024AC" w14:textId="77777777" w:rsidR="00BA799D" w:rsidRPr="00BA799D" w:rsidRDefault="00BA799D" w:rsidP="00BA799D">
            <w:pPr>
              <w:spacing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DHA/EPA</w:t>
            </w:r>
          </w:p>
        </w:tc>
        <w:tc>
          <w:tcPr>
            <w:tcW w:w="1695" w:type="pct"/>
            <w:vAlign w:val="center"/>
          </w:tcPr>
          <w:p w14:paraId="658B86D7" w14:textId="77777777" w:rsidR="00BA799D" w:rsidRPr="00BA799D" w:rsidRDefault="00BA799D" w:rsidP="00BA799D">
            <w:pPr>
              <w:spacing w:line="48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799D">
              <w:rPr>
                <w:rFonts w:ascii="Times New Roman" w:hAnsi="Times New Roman"/>
                <w:color w:val="000000" w:themeColor="text1"/>
                <w:sz w:val="24"/>
              </w:rPr>
              <w:t>1.17</w:t>
            </w:r>
          </w:p>
        </w:tc>
      </w:tr>
    </w:tbl>
    <w:p w14:paraId="649E5568" w14:textId="77777777" w:rsidR="00203D5C" w:rsidRDefault="00203D5C"/>
    <w:sectPr w:rsidR="00203D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99D"/>
    <w:rsid w:val="00203D5C"/>
    <w:rsid w:val="00BA799D"/>
    <w:rsid w:val="00D7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CF22"/>
  <w15:chartTrackingRefBased/>
  <w15:docId w15:val="{AFD5D685-0F6E-4DE0-B741-2B832B69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79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A799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799D"/>
    <w:rPr>
      <w:sz w:val="16"/>
      <w:szCs w:val="16"/>
    </w:rPr>
  </w:style>
  <w:style w:type="table" w:styleId="TableGrid">
    <w:name w:val="Table Grid"/>
    <w:basedOn w:val="TableNormal"/>
    <w:uiPriority w:val="39"/>
    <w:rsid w:val="00BA79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7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99D"/>
    <w:rPr>
      <w:rFonts w:ascii="Segoe UI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DTU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Eliana Sganga</dc:creator>
  <cp:keywords/>
  <dc:description/>
  <cp:lastModifiedBy>Daniela Eliana Sganga</cp:lastModifiedBy>
  <cp:revision>2</cp:revision>
  <dcterms:created xsi:type="dcterms:W3CDTF">2023-01-11T10:38:00Z</dcterms:created>
  <dcterms:modified xsi:type="dcterms:W3CDTF">2023-05-23T16:13:00Z</dcterms:modified>
</cp:coreProperties>
</file>