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5309" w:type="dxa"/>
        <w:tblInd w:w="-5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34"/>
        <w:gridCol w:w="1843"/>
        <w:gridCol w:w="481"/>
        <w:gridCol w:w="511"/>
        <w:gridCol w:w="993"/>
        <w:gridCol w:w="1417"/>
        <w:gridCol w:w="709"/>
        <w:gridCol w:w="1134"/>
        <w:gridCol w:w="992"/>
        <w:gridCol w:w="1985"/>
        <w:gridCol w:w="2976"/>
        <w:gridCol w:w="1134"/>
      </w:tblGrid>
      <w:tr w:rsidR="00A96D55" w:rsidRPr="00A96D55" w:rsidTr="00A96D55">
        <w:tc>
          <w:tcPr>
            <w:tcW w:w="1134" w:type="dxa"/>
            <w:vAlign w:val="center"/>
          </w:tcPr>
          <w:p w:rsidR="00A96D55" w:rsidRPr="00A96D55" w:rsidRDefault="00A96D55" w:rsidP="00827C44">
            <w:pPr>
              <w:jc w:val="center"/>
              <w:rPr>
                <w:rFonts w:eastAsia="Calibri"/>
                <w:b/>
                <w:color w:val="000000" w:themeColor="text1"/>
                <w:sz w:val="18"/>
                <w:szCs w:val="15"/>
              </w:rPr>
            </w:pPr>
            <w:r w:rsidRPr="00A96D55">
              <w:rPr>
                <w:rFonts w:eastAsia="Calibri"/>
                <w:b/>
                <w:color w:val="000000" w:themeColor="text1"/>
                <w:sz w:val="18"/>
                <w:szCs w:val="15"/>
              </w:rPr>
              <w:t>Ref</w:t>
            </w:r>
          </w:p>
        </w:tc>
        <w:tc>
          <w:tcPr>
            <w:tcW w:w="1843" w:type="dxa"/>
            <w:vAlign w:val="center"/>
          </w:tcPr>
          <w:p w:rsidR="00A96D55" w:rsidRPr="00A96D55" w:rsidRDefault="00A96D55" w:rsidP="00827C44">
            <w:pPr>
              <w:jc w:val="center"/>
              <w:rPr>
                <w:rFonts w:eastAsia="Calibri"/>
                <w:b/>
                <w:color w:val="000000" w:themeColor="text1"/>
                <w:sz w:val="18"/>
                <w:szCs w:val="15"/>
              </w:rPr>
            </w:pPr>
            <w:r w:rsidRPr="00A96D55">
              <w:rPr>
                <w:rFonts w:eastAsia="Calibri"/>
                <w:b/>
                <w:color w:val="000000" w:themeColor="text1"/>
                <w:sz w:val="18"/>
                <w:szCs w:val="15"/>
              </w:rPr>
              <w:t>Mutation</w:t>
            </w:r>
          </w:p>
        </w:tc>
        <w:tc>
          <w:tcPr>
            <w:tcW w:w="481" w:type="dxa"/>
            <w:vAlign w:val="center"/>
          </w:tcPr>
          <w:p w:rsidR="00A96D55" w:rsidRPr="00A96D55" w:rsidRDefault="00A96D55" w:rsidP="00827C44">
            <w:pPr>
              <w:jc w:val="center"/>
              <w:rPr>
                <w:rFonts w:eastAsia="Calibri"/>
                <w:b/>
                <w:color w:val="000000" w:themeColor="text1"/>
                <w:sz w:val="18"/>
                <w:szCs w:val="15"/>
              </w:rPr>
            </w:pPr>
            <w:r w:rsidRPr="00A96D55">
              <w:rPr>
                <w:rFonts w:eastAsia="Calibri"/>
                <w:b/>
                <w:color w:val="000000" w:themeColor="text1"/>
                <w:sz w:val="18"/>
                <w:szCs w:val="15"/>
              </w:rPr>
              <w:t>S</w:t>
            </w:r>
          </w:p>
        </w:tc>
        <w:tc>
          <w:tcPr>
            <w:tcW w:w="511" w:type="dxa"/>
            <w:vAlign w:val="center"/>
          </w:tcPr>
          <w:p w:rsidR="00A96D55" w:rsidRPr="00A96D55" w:rsidRDefault="00A96D55" w:rsidP="00827C44">
            <w:pPr>
              <w:jc w:val="center"/>
              <w:rPr>
                <w:rFonts w:eastAsia="Calibri"/>
                <w:b/>
                <w:color w:val="000000" w:themeColor="text1"/>
                <w:sz w:val="18"/>
                <w:szCs w:val="15"/>
              </w:rPr>
            </w:pPr>
            <w:r w:rsidRPr="00A96D55">
              <w:rPr>
                <w:rFonts w:eastAsia="Calibri"/>
                <w:b/>
                <w:color w:val="000000" w:themeColor="text1"/>
                <w:sz w:val="18"/>
                <w:szCs w:val="15"/>
              </w:rPr>
              <w:t>AO</w:t>
            </w:r>
          </w:p>
        </w:tc>
        <w:tc>
          <w:tcPr>
            <w:tcW w:w="993" w:type="dxa"/>
            <w:vAlign w:val="center"/>
          </w:tcPr>
          <w:p w:rsidR="00A96D55" w:rsidRPr="00A96D55" w:rsidRDefault="00A96D55" w:rsidP="00827C44">
            <w:pPr>
              <w:jc w:val="center"/>
              <w:rPr>
                <w:rFonts w:eastAsia="Calibri"/>
                <w:b/>
                <w:color w:val="000000" w:themeColor="text1"/>
                <w:sz w:val="18"/>
                <w:szCs w:val="15"/>
              </w:rPr>
            </w:pPr>
            <w:r w:rsidRPr="00A96D55">
              <w:rPr>
                <w:rFonts w:eastAsia="Calibri"/>
                <w:b/>
                <w:color w:val="000000" w:themeColor="text1"/>
                <w:sz w:val="18"/>
                <w:szCs w:val="15"/>
              </w:rPr>
              <w:t>IS</w:t>
            </w:r>
          </w:p>
        </w:tc>
        <w:tc>
          <w:tcPr>
            <w:tcW w:w="1417" w:type="dxa"/>
            <w:vAlign w:val="center"/>
          </w:tcPr>
          <w:p w:rsidR="00A96D55" w:rsidRPr="00A96D55" w:rsidRDefault="00A96D55" w:rsidP="00827C44">
            <w:pPr>
              <w:ind w:hanging="141"/>
              <w:jc w:val="center"/>
              <w:rPr>
                <w:rFonts w:eastAsia="Calibri"/>
                <w:b/>
                <w:color w:val="000000" w:themeColor="text1"/>
                <w:sz w:val="18"/>
                <w:szCs w:val="15"/>
              </w:rPr>
            </w:pPr>
            <w:proofErr w:type="spellStart"/>
            <w:r w:rsidRPr="00A96D55">
              <w:rPr>
                <w:rFonts w:eastAsia="Calibri"/>
                <w:b/>
                <w:color w:val="000000" w:themeColor="text1"/>
                <w:sz w:val="18"/>
                <w:szCs w:val="15"/>
              </w:rPr>
              <w:t>Es</w:t>
            </w:r>
            <w:proofErr w:type="spellEnd"/>
          </w:p>
        </w:tc>
        <w:tc>
          <w:tcPr>
            <w:tcW w:w="709" w:type="dxa"/>
            <w:vAlign w:val="center"/>
          </w:tcPr>
          <w:p w:rsidR="00A96D55" w:rsidRPr="00A96D55" w:rsidRDefault="00A96D55" w:rsidP="00827C44">
            <w:pPr>
              <w:jc w:val="center"/>
              <w:rPr>
                <w:rFonts w:eastAsia="Calibri"/>
                <w:b/>
                <w:color w:val="000000" w:themeColor="text1"/>
                <w:sz w:val="18"/>
                <w:szCs w:val="15"/>
              </w:rPr>
            </w:pPr>
            <w:r w:rsidRPr="00A96D55">
              <w:rPr>
                <w:rFonts w:eastAsia="Calibri"/>
                <w:b/>
                <w:color w:val="000000" w:themeColor="text1"/>
                <w:sz w:val="18"/>
                <w:szCs w:val="15"/>
              </w:rPr>
              <w:t>P</w:t>
            </w:r>
          </w:p>
        </w:tc>
        <w:tc>
          <w:tcPr>
            <w:tcW w:w="1134" w:type="dxa"/>
            <w:vAlign w:val="center"/>
          </w:tcPr>
          <w:p w:rsidR="00A96D55" w:rsidRPr="00A96D55" w:rsidRDefault="00A96D55" w:rsidP="00827C44">
            <w:pPr>
              <w:jc w:val="center"/>
              <w:rPr>
                <w:rFonts w:eastAsia="Calibri"/>
                <w:b/>
                <w:color w:val="000000" w:themeColor="text1"/>
                <w:sz w:val="18"/>
                <w:szCs w:val="15"/>
              </w:rPr>
            </w:pPr>
            <w:r w:rsidRPr="00A96D55">
              <w:rPr>
                <w:rFonts w:eastAsia="Calibri"/>
                <w:b/>
                <w:color w:val="000000" w:themeColor="text1"/>
                <w:sz w:val="18"/>
                <w:szCs w:val="15"/>
              </w:rPr>
              <w:t>O</w:t>
            </w:r>
          </w:p>
        </w:tc>
        <w:tc>
          <w:tcPr>
            <w:tcW w:w="992" w:type="dxa"/>
            <w:vAlign w:val="center"/>
          </w:tcPr>
          <w:p w:rsidR="00A96D55" w:rsidRPr="00A96D55" w:rsidRDefault="00A96D55" w:rsidP="00827C44">
            <w:pPr>
              <w:jc w:val="center"/>
              <w:rPr>
                <w:rFonts w:eastAsia="Calibri"/>
                <w:b/>
                <w:color w:val="000000" w:themeColor="text1"/>
                <w:sz w:val="18"/>
                <w:szCs w:val="15"/>
              </w:rPr>
            </w:pPr>
            <w:r w:rsidRPr="00A96D55">
              <w:rPr>
                <w:rFonts w:eastAsia="Calibri"/>
                <w:b/>
                <w:color w:val="000000" w:themeColor="text1"/>
                <w:sz w:val="18"/>
                <w:szCs w:val="15"/>
              </w:rPr>
              <w:t>C</w:t>
            </w:r>
          </w:p>
        </w:tc>
        <w:tc>
          <w:tcPr>
            <w:tcW w:w="1985" w:type="dxa"/>
            <w:vAlign w:val="center"/>
          </w:tcPr>
          <w:p w:rsidR="00A96D55" w:rsidRPr="00A96D55" w:rsidRDefault="00A96D55" w:rsidP="00827C44">
            <w:pPr>
              <w:jc w:val="center"/>
              <w:rPr>
                <w:rFonts w:eastAsia="Calibri"/>
                <w:b/>
                <w:color w:val="000000" w:themeColor="text1"/>
                <w:sz w:val="18"/>
                <w:szCs w:val="15"/>
              </w:rPr>
            </w:pPr>
            <w:r w:rsidRPr="00A96D55">
              <w:rPr>
                <w:rFonts w:eastAsia="Calibri"/>
                <w:b/>
                <w:color w:val="000000" w:themeColor="text1"/>
                <w:sz w:val="18"/>
                <w:szCs w:val="15"/>
              </w:rPr>
              <w:t>OF</w:t>
            </w:r>
          </w:p>
        </w:tc>
        <w:tc>
          <w:tcPr>
            <w:tcW w:w="2976" w:type="dxa"/>
            <w:vAlign w:val="center"/>
          </w:tcPr>
          <w:p w:rsidR="00A96D55" w:rsidRPr="00A96D55" w:rsidRDefault="00A96D55" w:rsidP="00827C44">
            <w:pPr>
              <w:jc w:val="center"/>
              <w:rPr>
                <w:rFonts w:eastAsia="Calibri"/>
                <w:b/>
                <w:color w:val="000000" w:themeColor="text1"/>
                <w:sz w:val="18"/>
                <w:szCs w:val="15"/>
              </w:rPr>
            </w:pPr>
            <w:r w:rsidRPr="00A96D55">
              <w:rPr>
                <w:rFonts w:eastAsia="Calibri"/>
                <w:b/>
                <w:color w:val="000000" w:themeColor="text1"/>
                <w:sz w:val="18"/>
                <w:szCs w:val="15"/>
              </w:rPr>
              <w:t>Imaging</w:t>
            </w:r>
          </w:p>
        </w:tc>
        <w:tc>
          <w:tcPr>
            <w:tcW w:w="1134" w:type="dxa"/>
            <w:vAlign w:val="center"/>
          </w:tcPr>
          <w:p w:rsidR="00A96D55" w:rsidRPr="00A96D55" w:rsidRDefault="00A96D55" w:rsidP="00827C44">
            <w:pPr>
              <w:jc w:val="center"/>
              <w:rPr>
                <w:rFonts w:eastAsia="Calibri"/>
                <w:b/>
                <w:color w:val="000000" w:themeColor="text1"/>
                <w:sz w:val="18"/>
                <w:szCs w:val="15"/>
              </w:rPr>
            </w:pPr>
            <w:r w:rsidRPr="00A96D55">
              <w:rPr>
                <w:rFonts w:eastAsia="Calibri"/>
                <w:b/>
                <w:color w:val="000000" w:themeColor="text1"/>
                <w:sz w:val="18"/>
                <w:szCs w:val="15"/>
              </w:rPr>
              <w:t>LR</w:t>
            </w:r>
          </w:p>
        </w:tc>
      </w:tr>
      <w:tr w:rsidR="00A96D55" w:rsidRPr="00A96D55" w:rsidTr="00A96D55">
        <w:trPr>
          <w:trHeight w:val="207"/>
        </w:trPr>
        <w:tc>
          <w:tcPr>
            <w:tcW w:w="1134" w:type="dxa"/>
            <w:vMerge w:val="restart"/>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fldChar w:fldCharType="begin"/>
            </w:r>
            <w:r w:rsidRPr="00A96D55">
              <w:rPr>
                <w:rFonts w:eastAsia="Calibri"/>
                <w:color w:val="000000" w:themeColor="text1"/>
                <w:sz w:val="18"/>
                <w:szCs w:val="15"/>
              </w:rPr>
              <w:instrText xml:space="preserve"> ADDIN ZOTERO_ITEM CSL_CITATION {"citationID":"fxIT2MpA","properties":{"formattedCitation":"(Di Fonzo et al., 2007)","plainCitation":"(Di Fonzo et al., 2007)","noteIndex":0},"citationItems":[{"id":222,"uris":["http://zotero.org/users/local/S6fqyR2I/items/3MQ7X8Q7"],"itemData":{"id":222,"type":"article-journal","container-title":"Neurology","DOI":"10.1212/01.wnl.0000260963.08711.08","ISSN":"0028-3878, 1526-632X","issue":"19","journalAbbreviation":"Neurology","language":"en","page":"1557-1562","source":"DOI.org (Crossref)","title":"&lt;i&gt;ATP13A2&lt;/i&gt; missense mutations in juvenile parkinsonism and young onset Parkinson disease","volume":"68","author":[{"family":"Di Fonzo","given":"A."},{"family":"Chien","given":"H. F."},{"family":"Socal","given":"M."},{"family":"Giraudo","given":"S."},{"family":"Tassorelli","given":"C."},{"family":"Iliceto","given":"G."},{"family":"Fabbrini","given":"G."},{"family":"Marconi","given":"R."},{"family":"Fincati","given":"E."},{"family":"Abbruzzese","given":"G."},{"family":"Marini","given":"P."},{"family":"Squitieri","given":"F."},{"family":"Horstink","given":"M. W."},{"family":"Montagna","given":"P."},{"family":"Libera","given":"A. Dalla"},{"family":"Stocchi","given":"F."},{"family":"Goldwurm","given":"S."},{"family":"Ferreira","given":"J. J."},{"family":"Meco","given":"G."},{"family":"Martignoni","given":"E."},{"family":"Lopiano","given":"L."},{"family":"Jardim","given":"L. B."},{"family":"Oostra","given":"B. A."},{"family":"Barbosa","given":"E. R."},{"literal":"The Italian Parkinson Genetics Network"},{"family":"Bonifati","given":"V."}],"issued":{"date-parts":[["2007",5,8]]}}}],"schema":"https://github.com/citation-style-language/schema/raw/master/csl-citation.json"} </w:instrText>
            </w:r>
            <w:r w:rsidRPr="00A96D55">
              <w:rPr>
                <w:rFonts w:eastAsia="Calibri"/>
                <w:color w:val="000000" w:themeColor="text1"/>
                <w:sz w:val="18"/>
                <w:szCs w:val="15"/>
              </w:rPr>
              <w:fldChar w:fldCharType="separate"/>
            </w:r>
            <w:r w:rsidRPr="00A96D55">
              <w:rPr>
                <w:rFonts w:eastAsia="Calibri"/>
                <w:noProof/>
                <w:color w:val="000000" w:themeColor="text1"/>
                <w:sz w:val="18"/>
                <w:szCs w:val="15"/>
              </w:rPr>
              <w:t>(Di Fonzo et al., 2007)</w:t>
            </w:r>
            <w:r w:rsidRPr="00A96D55">
              <w:rPr>
                <w:rFonts w:eastAsia="Calibri"/>
                <w:color w:val="000000" w:themeColor="text1"/>
                <w:sz w:val="18"/>
                <w:szCs w:val="15"/>
              </w:rPr>
              <w:fldChar w:fldCharType="end"/>
            </w:r>
          </w:p>
        </w:tc>
        <w:tc>
          <w:tcPr>
            <w:tcW w:w="1843" w:type="dxa"/>
            <w:vMerge w:val="restart"/>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c.35C&gt;T (Thr12Met)</w:t>
            </w:r>
          </w:p>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HE</w:t>
            </w:r>
          </w:p>
        </w:tc>
        <w:tc>
          <w:tcPr>
            <w:tcW w:w="481" w:type="dxa"/>
            <w:vMerge w:val="restart"/>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M</w:t>
            </w:r>
          </w:p>
        </w:tc>
        <w:tc>
          <w:tcPr>
            <w:tcW w:w="511" w:type="dxa"/>
            <w:vMerge w:val="restart"/>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30</w:t>
            </w:r>
          </w:p>
        </w:tc>
        <w:tc>
          <w:tcPr>
            <w:tcW w:w="993" w:type="dxa"/>
            <w:vMerge w:val="restart"/>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1417" w:type="dxa"/>
            <w:vMerge w:val="restart"/>
            <w:vAlign w:val="center"/>
          </w:tcPr>
          <w:p w:rsidR="00A96D55" w:rsidRPr="00A96D55" w:rsidRDefault="00A96D55" w:rsidP="00827C44">
            <w:pPr>
              <w:ind w:hanging="141"/>
              <w:jc w:val="center"/>
              <w:rPr>
                <w:rFonts w:eastAsia="Calibri"/>
                <w:color w:val="000000" w:themeColor="text1"/>
                <w:sz w:val="18"/>
                <w:szCs w:val="15"/>
              </w:rPr>
            </w:pPr>
            <w:r w:rsidRPr="00A96D55">
              <w:rPr>
                <w:rFonts w:eastAsia="Calibri"/>
                <w:color w:val="000000" w:themeColor="text1"/>
                <w:sz w:val="18"/>
                <w:szCs w:val="15"/>
              </w:rPr>
              <w:t>B, R, T,</w:t>
            </w:r>
          </w:p>
        </w:tc>
        <w:tc>
          <w:tcPr>
            <w:tcW w:w="709" w:type="dxa"/>
            <w:vMerge w:val="restart"/>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H</w:t>
            </w:r>
          </w:p>
        </w:tc>
        <w:tc>
          <w:tcPr>
            <w:tcW w:w="1134" w:type="dxa"/>
            <w:vMerge w:val="restart"/>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992" w:type="dxa"/>
            <w:vMerge w:val="restart"/>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1985" w:type="dxa"/>
            <w:vMerge w:val="restart"/>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2976" w:type="dxa"/>
            <w:vMerge w:val="restart"/>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 (MRI)</w:t>
            </w:r>
          </w:p>
        </w:tc>
        <w:tc>
          <w:tcPr>
            <w:tcW w:w="1134" w:type="dxa"/>
            <w:vMerge w:val="restart"/>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w:t>
            </w:r>
          </w:p>
        </w:tc>
      </w:tr>
      <w:tr w:rsidR="00A96D55" w:rsidRPr="00A96D55" w:rsidTr="00A96D55">
        <w:trPr>
          <w:trHeight w:val="350"/>
        </w:trPr>
        <w:tc>
          <w:tcPr>
            <w:tcW w:w="1134" w:type="dxa"/>
            <w:vMerge/>
            <w:vAlign w:val="center"/>
          </w:tcPr>
          <w:p w:rsidR="00A96D55" w:rsidRPr="00A96D55" w:rsidRDefault="00A96D55" w:rsidP="00827C44">
            <w:pPr>
              <w:widowControl w:val="0"/>
              <w:pBdr>
                <w:top w:val="nil"/>
                <w:left w:val="nil"/>
                <w:bottom w:val="nil"/>
                <w:right w:val="nil"/>
                <w:between w:val="nil"/>
              </w:pBdr>
              <w:jc w:val="center"/>
              <w:rPr>
                <w:rFonts w:eastAsia="Calibri"/>
                <w:color w:val="000000" w:themeColor="text1"/>
                <w:sz w:val="18"/>
              </w:rPr>
            </w:pPr>
          </w:p>
        </w:tc>
        <w:tc>
          <w:tcPr>
            <w:tcW w:w="1843" w:type="dxa"/>
            <w:vMerge/>
            <w:vAlign w:val="center"/>
          </w:tcPr>
          <w:p w:rsidR="00A96D55" w:rsidRPr="00A96D55" w:rsidRDefault="00A96D55" w:rsidP="00827C44">
            <w:pPr>
              <w:jc w:val="center"/>
              <w:rPr>
                <w:rFonts w:eastAsia="Calibri"/>
                <w:color w:val="000000" w:themeColor="text1"/>
                <w:sz w:val="18"/>
                <w:szCs w:val="15"/>
              </w:rPr>
            </w:pPr>
          </w:p>
        </w:tc>
        <w:tc>
          <w:tcPr>
            <w:tcW w:w="481" w:type="dxa"/>
            <w:vMerge/>
            <w:vAlign w:val="center"/>
          </w:tcPr>
          <w:p w:rsidR="00A96D55" w:rsidRPr="00A96D55" w:rsidRDefault="00A96D55" w:rsidP="00827C44">
            <w:pPr>
              <w:jc w:val="center"/>
              <w:rPr>
                <w:rFonts w:eastAsia="Calibri"/>
                <w:color w:val="000000" w:themeColor="text1"/>
                <w:sz w:val="18"/>
                <w:szCs w:val="15"/>
              </w:rPr>
            </w:pPr>
          </w:p>
        </w:tc>
        <w:tc>
          <w:tcPr>
            <w:tcW w:w="511" w:type="dxa"/>
            <w:vMerge/>
            <w:vAlign w:val="center"/>
          </w:tcPr>
          <w:p w:rsidR="00A96D55" w:rsidRPr="00A96D55" w:rsidRDefault="00A96D55" w:rsidP="00827C44">
            <w:pPr>
              <w:jc w:val="center"/>
              <w:rPr>
                <w:rFonts w:eastAsia="Calibri"/>
                <w:color w:val="000000" w:themeColor="text1"/>
                <w:sz w:val="18"/>
                <w:szCs w:val="15"/>
              </w:rPr>
            </w:pPr>
          </w:p>
        </w:tc>
        <w:tc>
          <w:tcPr>
            <w:tcW w:w="993" w:type="dxa"/>
            <w:vMerge/>
            <w:vAlign w:val="center"/>
          </w:tcPr>
          <w:p w:rsidR="00A96D55" w:rsidRPr="00A96D55" w:rsidRDefault="00A96D55" w:rsidP="00827C44">
            <w:pPr>
              <w:jc w:val="center"/>
              <w:rPr>
                <w:rFonts w:eastAsia="Calibri"/>
                <w:color w:val="000000" w:themeColor="text1"/>
                <w:sz w:val="18"/>
                <w:szCs w:val="15"/>
              </w:rPr>
            </w:pPr>
          </w:p>
        </w:tc>
        <w:tc>
          <w:tcPr>
            <w:tcW w:w="1417" w:type="dxa"/>
            <w:vMerge/>
            <w:vAlign w:val="center"/>
          </w:tcPr>
          <w:p w:rsidR="00A96D55" w:rsidRPr="00A96D55" w:rsidRDefault="00A96D55" w:rsidP="00827C44">
            <w:pPr>
              <w:jc w:val="center"/>
              <w:rPr>
                <w:rFonts w:eastAsia="Calibri"/>
                <w:color w:val="000000" w:themeColor="text1"/>
                <w:sz w:val="18"/>
                <w:szCs w:val="15"/>
              </w:rPr>
            </w:pPr>
          </w:p>
        </w:tc>
        <w:tc>
          <w:tcPr>
            <w:tcW w:w="709" w:type="dxa"/>
            <w:vMerge/>
            <w:vAlign w:val="center"/>
          </w:tcPr>
          <w:p w:rsidR="00A96D55" w:rsidRPr="00A96D55" w:rsidRDefault="00A96D55" w:rsidP="00827C44">
            <w:pPr>
              <w:jc w:val="center"/>
              <w:rPr>
                <w:rFonts w:eastAsia="Calibri"/>
                <w:color w:val="000000" w:themeColor="text1"/>
                <w:sz w:val="18"/>
                <w:szCs w:val="15"/>
              </w:rPr>
            </w:pPr>
          </w:p>
        </w:tc>
        <w:tc>
          <w:tcPr>
            <w:tcW w:w="1134" w:type="dxa"/>
            <w:vMerge/>
            <w:vAlign w:val="center"/>
          </w:tcPr>
          <w:p w:rsidR="00A96D55" w:rsidRPr="00A96D55" w:rsidRDefault="00A96D55" w:rsidP="00827C44">
            <w:pPr>
              <w:jc w:val="center"/>
              <w:rPr>
                <w:rFonts w:eastAsia="Calibri"/>
                <w:color w:val="000000" w:themeColor="text1"/>
                <w:sz w:val="18"/>
                <w:szCs w:val="15"/>
              </w:rPr>
            </w:pPr>
          </w:p>
        </w:tc>
        <w:tc>
          <w:tcPr>
            <w:tcW w:w="992" w:type="dxa"/>
            <w:vMerge/>
            <w:vAlign w:val="center"/>
          </w:tcPr>
          <w:p w:rsidR="00A96D55" w:rsidRPr="00A96D55" w:rsidRDefault="00A96D55" w:rsidP="00827C44">
            <w:pPr>
              <w:jc w:val="center"/>
              <w:rPr>
                <w:rFonts w:eastAsia="Calibri"/>
                <w:color w:val="000000" w:themeColor="text1"/>
                <w:sz w:val="18"/>
                <w:szCs w:val="15"/>
              </w:rPr>
            </w:pPr>
          </w:p>
        </w:tc>
        <w:tc>
          <w:tcPr>
            <w:tcW w:w="1985" w:type="dxa"/>
            <w:vMerge/>
            <w:vAlign w:val="center"/>
          </w:tcPr>
          <w:p w:rsidR="00A96D55" w:rsidRPr="00A96D55" w:rsidRDefault="00A96D55" w:rsidP="00827C44">
            <w:pPr>
              <w:jc w:val="center"/>
              <w:rPr>
                <w:rFonts w:eastAsia="Calibri"/>
                <w:color w:val="000000" w:themeColor="text1"/>
                <w:sz w:val="18"/>
                <w:szCs w:val="15"/>
              </w:rPr>
            </w:pPr>
          </w:p>
        </w:tc>
        <w:tc>
          <w:tcPr>
            <w:tcW w:w="2976" w:type="dxa"/>
            <w:vMerge/>
            <w:vAlign w:val="center"/>
          </w:tcPr>
          <w:p w:rsidR="00A96D55" w:rsidRPr="00A96D55" w:rsidRDefault="00A96D55" w:rsidP="00827C44">
            <w:pPr>
              <w:jc w:val="center"/>
              <w:rPr>
                <w:rFonts w:eastAsia="Calibri"/>
                <w:color w:val="000000" w:themeColor="text1"/>
                <w:sz w:val="18"/>
                <w:szCs w:val="15"/>
              </w:rPr>
            </w:pPr>
          </w:p>
        </w:tc>
        <w:tc>
          <w:tcPr>
            <w:tcW w:w="1134" w:type="dxa"/>
            <w:vMerge/>
            <w:vAlign w:val="center"/>
          </w:tcPr>
          <w:p w:rsidR="00A96D55" w:rsidRPr="00A96D55" w:rsidRDefault="00A96D55" w:rsidP="00827C44">
            <w:pPr>
              <w:jc w:val="center"/>
              <w:rPr>
                <w:rFonts w:eastAsia="Calibri"/>
                <w:color w:val="000000" w:themeColor="text1"/>
                <w:sz w:val="18"/>
                <w:szCs w:val="15"/>
              </w:rPr>
            </w:pPr>
          </w:p>
        </w:tc>
      </w:tr>
      <w:tr w:rsidR="00A96D55" w:rsidRPr="00A96D55" w:rsidTr="00A96D55">
        <w:tc>
          <w:tcPr>
            <w:tcW w:w="1134" w:type="dxa"/>
            <w:vMerge/>
            <w:vAlign w:val="center"/>
          </w:tcPr>
          <w:p w:rsidR="00A96D55" w:rsidRPr="00A96D55" w:rsidRDefault="00A96D55" w:rsidP="00827C44">
            <w:pPr>
              <w:widowControl w:val="0"/>
              <w:pBdr>
                <w:top w:val="nil"/>
                <w:left w:val="nil"/>
                <w:bottom w:val="nil"/>
                <w:right w:val="nil"/>
                <w:between w:val="nil"/>
              </w:pBdr>
              <w:jc w:val="center"/>
              <w:rPr>
                <w:rFonts w:eastAsia="Calibri"/>
                <w:color w:val="000000" w:themeColor="text1"/>
                <w:sz w:val="18"/>
              </w:rPr>
            </w:pPr>
          </w:p>
        </w:tc>
        <w:tc>
          <w:tcPr>
            <w:tcW w:w="184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c.1597C&gt;A (Gly533Arg) HE</w:t>
            </w:r>
          </w:p>
        </w:tc>
        <w:tc>
          <w:tcPr>
            <w:tcW w:w="48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M</w:t>
            </w:r>
          </w:p>
        </w:tc>
        <w:tc>
          <w:tcPr>
            <w:tcW w:w="51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40</w:t>
            </w:r>
          </w:p>
        </w:tc>
        <w:tc>
          <w:tcPr>
            <w:tcW w:w="99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1417"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B, R</w:t>
            </w:r>
          </w:p>
        </w:tc>
        <w:tc>
          <w:tcPr>
            <w:tcW w:w="709"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H</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992"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1985"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PE, VH, Obsessive-compulsive disturbance</w:t>
            </w:r>
          </w:p>
        </w:tc>
        <w:tc>
          <w:tcPr>
            <w:tcW w:w="2976"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 (MRI)</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w:t>
            </w:r>
          </w:p>
        </w:tc>
      </w:tr>
      <w:tr w:rsidR="00A96D55" w:rsidRPr="00A96D55" w:rsidTr="00A96D55">
        <w:tc>
          <w:tcPr>
            <w:tcW w:w="1134" w:type="dxa"/>
            <w:vMerge w:val="restart"/>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fldChar w:fldCharType="begin"/>
            </w:r>
            <w:r w:rsidRPr="00A96D55">
              <w:rPr>
                <w:rFonts w:eastAsia="Calibri"/>
                <w:color w:val="000000" w:themeColor="text1"/>
                <w:sz w:val="18"/>
                <w:szCs w:val="15"/>
              </w:rPr>
              <w:instrText xml:space="preserve"> ADDIN ZOTERO_ITEM CSL_CITATION {"citationID":"zLTTY5Jp","properties":{"formattedCitation":"(Lin et al., 2008)","plainCitation":"(Lin et al., 2008)","noteIndex":0},"citationItems":[{"id":224,"uris":["http://zotero.org/users/local/S6fqyR2I/items/ZHTGZI9B"],"itemData":{"id":224,"type":"article-journal","container-title":"Neurology","DOI":"10.1212/01.wnl.0000335167.72412.68","ISSN":"0028-3878, 1526-632X","issue":"21","journalAbbreviation":"Neurology","language":"en","page":"1727-1732","source":"DOI.org (Crossref)","title":"Novel &lt;i&gt;ATP13A2&lt;/i&gt; variant associated with Parkinson disease in Taiwan and Singapore","volume":"71","author":[{"family":"Lin","given":"C. H."},{"family":"Tan","given":"E. K."},{"family":"Chen","given":"M. L."},{"family":"Tan","given":"L. C."},{"family":"Lim","given":"H. Q."},{"family":"Chen","given":"G. S."},{"family":"Wu","given":"R. M."}],"issued":{"date-parts":[["2008",11,18]]}}}],"schema":"https://github.com/citation-style-language/schema/raw/master/csl-citation.json"} </w:instrText>
            </w:r>
            <w:r w:rsidRPr="00A96D55">
              <w:rPr>
                <w:rFonts w:eastAsia="Calibri"/>
                <w:color w:val="000000" w:themeColor="text1"/>
                <w:sz w:val="18"/>
                <w:szCs w:val="15"/>
              </w:rPr>
              <w:fldChar w:fldCharType="separate"/>
            </w:r>
            <w:r w:rsidRPr="00A96D55">
              <w:rPr>
                <w:rFonts w:eastAsia="Calibri"/>
                <w:noProof/>
                <w:color w:val="000000" w:themeColor="text1"/>
                <w:sz w:val="18"/>
                <w:szCs w:val="15"/>
              </w:rPr>
              <w:t>(Lin et al., 2008)</w:t>
            </w:r>
            <w:r w:rsidRPr="00A96D55">
              <w:rPr>
                <w:rFonts w:eastAsia="Calibri"/>
                <w:color w:val="000000" w:themeColor="text1"/>
                <w:sz w:val="18"/>
                <w:szCs w:val="15"/>
              </w:rPr>
              <w:fldChar w:fldCharType="end"/>
            </w:r>
          </w:p>
        </w:tc>
        <w:tc>
          <w:tcPr>
            <w:tcW w:w="1843" w:type="dxa"/>
            <w:vMerge w:val="restart"/>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c.2236G&gt;A (Ala746Thr) HE</w:t>
            </w:r>
          </w:p>
        </w:tc>
        <w:tc>
          <w:tcPr>
            <w:tcW w:w="48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F</w:t>
            </w:r>
          </w:p>
        </w:tc>
        <w:tc>
          <w:tcPr>
            <w:tcW w:w="51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53</w:t>
            </w:r>
          </w:p>
        </w:tc>
        <w:tc>
          <w:tcPr>
            <w:tcW w:w="99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1417"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B, MD, R, T</w:t>
            </w:r>
          </w:p>
        </w:tc>
        <w:tc>
          <w:tcPr>
            <w:tcW w:w="709"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BS</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992"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1985"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2976"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 (MRI)</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w:t>
            </w:r>
          </w:p>
        </w:tc>
      </w:tr>
      <w:tr w:rsidR="00A96D55" w:rsidRPr="00A96D55" w:rsidTr="00A96D55">
        <w:tc>
          <w:tcPr>
            <w:tcW w:w="1134" w:type="dxa"/>
            <w:vMerge/>
            <w:vAlign w:val="center"/>
          </w:tcPr>
          <w:p w:rsidR="00A96D55" w:rsidRPr="00A96D55" w:rsidRDefault="00A96D55" w:rsidP="00827C44">
            <w:pPr>
              <w:widowControl w:val="0"/>
              <w:pBdr>
                <w:top w:val="nil"/>
                <w:left w:val="nil"/>
                <w:bottom w:val="nil"/>
                <w:right w:val="nil"/>
                <w:between w:val="nil"/>
              </w:pBdr>
              <w:jc w:val="center"/>
              <w:rPr>
                <w:rFonts w:eastAsia="Calibri"/>
                <w:color w:val="000000" w:themeColor="text1"/>
                <w:sz w:val="18"/>
              </w:rPr>
            </w:pPr>
          </w:p>
        </w:tc>
        <w:tc>
          <w:tcPr>
            <w:tcW w:w="1843" w:type="dxa"/>
            <w:vMerge/>
            <w:vAlign w:val="center"/>
          </w:tcPr>
          <w:p w:rsidR="00A96D55" w:rsidRPr="00A96D55" w:rsidRDefault="00A96D55" w:rsidP="00827C44">
            <w:pPr>
              <w:widowControl w:val="0"/>
              <w:pBdr>
                <w:top w:val="nil"/>
                <w:left w:val="nil"/>
                <w:bottom w:val="nil"/>
                <w:right w:val="nil"/>
                <w:between w:val="nil"/>
              </w:pBdr>
              <w:jc w:val="center"/>
              <w:rPr>
                <w:rFonts w:eastAsia="Calibri"/>
                <w:color w:val="000000" w:themeColor="text1"/>
                <w:sz w:val="18"/>
              </w:rPr>
            </w:pPr>
          </w:p>
        </w:tc>
        <w:tc>
          <w:tcPr>
            <w:tcW w:w="48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M</w:t>
            </w:r>
          </w:p>
        </w:tc>
        <w:tc>
          <w:tcPr>
            <w:tcW w:w="51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50</w:t>
            </w:r>
          </w:p>
        </w:tc>
        <w:tc>
          <w:tcPr>
            <w:tcW w:w="99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1417"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B, MD, PI, R, T</w:t>
            </w:r>
          </w:p>
        </w:tc>
        <w:tc>
          <w:tcPr>
            <w:tcW w:w="709"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BS</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992"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1985"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2976"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 (MRI)</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w:t>
            </w:r>
          </w:p>
        </w:tc>
      </w:tr>
      <w:tr w:rsidR="00A96D55" w:rsidRPr="00A96D55" w:rsidTr="00A96D55">
        <w:tc>
          <w:tcPr>
            <w:tcW w:w="1134" w:type="dxa"/>
            <w:vMerge/>
            <w:vAlign w:val="center"/>
          </w:tcPr>
          <w:p w:rsidR="00A96D55" w:rsidRPr="00A96D55" w:rsidRDefault="00A96D55" w:rsidP="00827C44">
            <w:pPr>
              <w:widowControl w:val="0"/>
              <w:pBdr>
                <w:top w:val="nil"/>
                <w:left w:val="nil"/>
                <w:bottom w:val="nil"/>
                <w:right w:val="nil"/>
                <w:between w:val="nil"/>
              </w:pBdr>
              <w:jc w:val="center"/>
              <w:rPr>
                <w:rFonts w:eastAsia="Calibri"/>
                <w:color w:val="000000" w:themeColor="text1"/>
                <w:sz w:val="18"/>
              </w:rPr>
            </w:pPr>
          </w:p>
        </w:tc>
        <w:tc>
          <w:tcPr>
            <w:tcW w:w="1843" w:type="dxa"/>
            <w:vMerge/>
            <w:vAlign w:val="center"/>
          </w:tcPr>
          <w:p w:rsidR="00A96D55" w:rsidRPr="00A96D55" w:rsidRDefault="00A96D55" w:rsidP="00827C44">
            <w:pPr>
              <w:widowControl w:val="0"/>
              <w:pBdr>
                <w:top w:val="nil"/>
                <w:left w:val="nil"/>
                <w:bottom w:val="nil"/>
                <w:right w:val="nil"/>
                <w:between w:val="nil"/>
              </w:pBdr>
              <w:jc w:val="center"/>
              <w:rPr>
                <w:rFonts w:eastAsia="Calibri"/>
                <w:color w:val="000000" w:themeColor="text1"/>
                <w:sz w:val="18"/>
              </w:rPr>
            </w:pPr>
          </w:p>
        </w:tc>
        <w:tc>
          <w:tcPr>
            <w:tcW w:w="48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M</w:t>
            </w:r>
          </w:p>
        </w:tc>
        <w:tc>
          <w:tcPr>
            <w:tcW w:w="51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39</w:t>
            </w:r>
          </w:p>
        </w:tc>
        <w:tc>
          <w:tcPr>
            <w:tcW w:w="99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1417"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B, MD, PI, R, T</w:t>
            </w:r>
          </w:p>
        </w:tc>
        <w:tc>
          <w:tcPr>
            <w:tcW w:w="709"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BS</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992"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1985"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2976"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 (MRI)</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w:t>
            </w:r>
          </w:p>
        </w:tc>
      </w:tr>
      <w:tr w:rsidR="00A96D55" w:rsidRPr="00A96D55" w:rsidTr="00A96D55">
        <w:tc>
          <w:tcPr>
            <w:tcW w:w="1134" w:type="dxa"/>
            <w:vMerge w:val="restart"/>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fldChar w:fldCharType="begin"/>
            </w:r>
            <w:r w:rsidRPr="00A96D55">
              <w:rPr>
                <w:rFonts w:eastAsia="Calibri"/>
                <w:color w:val="000000" w:themeColor="text1"/>
                <w:sz w:val="18"/>
                <w:szCs w:val="15"/>
              </w:rPr>
              <w:instrText xml:space="preserve"> ADDIN ZOTERO_ITEM CSL_CITATION {"citationID":"fS4yHcZD","properties":{"formattedCitation":"(Djarmati et al., 2009)","plainCitation":"(Djarmati et al., 2009)","noteIndex":0},"citationItems":[{"id":225,"uris":["http://zotero.org/users/local/S6fqyR2I/items/U5SJKPQ2"],"itemData":{"id":225,"type":"article-journal","abstract":"Abstract\n            \n              Four genes responsible for recessively inherited forms of Parkinson's disease (PD) have been identified, including the recently discovered\n              ATP13A2\n              (\n              PARK9\n              ) gene. Our objective was to investigate the role of this gene in a large cohort of PD patients and controls. We extensively screened all 29 exons of the\n              ATP13A2\n              coding region in 112 patients with early‐onset PD (EOPD; &lt;40 years) of mostly European ethnic origin and of 55 controls. We identified four carriers (3.6%) of novel single heterozygous\n              ATP13A2\n              missense changes that were absent in controls. Interestingly, the carrier of one of these variants also harbored two mutations in the\n              Parkin\n              gene. None of the carriers had atypical features previously described in patients with two mutated\n              ATP13A2\n              alleles (Kufor–Rakeb syndrome). Our data suggest that two mutated\n              ATP13A2\n              alleles are not a common cause of PD. Although heterozygous variants are present in a considerable number of patients, they are—based on this relatively small sample—not significantly more frequent in patients compared to controls. © 2009 Movement Disorder Society","container-title":"Movement Disorders","DOI":"10.1002/mds.22728","ISSN":"0885-3185, 1531-8257","issue":"14","journalAbbreviation":"Movement Disorders","language":"en","license":"http://onlinelibrary.wiley.com/termsAndConditions#vor","page":"2104-2111","source":"DOI.org (Crossref)","title":"&lt;i&gt;ATP13A2&lt;/i&gt; variants in early‐onset Parkinson's disease patients and controls","volume":"24","author":[{"family":"Djarmati","given":"Ana"},{"family":"Hagenah","given":"Johann"},{"family":"Reetz","given":"Kathrin"},{"family":"Winkler","given":"Susen"},{"family":"Behrens","given":"Maria Isabel"},{"family":"Pawlack","given":"Heike"},{"family":"Lohmann","given":"Katja"},{"family":"Ramirez","given":"Alfredo"},{"family":"Tadić","given":"Vera"},{"family":"Brüggemann","given":"Norbert"},{"family":"Berg","given":"Daniela"},{"family":"Siebner","given":"Hartwig R."},{"family":"Lang","given":"Anthony E."},{"family":"Pramstaller","given":"Peter P."},{"family":"Binkofski","given":"Ferdinand"},{"family":"Kostić","given":"Vladimir S."},{"family":"Volkmann","given":"Jens"},{"family":"Gasser","given":"Thomas"},{"family":"Klein","given":"Christine"}],"issued":{"date-parts":[["2009",10,30]]}}}],"schema":"https://github.com/citation-style-language/schema/raw/master/csl-citation.json"} </w:instrText>
            </w:r>
            <w:r w:rsidRPr="00A96D55">
              <w:rPr>
                <w:rFonts w:eastAsia="Calibri"/>
                <w:color w:val="000000" w:themeColor="text1"/>
                <w:sz w:val="18"/>
                <w:szCs w:val="15"/>
              </w:rPr>
              <w:fldChar w:fldCharType="separate"/>
            </w:r>
            <w:r w:rsidRPr="00A96D55">
              <w:rPr>
                <w:rFonts w:eastAsia="Calibri"/>
                <w:noProof/>
                <w:color w:val="000000" w:themeColor="text1"/>
                <w:sz w:val="18"/>
                <w:szCs w:val="15"/>
              </w:rPr>
              <w:t>(Djarmati et al., 2009)</w:t>
            </w:r>
            <w:r w:rsidRPr="00A96D55">
              <w:rPr>
                <w:rFonts w:eastAsia="Calibri"/>
                <w:color w:val="000000" w:themeColor="text1"/>
                <w:sz w:val="18"/>
                <w:szCs w:val="15"/>
              </w:rPr>
              <w:fldChar w:fldCharType="end"/>
            </w:r>
          </w:p>
        </w:tc>
        <w:tc>
          <w:tcPr>
            <w:tcW w:w="184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c.746C&gt;T (p.Ala249Val) HE</w:t>
            </w:r>
          </w:p>
        </w:tc>
        <w:tc>
          <w:tcPr>
            <w:tcW w:w="48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F</w:t>
            </w:r>
          </w:p>
        </w:tc>
        <w:tc>
          <w:tcPr>
            <w:tcW w:w="51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31</w:t>
            </w:r>
          </w:p>
        </w:tc>
        <w:tc>
          <w:tcPr>
            <w:tcW w:w="99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T</w:t>
            </w:r>
          </w:p>
        </w:tc>
        <w:tc>
          <w:tcPr>
            <w:tcW w:w="1417"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B, MD, PI, R, T,</w:t>
            </w:r>
          </w:p>
        </w:tc>
        <w:tc>
          <w:tcPr>
            <w:tcW w:w="709"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992"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1985"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Depression</w:t>
            </w:r>
          </w:p>
        </w:tc>
        <w:tc>
          <w:tcPr>
            <w:tcW w:w="2976"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 (MRI)</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w:t>
            </w:r>
          </w:p>
        </w:tc>
      </w:tr>
      <w:tr w:rsidR="00A96D55" w:rsidRPr="00A96D55" w:rsidTr="00A96D55">
        <w:tc>
          <w:tcPr>
            <w:tcW w:w="1134" w:type="dxa"/>
            <w:vMerge/>
            <w:vAlign w:val="center"/>
          </w:tcPr>
          <w:p w:rsidR="00A96D55" w:rsidRPr="00A96D55" w:rsidRDefault="00A96D55" w:rsidP="00827C44">
            <w:pPr>
              <w:jc w:val="center"/>
              <w:rPr>
                <w:rFonts w:eastAsia="Calibri"/>
                <w:color w:val="000000" w:themeColor="text1"/>
                <w:sz w:val="18"/>
                <w:szCs w:val="15"/>
              </w:rPr>
            </w:pPr>
          </w:p>
        </w:tc>
        <w:tc>
          <w:tcPr>
            <w:tcW w:w="184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c.844A&gt;T (p.Ser282Cys) HE</w:t>
            </w:r>
          </w:p>
        </w:tc>
        <w:tc>
          <w:tcPr>
            <w:tcW w:w="48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M</w:t>
            </w:r>
          </w:p>
        </w:tc>
        <w:tc>
          <w:tcPr>
            <w:tcW w:w="51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20</w:t>
            </w:r>
          </w:p>
        </w:tc>
        <w:tc>
          <w:tcPr>
            <w:tcW w:w="99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MD</w:t>
            </w:r>
          </w:p>
        </w:tc>
        <w:tc>
          <w:tcPr>
            <w:tcW w:w="1417"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B, MD, PI, R</w:t>
            </w:r>
          </w:p>
        </w:tc>
        <w:tc>
          <w:tcPr>
            <w:tcW w:w="709"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992"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1985"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2976"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 (MRI)</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w:t>
            </w:r>
          </w:p>
        </w:tc>
      </w:tr>
      <w:tr w:rsidR="00A96D55" w:rsidRPr="00A96D55" w:rsidTr="00A96D55">
        <w:tc>
          <w:tcPr>
            <w:tcW w:w="1134" w:type="dxa"/>
            <w:vMerge/>
            <w:vAlign w:val="center"/>
          </w:tcPr>
          <w:p w:rsidR="00A96D55" w:rsidRPr="00A96D55" w:rsidRDefault="00A96D55" w:rsidP="00827C44">
            <w:pPr>
              <w:jc w:val="center"/>
              <w:rPr>
                <w:rFonts w:eastAsia="Calibri"/>
                <w:color w:val="000000" w:themeColor="text1"/>
                <w:sz w:val="18"/>
                <w:szCs w:val="15"/>
              </w:rPr>
            </w:pPr>
          </w:p>
        </w:tc>
        <w:tc>
          <w:tcPr>
            <w:tcW w:w="184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c.2939G&gt;A (p.Arg980His)- HE</w:t>
            </w:r>
          </w:p>
        </w:tc>
        <w:tc>
          <w:tcPr>
            <w:tcW w:w="48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M</w:t>
            </w:r>
          </w:p>
        </w:tc>
        <w:tc>
          <w:tcPr>
            <w:tcW w:w="51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36</w:t>
            </w:r>
          </w:p>
        </w:tc>
        <w:tc>
          <w:tcPr>
            <w:tcW w:w="99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T</w:t>
            </w:r>
          </w:p>
        </w:tc>
        <w:tc>
          <w:tcPr>
            <w:tcW w:w="1417"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B, MD, PI, R, T</w:t>
            </w:r>
          </w:p>
        </w:tc>
        <w:tc>
          <w:tcPr>
            <w:tcW w:w="709"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992"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1985"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Depression</w:t>
            </w:r>
          </w:p>
        </w:tc>
        <w:tc>
          <w:tcPr>
            <w:tcW w:w="2976"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DA (CT)</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w:t>
            </w:r>
          </w:p>
        </w:tc>
      </w:tr>
      <w:tr w:rsidR="00A96D55" w:rsidRPr="00A96D55" w:rsidTr="00A96D55">
        <w:tc>
          <w:tcPr>
            <w:tcW w:w="1134" w:type="dxa"/>
            <w:vMerge/>
            <w:vAlign w:val="center"/>
          </w:tcPr>
          <w:p w:rsidR="00A96D55" w:rsidRPr="00A96D55" w:rsidRDefault="00A96D55" w:rsidP="00827C44">
            <w:pPr>
              <w:jc w:val="center"/>
              <w:rPr>
                <w:rFonts w:eastAsia="Calibri"/>
                <w:color w:val="000000" w:themeColor="text1"/>
                <w:sz w:val="18"/>
                <w:szCs w:val="15"/>
              </w:rPr>
            </w:pPr>
          </w:p>
        </w:tc>
        <w:tc>
          <w:tcPr>
            <w:tcW w:w="184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c.1346G&gt;A (p.Arg449Gln)- HE</w:t>
            </w:r>
          </w:p>
        </w:tc>
        <w:tc>
          <w:tcPr>
            <w:tcW w:w="48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F</w:t>
            </w:r>
          </w:p>
        </w:tc>
        <w:tc>
          <w:tcPr>
            <w:tcW w:w="51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35</w:t>
            </w:r>
          </w:p>
        </w:tc>
        <w:tc>
          <w:tcPr>
            <w:tcW w:w="99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T</w:t>
            </w:r>
          </w:p>
        </w:tc>
        <w:tc>
          <w:tcPr>
            <w:tcW w:w="1417"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B, MD, PI, R, T,</w:t>
            </w:r>
          </w:p>
        </w:tc>
        <w:tc>
          <w:tcPr>
            <w:tcW w:w="709"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Bilateral ptosis, SV</w:t>
            </w:r>
          </w:p>
        </w:tc>
        <w:tc>
          <w:tcPr>
            <w:tcW w:w="992"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1985"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Depression, DY, I</w:t>
            </w:r>
          </w:p>
        </w:tc>
        <w:tc>
          <w:tcPr>
            <w:tcW w:w="2976"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 (MRI)</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w:t>
            </w:r>
          </w:p>
        </w:tc>
      </w:tr>
      <w:tr w:rsidR="00A96D55" w:rsidRPr="00A96D55" w:rsidTr="00A96D55">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fldChar w:fldCharType="begin"/>
            </w:r>
            <w:r w:rsidRPr="00A96D55">
              <w:rPr>
                <w:rFonts w:eastAsia="Calibri"/>
                <w:color w:val="000000" w:themeColor="text1"/>
                <w:sz w:val="18"/>
                <w:szCs w:val="15"/>
              </w:rPr>
              <w:instrText xml:space="preserve"> ADDIN ZOTERO_ITEM CSL_CITATION {"citationID":"UBcZHF9c","properties":{"formattedCitation":"(Fong et al., 2011)","plainCitation":"(Fong et al., 2011)","noteIndex":0},"citationItems":[{"id":228,"uris":["http://zotero.org/users/local/S6fqyR2I/items/KANN4Y8C"],"itemData":{"id":228,"type":"article-journal","container-title":"European Journal of Paediatric Neurology","DOI":"10.1016/j.ejpn.2011.01.001","ISSN":"10903798","issue":"3","journalAbbreviation":"European Journal of Paediatric Neurology","language":"en","license":"https://www.elsevier.com/tdm/userlicense/1.0/","page":"271-275","source":"DOI.org (Crossref)","title":"Juvenile parkinsonism associated with heterozygous frameshift ATP13A2 gene mutation","volume":"15","author":[{"family":"Fong","given":"Choong Yi"},{"family":"Rolfs","given":"Arndt"},{"family":"Schwarzbraun","given":"Thomas"},{"family":"Klein","given":"Christine"},{"family":"O’Callaghan","given":"Finbar J.K."}],"issued":{"date-parts":[["2011",5]]}}}],"schema":"https://github.com/citation-style-language/schema/raw/master/csl-citation.json"} </w:instrText>
            </w:r>
            <w:r w:rsidRPr="00A96D55">
              <w:rPr>
                <w:rFonts w:eastAsia="Calibri"/>
                <w:color w:val="000000" w:themeColor="text1"/>
                <w:sz w:val="18"/>
                <w:szCs w:val="15"/>
              </w:rPr>
              <w:fldChar w:fldCharType="separate"/>
            </w:r>
            <w:r w:rsidRPr="00A96D55">
              <w:rPr>
                <w:rFonts w:eastAsia="Calibri"/>
                <w:noProof/>
                <w:color w:val="000000" w:themeColor="text1"/>
                <w:sz w:val="18"/>
                <w:szCs w:val="15"/>
              </w:rPr>
              <w:t>(Fong et al., 2011)</w:t>
            </w:r>
            <w:r w:rsidRPr="00A96D55">
              <w:rPr>
                <w:rFonts w:eastAsia="Calibri"/>
                <w:color w:val="000000" w:themeColor="text1"/>
                <w:sz w:val="18"/>
                <w:szCs w:val="15"/>
              </w:rPr>
              <w:fldChar w:fldCharType="end"/>
            </w:r>
          </w:p>
        </w:tc>
        <w:tc>
          <w:tcPr>
            <w:tcW w:w="184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c.1108 1120del13 (p.Arg370fsX390) - HE</w:t>
            </w:r>
          </w:p>
        </w:tc>
        <w:tc>
          <w:tcPr>
            <w:tcW w:w="48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M</w:t>
            </w:r>
          </w:p>
        </w:tc>
        <w:tc>
          <w:tcPr>
            <w:tcW w:w="51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5</w:t>
            </w:r>
          </w:p>
        </w:tc>
        <w:tc>
          <w:tcPr>
            <w:tcW w:w="99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DYS, MD</w:t>
            </w:r>
          </w:p>
        </w:tc>
        <w:tc>
          <w:tcPr>
            <w:tcW w:w="1417"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B, MD, PI, R, T</w:t>
            </w:r>
          </w:p>
        </w:tc>
        <w:tc>
          <w:tcPr>
            <w:tcW w:w="709"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992"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1985"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w:t>
            </w:r>
          </w:p>
        </w:tc>
        <w:tc>
          <w:tcPr>
            <w:tcW w:w="2976"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 (MRI),</w:t>
            </w:r>
            <w:r w:rsidRPr="00A96D55">
              <w:rPr>
                <w:rFonts w:eastAsia="Calibri"/>
                <w:color w:val="000000" w:themeColor="text1"/>
                <w:sz w:val="18"/>
                <w:szCs w:val="16"/>
              </w:rPr>
              <w:t xml:space="preserve"> R</w:t>
            </w:r>
            <w:r w:rsidRPr="00A96D55">
              <w:rPr>
                <w:rFonts w:eastAsia="Calibri"/>
                <w:color w:val="000000" w:themeColor="text1"/>
                <w:sz w:val="18"/>
                <w:szCs w:val="15"/>
              </w:rPr>
              <w:t xml:space="preserve">eduction of activity in </w:t>
            </w:r>
            <w:proofErr w:type="spellStart"/>
            <w:r w:rsidRPr="00A96D55">
              <w:rPr>
                <w:rFonts w:eastAsia="Calibri"/>
                <w:color w:val="000000" w:themeColor="text1"/>
                <w:sz w:val="18"/>
                <w:szCs w:val="15"/>
              </w:rPr>
              <w:t>lentiform</w:t>
            </w:r>
            <w:proofErr w:type="spellEnd"/>
            <w:r w:rsidRPr="00A96D55">
              <w:rPr>
                <w:rFonts w:eastAsia="Calibri"/>
                <w:color w:val="000000" w:themeColor="text1"/>
                <w:sz w:val="18"/>
                <w:szCs w:val="15"/>
              </w:rPr>
              <w:t xml:space="preserve"> nuclei (</w:t>
            </w:r>
            <w:r w:rsidRPr="00A96D55">
              <w:rPr>
                <w:rFonts w:eastAsia="Calibri"/>
                <w:color w:val="000000" w:themeColor="text1"/>
                <w:sz w:val="18"/>
                <w:szCs w:val="15"/>
                <w:vertAlign w:val="superscript"/>
              </w:rPr>
              <w:t>123</w:t>
            </w:r>
            <w:r w:rsidRPr="00A96D55">
              <w:rPr>
                <w:rFonts w:eastAsia="Calibri"/>
                <w:color w:val="000000" w:themeColor="text1"/>
                <w:sz w:val="18"/>
                <w:szCs w:val="15"/>
              </w:rPr>
              <w:t>I-FP-CIT SPECT)</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w:t>
            </w:r>
          </w:p>
        </w:tc>
      </w:tr>
      <w:tr w:rsidR="00A96D55" w:rsidRPr="00A96D55" w:rsidTr="00A96D55">
        <w:tc>
          <w:tcPr>
            <w:tcW w:w="1134" w:type="dxa"/>
            <w:vMerge w:val="restart"/>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fldChar w:fldCharType="begin"/>
            </w:r>
            <w:r w:rsidRPr="00A96D55">
              <w:rPr>
                <w:rFonts w:eastAsia="Calibri"/>
                <w:color w:val="000000" w:themeColor="text1"/>
                <w:sz w:val="18"/>
                <w:szCs w:val="15"/>
              </w:rPr>
              <w:instrText xml:space="preserve"> ADDIN ZOTERO_ITEM CSL_CITATION {"citationID":"RN39TJLS","properties":{"formattedCitation":"(Chen et al., 2011)","plainCitation":"(Chen et al., 2011)","noteIndex":0},"citationItems":[{"id":230,"uris":["http://zotero.org/users/local/S6fqyR2I/items/B9DRAWZP"],"itemData":{"id":230,"type":"article-journal","abstract":"Abstract\n            \n              Mutations in\n              ATP13A2\n              have been reported to associate with Parkinson's disease (PD). This study investigates the contribution of genetic variants in\n              ATP13A2\n              to Taiwanese PD.\n              ATP13A2\n              cDNA fragments from 65 early onset PD (onset &lt;50 years) were sequenced. The identified variants were validated in a cohort of PD (n = 493) and ethnically matched controls (n = 585). A novel heterozygous G1014S, located at the conserved seventh transmembrane domain of ATP13A2 protein, was identified in an early onset PD patient, which was absent in 585 normal controls. Additionally, a reported heterozygous A746T was found in two PD patients and four controls. The clinical features and 99mTc‐TRODAT‐1 single photon emission computed tomography (SPECT) image of the patients carrying G1014S and A746T were similar to that of idiopathic PD. One normal control with A746T showed an asymmetric reduction of 99mT TRODAT‐1 uptake in the right striatum. Under oxidative stress or apoptotic stimulus, lymphoblastoid cells carrying either A764T or G1014S showed increased caspase 3 activity compared with the controls. The rates of decay for G1014S and A746T proteins were more or less reduced in cycloheximide chase experiment. In silico modeling of G1014S exhibited a more stable feature than wild‐type, and G1014S is mislocalized mainly in the intralysosomal space, which is coherent with the prediction of prohibiting\n              N\n              ‐myristoylation and membrane association. We therefore hypothesize that rare variants of\n              ATP13A2\n              may contribute to PD susceptibility in Taiwan. The role played by\n              ATP13A2\n              variants in PD remains to be clarified. © 2011 Wiley‐Liss, Inc.","container-title":"American Journal of Medical Genetics Part B: Neuropsychiatric Genetics","DOI":"10.1002/ajmg.b.31214","ISSN":"1552-4841, 1552-485X","issue":"6","journalAbbreviation":"American J of Med Genetics Pt B","language":"en","license":"http://onlinelibrary.wiley.com/termsAndConditions#vor","page":"720-729","source":"DOI.org (Crossref)","title":"ATP13A2 variability in Taiwanese Parkinson's disease","volume":"156","author":[{"family":"Chen","given":"Chiung‐Mei"},{"family":"Lin","given":"Chih‐Hsin"},{"family":"Juan","given":"Hsueh‐Fen"},{"family":"Hu","given":"Fen‐Ju"},{"family":"Hsiao","given":"Ya‐Chin"},{"family":"Chang","given":"Hsin‐Yi"},{"family":"Chao","given":"Chih‐Ying"},{"family":"Chen","given":"I‐Cheng"},{"family":"Lee","given":"Li‐Ching"},{"family":"Wang","given":"Tsu‐Wei"},{"family":"Chen","given":"Ya‐Tang"},{"family":"Chen","given":"Yi‐Tsun"},{"family":"Lee‐Chen","given":"Guey‐Jen"},{"family":"Wu","given":"Yih‐Ru"}],"issued":{"date-parts":[["2011",9]]}}}],"schema":"https://github.com/citation-style-language/schema/raw/master/csl-citation.json"} </w:instrText>
            </w:r>
            <w:r w:rsidRPr="00A96D55">
              <w:rPr>
                <w:rFonts w:eastAsia="Calibri"/>
                <w:color w:val="000000" w:themeColor="text1"/>
                <w:sz w:val="18"/>
                <w:szCs w:val="15"/>
              </w:rPr>
              <w:fldChar w:fldCharType="separate"/>
            </w:r>
            <w:r w:rsidRPr="00A96D55">
              <w:rPr>
                <w:rFonts w:eastAsia="Calibri"/>
                <w:noProof/>
                <w:color w:val="000000" w:themeColor="text1"/>
                <w:sz w:val="18"/>
                <w:szCs w:val="15"/>
              </w:rPr>
              <w:t>(Chen et al., 2011)</w:t>
            </w:r>
            <w:r w:rsidRPr="00A96D55">
              <w:rPr>
                <w:rFonts w:eastAsia="Calibri"/>
                <w:color w:val="000000" w:themeColor="text1"/>
                <w:sz w:val="18"/>
                <w:szCs w:val="15"/>
              </w:rPr>
              <w:fldChar w:fldCharType="end"/>
            </w:r>
          </w:p>
        </w:tc>
        <w:tc>
          <w:tcPr>
            <w:tcW w:w="184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c.3274A&gt;G (p.Gly1014Ser) - HE</w:t>
            </w:r>
          </w:p>
        </w:tc>
        <w:tc>
          <w:tcPr>
            <w:tcW w:w="48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F</w:t>
            </w:r>
          </w:p>
        </w:tc>
        <w:tc>
          <w:tcPr>
            <w:tcW w:w="51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48</w:t>
            </w:r>
          </w:p>
        </w:tc>
        <w:tc>
          <w:tcPr>
            <w:tcW w:w="99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1417"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B, PI, R, T</w:t>
            </w:r>
          </w:p>
        </w:tc>
        <w:tc>
          <w:tcPr>
            <w:tcW w:w="709"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992"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1985"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2976"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NO (MRI)</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w:t>
            </w:r>
          </w:p>
        </w:tc>
      </w:tr>
      <w:tr w:rsidR="00A96D55" w:rsidRPr="00A96D55" w:rsidTr="00A96D55">
        <w:tc>
          <w:tcPr>
            <w:tcW w:w="1134" w:type="dxa"/>
            <w:vMerge/>
            <w:vAlign w:val="center"/>
          </w:tcPr>
          <w:p w:rsidR="00A96D55" w:rsidRPr="00A96D55" w:rsidRDefault="00A96D55" w:rsidP="00827C44">
            <w:pPr>
              <w:jc w:val="center"/>
              <w:rPr>
                <w:rFonts w:eastAsia="Calibri"/>
                <w:color w:val="000000" w:themeColor="text1"/>
                <w:sz w:val="18"/>
                <w:szCs w:val="15"/>
              </w:rPr>
            </w:pPr>
          </w:p>
        </w:tc>
        <w:tc>
          <w:tcPr>
            <w:tcW w:w="1843" w:type="dxa"/>
            <w:vMerge w:val="restart"/>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c.2236G&gt;A (Ala746Thr) HE</w:t>
            </w:r>
          </w:p>
        </w:tc>
        <w:tc>
          <w:tcPr>
            <w:tcW w:w="48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M</w:t>
            </w:r>
          </w:p>
        </w:tc>
        <w:tc>
          <w:tcPr>
            <w:tcW w:w="51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49</w:t>
            </w:r>
          </w:p>
        </w:tc>
        <w:tc>
          <w:tcPr>
            <w:tcW w:w="99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1417"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B, PI, R, T</w:t>
            </w:r>
          </w:p>
        </w:tc>
        <w:tc>
          <w:tcPr>
            <w:tcW w:w="709"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992"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1985"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2976"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w:t>
            </w:r>
          </w:p>
        </w:tc>
      </w:tr>
      <w:tr w:rsidR="00A96D55" w:rsidRPr="00A96D55" w:rsidTr="00A96D55">
        <w:tc>
          <w:tcPr>
            <w:tcW w:w="1134" w:type="dxa"/>
            <w:vMerge/>
            <w:vAlign w:val="center"/>
          </w:tcPr>
          <w:p w:rsidR="00A96D55" w:rsidRPr="00A96D55" w:rsidRDefault="00A96D55" w:rsidP="00827C44">
            <w:pPr>
              <w:jc w:val="center"/>
              <w:rPr>
                <w:rFonts w:eastAsia="Calibri"/>
                <w:color w:val="000000" w:themeColor="text1"/>
                <w:sz w:val="18"/>
                <w:szCs w:val="15"/>
              </w:rPr>
            </w:pPr>
          </w:p>
        </w:tc>
        <w:tc>
          <w:tcPr>
            <w:tcW w:w="1843" w:type="dxa"/>
            <w:vMerge/>
            <w:vAlign w:val="center"/>
          </w:tcPr>
          <w:p w:rsidR="00A96D55" w:rsidRPr="00A96D55" w:rsidRDefault="00A96D55" w:rsidP="00827C44">
            <w:pPr>
              <w:jc w:val="center"/>
              <w:rPr>
                <w:rFonts w:eastAsia="Calibri"/>
                <w:color w:val="000000" w:themeColor="text1"/>
                <w:sz w:val="18"/>
                <w:szCs w:val="15"/>
              </w:rPr>
            </w:pPr>
          </w:p>
        </w:tc>
        <w:tc>
          <w:tcPr>
            <w:tcW w:w="48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F</w:t>
            </w:r>
          </w:p>
        </w:tc>
        <w:tc>
          <w:tcPr>
            <w:tcW w:w="51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51</w:t>
            </w:r>
          </w:p>
        </w:tc>
        <w:tc>
          <w:tcPr>
            <w:tcW w:w="99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1417"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B, PI, R, T</w:t>
            </w:r>
          </w:p>
        </w:tc>
        <w:tc>
          <w:tcPr>
            <w:tcW w:w="709"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992"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1985"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2976"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w:t>
            </w:r>
          </w:p>
        </w:tc>
      </w:tr>
      <w:tr w:rsidR="00A96D55" w:rsidRPr="00A96D55" w:rsidTr="00A96D55">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fldChar w:fldCharType="begin"/>
            </w:r>
            <w:r w:rsidRPr="00A96D55">
              <w:rPr>
                <w:rFonts w:eastAsia="Calibri"/>
                <w:color w:val="000000" w:themeColor="text1"/>
                <w:sz w:val="18"/>
                <w:szCs w:val="15"/>
              </w:rPr>
              <w:instrText xml:space="preserve"> ADDIN ZOTERO_ITEM CSL_CITATION {"citationID":"wi8Ve4pk","properties":{"formattedCitation":"(Jain et al., 2016)","plainCitation":"(Jain et al., 2016)","noteIndex":0},"citationItems":[{"id":238,"uris":["http://zotero.org/users/local/S6fqyR2I/items/Z7SX569W"],"itemData":{"id":238,"type":"article-journal","container-title":"Indian Journal of Medical Specialities","DOI":"10.1016/j.injms.2016.09.002","ISSN":"09762884","issue":"3","journalAbbreviation":"Indian Journal of Medical Specialities","language":"en","page":"127-129","source":"DOI.org (Crossref)","title":"Kufor–Rakeb syndrome (KRS): Clinico-radiological phenotype of a probable sporadic case with “eye of tiger” sign","title-short":"Kufor–Rakeb syndrome (KRS)","volume":"7","author":[{"family":"Jain","given":"Rajendra Singh"},{"family":"Khan","given":"Ibraheem"},{"family":"Sisodiya","given":"Mahendra"}],"issued":{"date-parts":[["2016",7]]}}}],"schema":"https://github.com/citation-style-language/schema/raw/master/csl-citation.json"} </w:instrText>
            </w:r>
            <w:r w:rsidRPr="00A96D55">
              <w:rPr>
                <w:rFonts w:eastAsia="Calibri"/>
                <w:color w:val="000000" w:themeColor="text1"/>
                <w:sz w:val="18"/>
                <w:szCs w:val="15"/>
              </w:rPr>
              <w:fldChar w:fldCharType="separate"/>
            </w:r>
            <w:r w:rsidRPr="00A96D55">
              <w:rPr>
                <w:rFonts w:eastAsia="Calibri"/>
                <w:noProof/>
                <w:color w:val="000000" w:themeColor="text1"/>
                <w:sz w:val="18"/>
                <w:szCs w:val="15"/>
              </w:rPr>
              <w:t>(Jain et al., 2016)</w:t>
            </w:r>
            <w:r w:rsidRPr="00A96D55">
              <w:rPr>
                <w:rFonts w:eastAsia="Calibri"/>
                <w:color w:val="000000" w:themeColor="text1"/>
                <w:sz w:val="18"/>
                <w:szCs w:val="15"/>
              </w:rPr>
              <w:fldChar w:fldCharType="end"/>
            </w:r>
          </w:p>
        </w:tc>
        <w:tc>
          <w:tcPr>
            <w:tcW w:w="184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48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M</w:t>
            </w:r>
          </w:p>
        </w:tc>
        <w:tc>
          <w:tcPr>
            <w:tcW w:w="51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24</w:t>
            </w:r>
          </w:p>
        </w:tc>
        <w:tc>
          <w:tcPr>
            <w:tcW w:w="99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Abnormal behavior</w:t>
            </w:r>
          </w:p>
        </w:tc>
        <w:tc>
          <w:tcPr>
            <w:tcW w:w="1417"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B, MD, T</w:t>
            </w:r>
          </w:p>
        </w:tc>
        <w:tc>
          <w:tcPr>
            <w:tcW w:w="709"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 xml:space="preserve">BTS, BS, MC, </w:t>
            </w:r>
            <w:proofErr w:type="spellStart"/>
            <w:r w:rsidRPr="00A96D55">
              <w:rPr>
                <w:rFonts w:eastAsia="Calibri"/>
                <w:color w:val="000000" w:themeColor="text1"/>
                <w:sz w:val="18"/>
                <w:szCs w:val="15"/>
              </w:rPr>
              <w:t>Sp</w:t>
            </w:r>
            <w:proofErr w:type="spellEnd"/>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SUP</w:t>
            </w:r>
          </w:p>
        </w:tc>
        <w:tc>
          <w:tcPr>
            <w:tcW w:w="992"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CD</w:t>
            </w:r>
          </w:p>
        </w:tc>
        <w:tc>
          <w:tcPr>
            <w:tcW w:w="1985"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FFF</w:t>
            </w:r>
          </w:p>
        </w:tc>
        <w:tc>
          <w:tcPr>
            <w:tcW w:w="2976"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“eye of tiger” sign (MRI)</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w:t>
            </w:r>
          </w:p>
        </w:tc>
      </w:tr>
      <w:tr w:rsidR="00A96D55" w:rsidRPr="00A96D55" w:rsidTr="00A96D55">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fldChar w:fldCharType="begin"/>
            </w:r>
            <w:r w:rsidRPr="00A96D55">
              <w:rPr>
                <w:rFonts w:eastAsia="Calibri"/>
                <w:color w:val="000000" w:themeColor="text1"/>
                <w:sz w:val="18"/>
                <w:szCs w:val="15"/>
              </w:rPr>
              <w:instrText xml:space="preserve"> ADDIN ZOTERO_ITEM CSL_CITATION {"citationID":"Q7SeTN31","properties":{"formattedCitation":"(Wang et al., 2020)","plainCitation":"(Wang et al., 2020)","noteIndex":0},"citationItems":[{"id":261,"uris":["http://zotero.org/users/local/S6fqyR2I/items/465AIASV"],"itemData":{"id":261,"type":"article-journal","abstract":"Objective\n              . To analyze the\n              ATP13A2\n              gene variants in the Han and Uyghur populations residing in Xinjiang and to determine their correlation with the risk of Parkinson’s disease (PD).\n              Methods\n              . Four\n              ATP13A2\n              SNVs—rs56367069 (Arg294Gln), rs151117874 (Thr12Met), rs147277743 (Ala746Thr), and rs2076603—were analyzed in 218 patients (75 Uyghurs and 143 Hans) with sporadic PD and 234 healthy controls (90 Uyghurs and 144 Hans) by Sanger DNA sequencing.\n              Results\n              . Only one Han patient harbored the AG genotype of the rs147277743 SNV, indicating a frequency of 0.46% in the Han population. In addition, this SNV was not associated with PD risk. The rs2076603 SNV was correlated with PD development, and the A allele in particular was significantly different across ethnicity and age. The rs56367069 and rs151117874 SNVs were not detected in the entire cohort.\n              Conclusion\n              .\n              ATP13A2\n              rs2076603 SNV is associated with PD susceptibility, and the A allele is a PD protective factor in the Han population.","container-title":"BioMed Research International","DOI":"10.1155/2020/6954820","ISSN":"2314-6133, 2314-6141","issue":"1","journalAbbreviation":"BioMed Research International","language":"en","page":"6954820","source":"DOI.org (Crossref)","title":"ATP13A2 Gene Variants in Patients with Parkinson’s Disease in Xinjiang","volume":"2020","author":[{"family":"Wang","given":"Dan"},{"family":"Gao","given":"Hua"},{"family":"Li","given":"Yanxia"},{"family":"Jiang","given":"Sen"},{"family":"Yang","given":"Xinling"}],"editor":[{"family":"Iannotti","given":"Fabio"}],"issued":{"date-parts":[["2020",1]]}}}],"schema":"https://github.com/citation-style-language/schema/raw/master/csl-citation.json"} </w:instrText>
            </w:r>
            <w:r w:rsidRPr="00A96D55">
              <w:rPr>
                <w:rFonts w:eastAsia="Calibri"/>
                <w:color w:val="000000" w:themeColor="text1"/>
                <w:sz w:val="18"/>
                <w:szCs w:val="15"/>
              </w:rPr>
              <w:fldChar w:fldCharType="separate"/>
            </w:r>
            <w:r w:rsidRPr="00A96D55">
              <w:rPr>
                <w:rFonts w:eastAsia="Calibri"/>
                <w:noProof/>
                <w:color w:val="000000" w:themeColor="text1"/>
                <w:sz w:val="18"/>
                <w:szCs w:val="15"/>
              </w:rPr>
              <w:t>(Wang et al., 2020)</w:t>
            </w:r>
            <w:r w:rsidRPr="00A96D55">
              <w:rPr>
                <w:rFonts w:eastAsia="Calibri"/>
                <w:color w:val="000000" w:themeColor="text1"/>
                <w:sz w:val="18"/>
                <w:szCs w:val="15"/>
              </w:rPr>
              <w:fldChar w:fldCharType="end"/>
            </w:r>
          </w:p>
        </w:tc>
        <w:tc>
          <w:tcPr>
            <w:tcW w:w="184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c.2236G&gt;A (Ala746Thr) HE</w:t>
            </w:r>
          </w:p>
        </w:tc>
        <w:tc>
          <w:tcPr>
            <w:tcW w:w="48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F</w:t>
            </w:r>
          </w:p>
        </w:tc>
        <w:tc>
          <w:tcPr>
            <w:tcW w:w="511"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46</w:t>
            </w:r>
          </w:p>
        </w:tc>
        <w:tc>
          <w:tcPr>
            <w:tcW w:w="993"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1417"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MD, PI, R, T</w:t>
            </w:r>
          </w:p>
        </w:tc>
        <w:tc>
          <w:tcPr>
            <w:tcW w:w="709"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992"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1985"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2976"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NR</w:t>
            </w:r>
          </w:p>
        </w:tc>
        <w:tc>
          <w:tcPr>
            <w:tcW w:w="1134" w:type="dxa"/>
            <w:vAlign w:val="center"/>
          </w:tcPr>
          <w:p w:rsidR="00A96D55" w:rsidRPr="00A96D55" w:rsidRDefault="00A96D55" w:rsidP="00827C44">
            <w:pPr>
              <w:jc w:val="center"/>
              <w:rPr>
                <w:rFonts w:eastAsia="Calibri"/>
                <w:color w:val="000000" w:themeColor="text1"/>
                <w:sz w:val="18"/>
                <w:szCs w:val="15"/>
              </w:rPr>
            </w:pPr>
            <w:r w:rsidRPr="00A96D55">
              <w:rPr>
                <w:rFonts w:eastAsia="Calibri"/>
                <w:color w:val="000000" w:themeColor="text1"/>
                <w:sz w:val="18"/>
                <w:szCs w:val="15"/>
              </w:rPr>
              <w:t>-</w:t>
            </w:r>
          </w:p>
        </w:tc>
      </w:tr>
    </w:tbl>
    <w:p w:rsidR="00A96D55" w:rsidRDefault="00A96D55" w:rsidP="00A96D55">
      <w:r w:rsidRPr="00A96D55">
        <w:rPr>
          <w:b/>
        </w:rPr>
        <w:t>Supplementary Table S1.</w:t>
      </w:r>
      <w:r>
        <w:t xml:space="preserve"> Patients with EOPD harboring an </w:t>
      </w:r>
      <w:r w:rsidRPr="00A96D55">
        <w:rPr>
          <w:i/>
        </w:rPr>
        <w:t>ATP13A2</w:t>
      </w:r>
      <w:r>
        <w:t xml:space="preserve"> </w:t>
      </w:r>
      <w:proofErr w:type="spellStart"/>
      <w:r>
        <w:t>pathogenetic</w:t>
      </w:r>
      <w:proofErr w:type="spellEnd"/>
      <w:r>
        <w:t xml:space="preserve"> variant in heterozygosity</w:t>
      </w:r>
    </w:p>
    <w:p w:rsidR="00A96D55" w:rsidRDefault="00A96D55" w:rsidP="00A96D55"/>
    <w:p w:rsidR="00A96D55" w:rsidRPr="004E2047" w:rsidRDefault="00A96D55" w:rsidP="004E2047">
      <w:pPr>
        <w:jc w:val="both"/>
        <w:rPr>
          <w:sz w:val="22"/>
        </w:rPr>
        <w:sectPr w:rsidR="00A96D55" w:rsidRPr="004E2047" w:rsidSect="00A96D55">
          <w:pgSz w:w="16838" w:h="11906" w:orient="landscape"/>
          <w:pgMar w:top="1134" w:right="1417" w:bottom="1134" w:left="1134" w:header="708" w:footer="708" w:gutter="0"/>
          <w:cols w:space="708"/>
          <w:docGrid w:linePitch="360"/>
        </w:sectPr>
      </w:pPr>
      <w:r w:rsidRPr="00A96D55">
        <w:rPr>
          <w:sz w:val="22"/>
        </w:rPr>
        <w:t xml:space="preserve">AO = age of onset (years), B: bradykinesia, BS = Babinski’s sign, BTR = brisk tendon reflex, C = cognitive, CD = cognitive deficit, DA = diffuse atrophy, DD = development delay, DY = dysarthria and dysphagia, </w:t>
      </w:r>
      <w:proofErr w:type="spellStart"/>
      <w:r w:rsidRPr="00A96D55">
        <w:rPr>
          <w:sz w:val="22"/>
        </w:rPr>
        <w:t>Es</w:t>
      </w:r>
      <w:proofErr w:type="spellEnd"/>
      <w:r w:rsidRPr="00A96D55">
        <w:rPr>
          <w:sz w:val="22"/>
        </w:rPr>
        <w:t xml:space="preserve"> = extrapyramidal signs and symptoms, F = fatigue, FFF = facial-</w:t>
      </w:r>
      <w:proofErr w:type="spellStart"/>
      <w:r w:rsidRPr="00A96D55">
        <w:rPr>
          <w:sz w:val="22"/>
        </w:rPr>
        <w:t>faucial</w:t>
      </w:r>
      <w:proofErr w:type="spellEnd"/>
      <w:r w:rsidRPr="00A96D55">
        <w:rPr>
          <w:sz w:val="22"/>
        </w:rPr>
        <w:t>-finger mini-myoclonus, G = gait disturbance, H = hype</w:t>
      </w:r>
      <w:r w:rsidR="000278B2">
        <w:rPr>
          <w:sz w:val="22"/>
        </w:rPr>
        <w:t>rreflexia, HE = heterozygosity</w:t>
      </w:r>
      <w:r w:rsidRPr="00A96D55">
        <w:rPr>
          <w:sz w:val="22"/>
        </w:rPr>
        <w:t xml:space="preserve">, I = incontinence (urinary and/or fecal), IS = initial symptoms,  LD = learning difficulties, LR = levodopa response, MC = myoclonus, MD = movement disorder (dystonia, dyskinesia), NO = normal/not observed, NR = non reported, O = </w:t>
      </w:r>
      <w:proofErr w:type="spellStart"/>
      <w:r w:rsidRPr="00A96D55">
        <w:rPr>
          <w:sz w:val="22"/>
        </w:rPr>
        <w:t>oculomotion</w:t>
      </w:r>
      <w:proofErr w:type="spellEnd"/>
      <w:r w:rsidRPr="00A96D55">
        <w:rPr>
          <w:sz w:val="22"/>
        </w:rPr>
        <w:t xml:space="preserve">, OF = other finding, OP = our patient, P = pyramidal signs and symptoms, PE = psychotic episodes, PI = postural instability, PN = patient number, R= rigidity, S = sex, Si = </w:t>
      </w:r>
      <w:proofErr w:type="spellStart"/>
      <w:r w:rsidRPr="00A96D55">
        <w:rPr>
          <w:sz w:val="22"/>
        </w:rPr>
        <w:t>sialorrhea</w:t>
      </w:r>
      <w:proofErr w:type="spellEnd"/>
      <w:r w:rsidRPr="00A96D55">
        <w:rPr>
          <w:sz w:val="22"/>
        </w:rPr>
        <w:t xml:space="preserve">, SH = slowed horizontal saccade eye movement, </w:t>
      </w:r>
      <w:proofErr w:type="spellStart"/>
      <w:r w:rsidRPr="00A96D55">
        <w:rPr>
          <w:sz w:val="22"/>
        </w:rPr>
        <w:t>Sp</w:t>
      </w:r>
      <w:proofErr w:type="spellEnd"/>
      <w:r w:rsidRPr="00A96D55">
        <w:rPr>
          <w:sz w:val="22"/>
        </w:rPr>
        <w:t xml:space="preserve"> = spasticity, SUP =</w:t>
      </w:r>
      <w:proofErr w:type="spellStart"/>
      <w:r w:rsidRPr="00A96D55">
        <w:rPr>
          <w:sz w:val="22"/>
        </w:rPr>
        <w:t>supranuclear</w:t>
      </w:r>
      <w:proofErr w:type="spellEnd"/>
      <w:r w:rsidRPr="00A96D55">
        <w:rPr>
          <w:sz w:val="22"/>
        </w:rPr>
        <w:t xml:space="preserve"> up-gaze palsy,  SV = slowed vertical saccade eye movement, T = tremor</w:t>
      </w:r>
      <w:r w:rsidR="004E2047">
        <w:rPr>
          <w:sz w:val="22"/>
        </w:rPr>
        <w:t>, VH = visual hallucination</w:t>
      </w:r>
      <w:bookmarkStart w:id="0" w:name="_GoBack"/>
      <w:bookmarkEnd w:id="0"/>
    </w:p>
    <w:p w:rsidR="0088419D" w:rsidRDefault="0088419D" w:rsidP="00A96D55">
      <w:pPr>
        <w:spacing w:after="160" w:line="259" w:lineRule="auto"/>
      </w:pPr>
    </w:p>
    <w:sectPr w:rsidR="0088419D" w:rsidSect="00A96D55">
      <w:pgSz w:w="11906" w:h="16838"/>
      <w:pgMar w:top="1418"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6D55"/>
    <w:rsid w:val="000278B2"/>
    <w:rsid w:val="004E2047"/>
    <w:rsid w:val="0088419D"/>
    <w:rsid w:val="00A96D55"/>
    <w:rsid w:val="00DD666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8CCE8B"/>
  <w15:chartTrackingRefBased/>
  <w15:docId w15:val="{A073DD0C-33DD-4121-ABCD-803B3F069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A96D55"/>
    <w:pPr>
      <w:spacing w:after="0" w:line="240" w:lineRule="auto"/>
    </w:pPr>
    <w:rPr>
      <w:rFonts w:ascii="Times New Roman" w:eastAsia="Times New Roman" w:hAnsi="Times New Roman" w:cs="Times New Roman"/>
      <w:sz w:val="24"/>
      <w:szCs w:val="24"/>
      <w:lang w:val="en-US"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2</Pages>
  <Words>2335</Words>
  <Characters>13310</Characters>
  <Application>Microsoft Office Word</Application>
  <DocSecurity>0</DocSecurity>
  <Lines>110</Lines>
  <Paragraphs>31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f.palombo</dc:creator>
  <cp:keywords/>
  <dc:description/>
  <cp:lastModifiedBy>f.palombo</cp:lastModifiedBy>
  <cp:revision>3</cp:revision>
  <dcterms:created xsi:type="dcterms:W3CDTF">2025-02-09T19:22:00Z</dcterms:created>
  <dcterms:modified xsi:type="dcterms:W3CDTF">2025-03-02T18:42:00Z</dcterms:modified>
</cp:coreProperties>
</file>