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92107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5A7D30B7" w14:textId="12D6F1E8" w:rsidR="00664B83" w:rsidRDefault="4BF34387" w:rsidP="5D82C3E7">
      <w:pPr>
        <w:spacing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D82C3E7">
        <w:rPr>
          <w:rFonts w:ascii="Times New Roman" w:eastAsia="Times New Roman" w:hAnsi="Times New Roman" w:cs="Times New Roman"/>
          <w:b/>
          <w:bCs/>
          <w:sz w:val="28"/>
          <w:szCs w:val="28"/>
        </w:rPr>
        <w:t>Supplement 1</w:t>
      </w:r>
    </w:p>
    <w:p w14:paraId="6790215F" w14:textId="77777777" w:rsidR="00D561F9" w:rsidRPr="00D561F9" w:rsidRDefault="00D561F9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08D101D" w14:textId="6E1CCAEA" w:rsidR="00D561F9" w:rsidRPr="00D561F9" w:rsidRDefault="01B311B9" w:rsidP="5D82C3E7">
      <w:pPr>
        <w:pStyle w:val="Paragrafoelenco"/>
        <w:numPr>
          <w:ilvl w:val="0"/>
          <w:numId w:val="1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eMethods1, p.2</w:t>
      </w:r>
    </w:p>
    <w:p w14:paraId="52E70ACB" w14:textId="77777777" w:rsidR="00D561F9" w:rsidRDefault="00D561F9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62760DC" w14:textId="7C0B4DB3" w:rsidR="00D561F9" w:rsidRPr="00D561F9" w:rsidRDefault="01B311B9" w:rsidP="5D82C3E7">
      <w:pPr>
        <w:pStyle w:val="Paragrafoelenco"/>
        <w:numPr>
          <w:ilvl w:val="0"/>
          <w:numId w:val="1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eMethods2, pp.3-4</w:t>
      </w:r>
    </w:p>
    <w:p w14:paraId="06A2CE81" w14:textId="77777777" w:rsidR="00D561F9" w:rsidRDefault="00D561F9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4D2434F6" w14:textId="539CD038" w:rsidR="01B311B9" w:rsidRDefault="01B311B9" w:rsidP="5D82C3E7">
      <w:pPr>
        <w:pStyle w:val="Paragrafoelenco"/>
        <w:numPr>
          <w:ilvl w:val="0"/>
          <w:numId w:val="1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eMethods3, p.5</w:t>
      </w:r>
    </w:p>
    <w:p w14:paraId="439B72A6" w14:textId="12324850" w:rsidR="5D82C3E7" w:rsidRDefault="5D82C3E7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DCF7A8C" w14:textId="794C768E" w:rsidR="0FD8467A" w:rsidRDefault="0FD8467A" w:rsidP="5D82C3E7">
      <w:pPr>
        <w:pStyle w:val="Paragrafoelenco"/>
        <w:numPr>
          <w:ilvl w:val="0"/>
          <w:numId w:val="1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Table S4, p.6</w:t>
      </w:r>
    </w:p>
    <w:p w14:paraId="26865FCA" w14:textId="38749EB4" w:rsidR="5D82C3E7" w:rsidRDefault="5D82C3E7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75999B" w14:textId="62B8EA7E" w:rsidR="0FD8467A" w:rsidRDefault="0FD8467A" w:rsidP="5D82C3E7">
      <w:pPr>
        <w:pStyle w:val="Paragrafoelenco"/>
        <w:numPr>
          <w:ilvl w:val="0"/>
          <w:numId w:val="1"/>
        </w:num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Table S5, p.6</w:t>
      </w:r>
    </w:p>
    <w:p w14:paraId="04750929" w14:textId="75BC45AF" w:rsidR="5D82C3E7" w:rsidRDefault="5D82C3E7" w:rsidP="5D82C3E7">
      <w:pPr>
        <w:pStyle w:val="Paragrafoelenco"/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04B447" w14:textId="77777777" w:rsidR="00D561F9" w:rsidRDefault="00D561F9" w:rsidP="5D82C3E7">
      <w:pPr>
        <w:pStyle w:val="Paragrafoelenco"/>
        <w:rPr>
          <w:rFonts w:ascii="Times New Roman" w:eastAsia="Times New Roman" w:hAnsi="Times New Roman" w:cs="Times New Roman"/>
          <w:sz w:val="24"/>
          <w:szCs w:val="24"/>
        </w:rPr>
      </w:pPr>
    </w:p>
    <w:p w14:paraId="50E2326A" w14:textId="77777777" w:rsidR="000F7F1C" w:rsidRPr="00D561F9" w:rsidRDefault="000F7F1C" w:rsidP="5D82C3E7">
      <w:pPr>
        <w:pStyle w:val="Paragrafoelenco"/>
        <w:rPr>
          <w:rFonts w:ascii="Times New Roman" w:eastAsia="Times New Roman" w:hAnsi="Times New Roman" w:cs="Times New Roman"/>
          <w:sz w:val="24"/>
          <w:szCs w:val="24"/>
        </w:rPr>
      </w:pPr>
    </w:p>
    <w:p w14:paraId="7759259B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2F63B77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8027D3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3E22385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F132A17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18837E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EB3CA99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151442B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FD1B43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8C75E3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F97D743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535C72A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CBE3FB8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0843574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E0CCFCF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77903A7" w14:textId="77777777" w:rsidR="00D561F9" w:rsidRDefault="00D561F9" w:rsidP="5D82C3E7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A13D060" w14:textId="06A5A99A" w:rsidR="23363BC8" w:rsidRDefault="23363BC8" w:rsidP="23363BC8">
      <w:pPr>
        <w:spacing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5C4CD0C" w14:textId="5A8B1956" w:rsidR="00D561F9" w:rsidRPr="00D561F9" w:rsidRDefault="01B311B9" w:rsidP="5D82C3E7">
      <w:pPr>
        <w:pStyle w:val="Paragrafoelenco"/>
        <w:spacing w:line="276" w:lineRule="auto"/>
        <w:ind w:left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D82C3E7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eMethods1</w:t>
      </w:r>
    </w:p>
    <w:p w14:paraId="4A88680B" w14:textId="08B79466" w:rsidR="005D0DB1" w:rsidRPr="00D561F9" w:rsidRDefault="2ECCDDA7" w:rsidP="23363BC8">
      <w:pPr>
        <w:spacing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23363BC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Search </w:t>
      </w:r>
      <w:r w:rsidR="2AC51E75" w:rsidRPr="23363BC8">
        <w:rPr>
          <w:rFonts w:ascii="Times New Roman" w:eastAsia="Times New Roman" w:hAnsi="Times New Roman" w:cs="Times New Roman"/>
          <w:i/>
          <w:iCs/>
          <w:sz w:val="24"/>
          <w:szCs w:val="24"/>
        </w:rPr>
        <w:t>strategies</w:t>
      </w:r>
    </w:p>
    <w:p w14:paraId="64512470" w14:textId="321A67CC" w:rsidR="005D0DB1" w:rsidRPr="00D561F9" w:rsidRDefault="536DAD7E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MEDLINE (PubMed)</w:t>
      </w:r>
    </w:p>
    <w:p w14:paraId="74B02DB6" w14:textId="153B0C85" w:rsidR="00752C69" w:rsidRDefault="536DAD7E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(("head impulse test"[MeSH Terms] OR "head impulse test"[Title/Abstract] OR "HINTS"[Title/Abstract]) AND ("stroke"[MeSH Terms] OR "stroke"[Title/Abstract] OR "infarction"[Title/Abstract])) AND (2009:2024[pdat])</w:t>
      </w:r>
    </w:p>
    <w:p w14:paraId="0515C712" w14:textId="51CB2C1A" w:rsidR="005D0DB1" w:rsidRPr="00D561F9" w:rsidRDefault="536DAD7E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CENTRAL</w:t>
      </w:r>
    </w:p>
    <w:p w14:paraId="7AD316CE" w14:textId="63AD4969" w:rsidR="005D0DB1" w:rsidRDefault="536DAD7E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0B45074F" wp14:editId="3E7D4BAF">
            <wp:extent cx="5735318" cy="1903730"/>
            <wp:effectExtent l="0" t="0" r="0" b="1270"/>
            <wp:docPr id="139837681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5318" cy="1903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E7A1B6" w14:textId="147EAC30" w:rsidR="005D0DB1" w:rsidRPr="00D561F9" w:rsidRDefault="536DAD7E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CINAHL</w:t>
      </w:r>
    </w:p>
    <w:p w14:paraId="551D4967" w14:textId="709C0D83" w:rsidR="005D0DB1" w:rsidRDefault="536DAD7E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52E10E49" wp14:editId="7D9026D4">
            <wp:extent cx="5735318" cy="1435100"/>
            <wp:effectExtent l="0" t="0" r="0" b="0"/>
            <wp:docPr id="43609135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5318" cy="143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B4DECF" w14:textId="71A96820" w:rsidR="005D0DB1" w:rsidRPr="00D561F9" w:rsidRDefault="536DAD7E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SCOPUS</w:t>
      </w:r>
    </w:p>
    <w:p w14:paraId="7D6A7F78" w14:textId="52CDD892" w:rsidR="005D0DB1" w:rsidRDefault="536DAD7E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(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TITLE-ABS-KEY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head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AND impulse AND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test )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) OR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title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>-abs-key {HINTS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} )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) AND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(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TITLE-ABS-KEY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stroke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) )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OR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TITLE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-ABS-KEY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( infarction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) )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) AND PUBYEAR &gt; 2008 AND PUBYEAR &lt; 2025</w:t>
      </w:r>
    </w:p>
    <w:p w14:paraId="35DF5A14" w14:textId="77777777" w:rsidR="00D561F9" w:rsidRDefault="00D561F9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F2AC81F" w14:textId="77777777" w:rsidR="00D561F9" w:rsidRDefault="00D561F9" w:rsidP="5D82C3E7">
      <w:pPr>
        <w:pStyle w:val="Paragrafoelenco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09B31674" w14:textId="77777777" w:rsidR="000F7F1C" w:rsidRDefault="000F7F1C" w:rsidP="5D82C3E7">
      <w:pPr>
        <w:pStyle w:val="Paragrafoelenco"/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14:paraId="21B8BDE8" w14:textId="674C2826" w:rsidR="00D561F9" w:rsidRPr="00D561F9" w:rsidRDefault="01B311B9" w:rsidP="5D82C3E7">
      <w:pPr>
        <w:pStyle w:val="Paragrafoelenco"/>
        <w:spacing w:line="360" w:lineRule="auto"/>
        <w:ind w:left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5D82C3E7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eMethods2</w:t>
      </w:r>
    </w:p>
    <w:p w14:paraId="1A737BAF" w14:textId="77777777" w:rsidR="00D561F9" w:rsidRPr="00D561F9" w:rsidRDefault="01B311B9" w:rsidP="5D82C3E7">
      <w:pPr>
        <w:spacing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List of excluded studies</w:t>
      </w:r>
    </w:p>
    <w:p w14:paraId="0E004C30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Wrong index test</w:t>
      </w:r>
    </w:p>
    <w:p w14:paraId="3C777D78" w14:textId="77777777" w:rsidR="00D561F9" w:rsidRDefault="01B311B9" w:rsidP="5D82C3E7">
      <w:pPr>
        <w:pStyle w:val="Paragrafoelenco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Tamás, T. L., Garai, T., Király, I., Mike, A., Nagy, C., Paukovics, Á., Schmidt, P., Szatmári, F., Tompos, T., Vadvári, Á., &amp; Szirmai, Á. (2017). Az akut vestibularis szindróma sürgősségi diagnosztikájával szerzett tapasztalatok [Emergency diagnosis of the acute vestibular syndrome]. Orvosi hetilap, 158(51), 2029–2040. </w:t>
      </w:r>
      <w:hyperlink r:id="rId9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https://doi.org/10.1556/650.2017.30886</w:t>
        </w:r>
      </w:hyperlink>
    </w:p>
    <w:p w14:paraId="4F1528A1" w14:textId="77777777" w:rsidR="00D561F9" w:rsidRDefault="01B311B9" w:rsidP="5D82C3E7">
      <w:pPr>
        <w:pStyle w:val="Paragrafoelenco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Nouini, A., Mat, Q., Van Nechel, C., Bostan, A., Dachy, B., &amp; Ourtani, A. (2023). </w:t>
      </w: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Diagnosis of dizziness in the emergency department: A 1-year prospective single-center study. Journal of vestibular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research :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equilibrium &amp; orientation, 33(3), 195–202. </w:t>
      </w:r>
      <w:hyperlink r:id="rId10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https://doi.org/10.3233/VES-220109</w:t>
        </w:r>
      </w:hyperlink>
    </w:p>
    <w:p w14:paraId="79C47FA0" w14:textId="77777777" w:rsidR="00D561F9" w:rsidRPr="00690A94" w:rsidRDefault="01B311B9" w:rsidP="5D82C3E7">
      <w:pPr>
        <w:pStyle w:val="Paragrafoelenco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>Bery, A. K., &amp; Chang, T. P. (2022). Positive horizontal-canal head impulse test is not a benign sign for acute vestibular syndrome with hearing loss. </w:t>
      </w: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Frontiers in neurology</w:t>
      </w:r>
      <w:r w:rsidRPr="5D82C3E7">
        <w:rPr>
          <w:rFonts w:ascii="Times New Roman" w:eastAsia="Times New Roman" w:hAnsi="Times New Roman" w:cs="Times New Roman"/>
          <w:sz w:val="24"/>
          <w:szCs w:val="24"/>
        </w:rPr>
        <w:t>, </w:t>
      </w: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13</w:t>
      </w: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, 941909. </w:t>
      </w:r>
      <w:hyperlink r:id="rId11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</w:rPr>
          <w:t>https://doi.org/10.3389/fneur.2022.941909</w:t>
        </w:r>
      </w:hyperlink>
    </w:p>
    <w:p w14:paraId="026126D9" w14:textId="77777777" w:rsidR="00D561F9" w:rsidRDefault="01B311B9" w:rsidP="5D82C3E7">
      <w:pPr>
        <w:pStyle w:val="Paragrafoelenco"/>
        <w:numPr>
          <w:ilvl w:val="0"/>
          <w:numId w:val="3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Pudszuhn, A., Heinzelmann, A., Schönfeld, U., Niehues, S. M., &amp; Hofmann, V. M. (2020). Akutes vestibuläres Syndrom in der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Notaufnahme :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Klinische Differenzierung von peripherer vs. zentraler Vestibulopathie [Acute vestibular syndrome in emergency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departments :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Clinical differentiation of peripheral and central vestibulopathy]. </w:t>
      </w: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HNO</w:t>
      </w:r>
      <w:r w:rsidRPr="5D82C3E7">
        <w:rPr>
          <w:rFonts w:ascii="Times New Roman" w:eastAsia="Times New Roman" w:hAnsi="Times New Roman" w:cs="Times New Roman"/>
          <w:sz w:val="24"/>
          <w:szCs w:val="24"/>
        </w:rPr>
        <w:t>, </w:t>
      </w: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68</w:t>
      </w: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(5), 367–378. </w:t>
      </w:r>
      <w:hyperlink r:id="rId12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</w:rPr>
          <w:t>https://doi.org/10.1007/s00106-019-0721-8</w:t>
        </w:r>
      </w:hyperlink>
    </w:p>
    <w:p w14:paraId="641C00E9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Wrong population</w:t>
      </w:r>
    </w:p>
    <w:p w14:paraId="215BDFB0" w14:textId="77777777" w:rsidR="00D561F9" w:rsidRDefault="01B311B9" w:rsidP="5D82C3E7">
      <w:pPr>
        <w:pStyle w:val="Paragrafoelenco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Pogson, J. M., Taylor, R. L., Young, A. S., McGarvie, L. A., Flanagan, S., Halmagyi, G. M., &amp; Welgampola, M. S. (2016). Vertigo with sudden hearing loss: audio-vestibular characteristics. Journal of neurology, 263(10), 2086–2096. </w:t>
      </w:r>
      <w:hyperlink r:id="rId13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https://doi.org/10.1007/s00415-016-8214-0</w:t>
        </w:r>
      </w:hyperlink>
    </w:p>
    <w:p w14:paraId="5CA122C6" w14:textId="77777777" w:rsidR="00D561F9" w:rsidRDefault="01B311B9" w:rsidP="5D82C3E7">
      <w:pPr>
        <w:pStyle w:val="Paragrafoelenco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Ha, S. H., Lee, D. K., Park, G., Kim, B. J., Chang, J. Y., Kang, D. W., Kwon, S. U., Kim, J. S., Park, H. J., &amp; Lee, E. J. (2023). Prospective analysis of video head impulse tests in patients with acute posterior circulation stroke. Frontiers in neurology, 14, 1256826. </w:t>
      </w:r>
      <w:hyperlink r:id="rId14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https://doi.org/10.3389/fneur.2023.1256826</w:t>
        </w:r>
      </w:hyperlink>
    </w:p>
    <w:p w14:paraId="2CBFFCD8" w14:textId="77777777" w:rsidR="00D561F9" w:rsidRPr="00690A94" w:rsidRDefault="01B311B9" w:rsidP="5D82C3E7">
      <w:pPr>
        <w:pStyle w:val="Paragrafoelenco"/>
        <w:numPr>
          <w:ilvl w:val="0"/>
          <w:numId w:val="6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Calic, Z., Nham, B., Bradshaw, A. P., Young, A. S., Bhaskar, S., D'Souza, M., Anderson, C. S., Cappelen-Smith, C., Cordato, D., &amp; Welgampola, M. S. (2020). Separating posterior-circulation stroke from vestibular neuritis with quantitative vestibular testing. Clinical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neurophysiology :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official journal of the International Federation of Clinical Neurophysiology, 131(8), 2047–2055. https://doi.org/10.1016/j.clinph.2020.04.173</w:t>
      </w:r>
    </w:p>
    <w:p w14:paraId="5C53A80F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Wrong study design</w:t>
      </w:r>
    </w:p>
    <w:p w14:paraId="10632D21" w14:textId="77777777" w:rsidR="00D561F9" w:rsidRDefault="01B311B9" w:rsidP="5D82C3E7">
      <w:pPr>
        <w:pStyle w:val="Paragrafoelenco"/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Saro-Buendía, Miguel &amp; Mas-Estelles, Fernando &amp; Armengot, Miguel &amp; Perez Guillen, Vanesa. </w:t>
      </w: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(2024). Vertebral artery dissection presenting as isolated acute vestibular syndrome. Medicina Clínica Práctica. 7. 100418. 10.1016/j.mcpsp.2023.100418.</w:t>
      </w:r>
    </w:p>
    <w:p w14:paraId="47C7111F" w14:textId="77777777" w:rsidR="00D561F9" w:rsidRPr="00C85319" w:rsidRDefault="01B311B9" w:rsidP="5D82C3E7">
      <w:pPr>
        <w:pStyle w:val="Paragrafoelenco"/>
        <w:numPr>
          <w:ilvl w:val="0"/>
          <w:numId w:val="2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Pavičić, T., Ruška, B., Pavlović, I., Crnošija, L., Krbot Skorić, M.,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</w:rPr>
        <w:t>Adamec,,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 I. &amp; Habek, M. (2017). VIDEO HEAD IMPULSE TEST – EYE ECG. </w:t>
      </w: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Liječnički vjesnik, 139</w:t>
      </w:r>
      <w:r w:rsidRPr="5D82C3E7">
        <w:rPr>
          <w:rFonts w:ascii="Times New Roman" w:eastAsia="Times New Roman" w:hAnsi="Times New Roman" w:cs="Times New Roman"/>
          <w:sz w:val="24"/>
          <w:szCs w:val="24"/>
        </w:rPr>
        <w:t> (9-10), 0-0. Retrieved from https://hrcak.srce.hr/193281</w:t>
      </w:r>
    </w:p>
    <w:p w14:paraId="3AE8ACB3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Wrong publication type</w:t>
      </w:r>
    </w:p>
    <w:p w14:paraId="0B363216" w14:textId="77777777" w:rsidR="00D561F9" w:rsidRPr="00C85319" w:rsidRDefault="01B311B9" w:rsidP="5D82C3E7">
      <w:pPr>
        <w:pStyle w:val="Paragrafoelenco"/>
        <w:numPr>
          <w:ilvl w:val="0"/>
          <w:numId w:val="4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Tischer, C, Pallesen, LP, Puetz, V, Barlinn, J, Timo, S, Barlinn, K. (2017). Diagnostic value of videooculography-based hints plus exam in acute vestibular syndrome: an ongoing study. European stroke journal, 2(1), 337. </w:t>
      </w:r>
      <w:hyperlink r:id="rId15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</w:rPr>
          <w:t>https://doi.org/10.1177/2396987317705242</w:t>
        </w:r>
      </w:hyperlink>
    </w:p>
    <w:p w14:paraId="392C2E6A" w14:textId="77777777" w:rsidR="00D561F9" w:rsidRDefault="01B311B9" w:rsidP="5D82C3E7">
      <w:pPr>
        <w:pStyle w:val="Paragrafoelenco"/>
        <w:numPr>
          <w:ilvl w:val="0"/>
          <w:numId w:val="4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</w:rPr>
        <w:t xml:space="preserve">Siepmann, T, Gruener, C, Simon, E, Winzer, S, Sedghi, A, Pallesen, L-P, Barlinn, J, Puetz, V, Barlinn, K. (2021). Caloric testing combined with assessment of nystagmus, skew and hearing loss outperforms conventional and videooculography supported hints-plus. European stroke journal, 6(1), 177-178. </w:t>
      </w:r>
      <w:hyperlink r:id="rId16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</w:rPr>
          <w:t>https://doi.org/10.1177/23969873211034932</w:t>
        </w:r>
      </w:hyperlink>
    </w:p>
    <w:p w14:paraId="6EFD69BA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Wrong reference test</w:t>
      </w:r>
    </w:p>
    <w:p w14:paraId="0ACE00E1" w14:textId="77777777" w:rsidR="00D561F9" w:rsidRDefault="01B311B9" w:rsidP="5D82C3E7">
      <w:pPr>
        <w:pStyle w:val="Paragrafoelenco"/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it-IT"/>
        </w:rPr>
        <w:t xml:space="preserve">Olivecrona, E., Zborayova, K., Barrenäs, M. L., &amp; Salzer, J. (2022). </w:t>
      </w: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Comparison Between the Video Head Impulse Test and Caloric Irrigation During Acute Vertigo. Indian journal of otolaryngology and head and neck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surgery :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official publication of the Association of Otolaryngologists of India, 74(Suppl 3), 4475–4482. </w:t>
      </w:r>
      <w:hyperlink r:id="rId17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https://doi.org/10.1007/s12070-022-03123-z</w:t>
        </w:r>
      </w:hyperlink>
    </w:p>
    <w:p w14:paraId="1C047867" w14:textId="77777777" w:rsidR="00D561F9" w:rsidRPr="00D561F9" w:rsidRDefault="01B311B9" w:rsidP="5D82C3E7">
      <w:pPr>
        <w:pStyle w:val="Paragrafoelenco"/>
        <w:numPr>
          <w:ilvl w:val="0"/>
          <w:numId w:val="5"/>
        </w:num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Machner, B., Erber, K., Choi, J. H., Sprenger, A., Helmchen, C., &amp; Trillenberg, P. (2021). A Simple Gain-Based Evaluation of the Video Head Impulse Test Reliably Detects Normal Vestibulo-Ocular Reflex Indicative of Stroke in Patients </w:t>
      </w:r>
      <w:proofErr w:type="gramStart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>With</w:t>
      </w:r>
      <w:proofErr w:type="gramEnd"/>
      <w:r w:rsidRPr="5D82C3E7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Acute Vestibular Syndrome. Frontiers in neurology, 12, 741859. </w:t>
      </w:r>
      <w:hyperlink r:id="rId18">
        <w:r w:rsidRPr="5D82C3E7">
          <w:rPr>
            <w:rStyle w:val="Collegamentoipertestuale"/>
            <w:rFonts w:ascii="Times New Roman" w:eastAsia="Times New Roman" w:hAnsi="Times New Roman" w:cs="Times New Roman"/>
            <w:sz w:val="24"/>
            <w:szCs w:val="24"/>
            <w:lang w:val="en-GB"/>
          </w:rPr>
          <w:t>https://doi.org/10.3389/fneur.2021.741859</w:t>
        </w:r>
      </w:hyperlink>
    </w:p>
    <w:p w14:paraId="68811891" w14:textId="77777777" w:rsidR="00D561F9" w:rsidRDefault="00D561F9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38DC8C96" w14:textId="42085BB7" w:rsidR="23363BC8" w:rsidRDefault="23363BC8" w:rsidP="23363BC8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6CAA98F5" w14:textId="407BD744" w:rsidR="23363BC8" w:rsidRDefault="23363BC8" w:rsidP="23363BC8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14:paraId="46360E50" w14:textId="78F6DC80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GB"/>
        </w:rPr>
      </w:pPr>
      <w:r w:rsidRPr="5D82C3E7">
        <w:rPr>
          <w:rFonts w:ascii="Times New Roman" w:eastAsia="Times New Roman" w:hAnsi="Times New Roman" w:cs="Times New Roman"/>
          <w:b/>
          <w:bCs/>
          <w:sz w:val="28"/>
          <w:szCs w:val="28"/>
          <w:lang w:val="en-GB"/>
        </w:rPr>
        <w:t>eMethods3</w:t>
      </w:r>
    </w:p>
    <w:p w14:paraId="529003FB" w14:textId="77777777" w:rsidR="00D561F9" w:rsidRPr="00D561F9" w:rsidRDefault="01B311B9" w:rsidP="5D82C3E7">
      <w:pPr>
        <w:spacing w:line="276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</w:rPr>
        <w:t>Sensitivity analyses</w:t>
      </w:r>
    </w:p>
    <w:p w14:paraId="79F58CAC" w14:textId="77777777" w:rsidR="00D561F9" w:rsidRP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i/>
          <w:iCs/>
          <w:sz w:val="24"/>
          <w:szCs w:val="24"/>
          <w:lang w:val="en-GB"/>
        </w:rPr>
        <w:t>All studies included (n = 13)</w:t>
      </w:r>
    </w:p>
    <w:p w14:paraId="5C22902E" w14:textId="77777777" w:rsidR="00D561F9" w:rsidRDefault="01B311B9" w:rsidP="5D82C3E7">
      <w:pPr>
        <w:spacing w:line="36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2A820E12" wp14:editId="4AA42C96">
            <wp:extent cx="5315691" cy="4715534"/>
            <wp:effectExtent l="0" t="0" r="0" b="8890"/>
            <wp:docPr id="3690263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5691" cy="4715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20B8E" w14:textId="77777777" w:rsidR="00D561F9" w:rsidRPr="005D0DB1" w:rsidRDefault="01B311B9" w:rsidP="5D82C3E7">
      <w:pPr>
        <w:spacing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10E0243F" wp14:editId="5396F279">
            <wp:extent cx="3400425" cy="2077724"/>
            <wp:effectExtent l="0" t="0" r="0" b="0"/>
            <wp:docPr id="8858396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0425" cy="207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784F5" w14:textId="5BECEA51" w:rsidR="5D82C3E7" w:rsidRDefault="5D82C3E7" w:rsidP="5D82C3E7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</w:p>
    <w:p w14:paraId="1B97E3FA" w14:textId="5AFB0E96" w:rsidR="790929E5" w:rsidRDefault="0F3ECC61" w:rsidP="5D82C3E7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23363BC8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Table S4</w:t>
      </w:r>
    </w:p>
    <w:p w14:paraId="73BDBA94" w14:textId="5E438154" w:rsidR="5D82C3E7" w:rsidRDefault="19D4A0AF" w:rsidP="5D82C3E7">
      <w:pPr>
        <w:spacing w:line="360" w:lineRule="auto"/>
      </w:pPr>
      <w:r>
        <w:rPr>
          <w:noProof/>
        </w:rPr>
        <w:drawing>
          <wp:inline distT="0" distB="0" distL="0" distR="0" wp14:anchorId="4B86F985" wp14:editId="222D749E">
            <wp:extent cx="6124574" cy="3676650"/>
            <wp:effectExtent l="0" t="0" r="0" b="0"/>
            <wp:docPr id="705341556" name="Immagine 7053415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4" cy="367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198E5" w14:textId="1CD9A502" w:rsidR="00D561F9" w:rsidRPr="005D0DB1" w:rsidRDefault="442EB129" w:rsidP="5D82C3E7">
      <w:pPr>
        <w:spacing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5D82C3E7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Table S</w:t>
      </w:r>
      <w:r w:rsidR="2895A2C2" w:rsidRPr="5D82C3E7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5</w:t>
      </w:r>
    </w:p>
    <w:p w14:paraId="25CFF743" w14:textId="33214F41" w:rsidR="23203232" w:rsidRDefault="23203232" w:rsidP="5D82C3E7">
      <w:pPr>
        <w:spacing w:line="360" w:lineRule="auto"/>
        <w:rPr>
          <w:rFonts w:ascii="Times New Roman" w:eastAsia="Times New Roman" w:hAnsi="Times New Roman" w:cs="Times New Roman"/>
          <w:b/>
          <w:bCs/>
          <w:sz w:val="20"/>
          <w:szCs w:val="20"/>
          <w:highlight w:val="yellow"/>
          <w:lang w:val="en-GB"/>
        </w:rPr>
      </w:pPr>
      <w:r w:rsidRPr="5D82C3E7">
        <w:rPr>
          <w:rFonts w:ascii="Times New Roman" w:eastAsia="Times New Roman" w:hAnsi="Times New Roman" w:cs="Times New Roman"/>
          <w:b/>
          <w:bCs/>
          <w:sz w:val="20"/>
          <w:szCs w:val="20"/>
          <w:highlight w:val="yellow"/>
          <w:lang w:val="en-GB"/>
        </w:rPr>
        <w:t>Overlap matrix</w:t>
      </w:r>
    </w:p>
    <w:tbl>
      <w:tblPr>
        <w:tblStyle w:val="Grigliatabella"/>
        <w:tblW w:w="0" w:type="auto"/>
        <w:tblLayout w:type="fixed"/>
        <w:tblLook w:val="06A0" w:firstRow="1" w:lastRow="0" w:firstColumn="1" w:lastColumn="0" w:noHBand="1" w:noVBand="1"/>
      </w:tblPr>
      <w:tblGrid>
        <w:gridCol w:w="2408"/>
        <w:gridCol w:w="2408"/>
        <w:gridCol w:w="2408"/>
        <w:gridCol w:w="2408"/>
      </w:tblGrid>
      <w:tr w:rsidR="5D82C3E7" w14:paraId="2A613BB0" w14:textId="77777777" w:rsidTr="5D82C3E7">
        <w:trPr>
          <w:trHeight w:val="300"/>
        </w:trPr>
        <w:tc>
          <w:tcPr>
            <w:tcW w:w="2408" w:type="dxa"/>
          </w:tcPr>
          <w:p w14:paraId="3988DD4B" w14:textId="257729CB" w:rsidR="5D82C3E7" w:rsidRDefault="5D82C3E7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</w:tcPr>
          <w:p w14:paraId="1F6666AB" w14:textId="5351B4F9" w:rsidR="631FF39C" w:rsidRDefault="631FF39C" w:rsidP="5D82C3E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  <w:t>Michailidou, 2024</w:t>
            </w:r>
            <w:r w:rsidR="0FFCD1B9"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36</w:t>
            </w:r>
          </w:p>
        </w:tc>
        <w:tc>
          <w:tcPr>
            <w:tcW w:w="2408" w:type="dxa"/>
          </w:tcPr>
          <w:p w14:paraId="31BCB08D" w14:textId="26B7D914" w:rsidR="6A520F39" w:rsidRDefault="6A520F39" w:rsidP="5D82C3E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  <w:t>Mantokoudis, 2015</w:t>
            </w:r>
            <w:r w:rsidR="3D213333"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35</w:t>
            </w:r>
          </w:p>
        </w:tc>
        <w:tc>
          <w:tcPr>
            <w:tcW w:w="2408" w:type="dxa"/>
          </w:tcPr>
          <w:p w14:paraId="0C4B6689" w14:textId="5EA17382" w:rsidR="70536F92" w:rsidRDefault="70536F92" w:rsidP="5D82C3E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highlight w:val="yellow"/>
                <w:lang w:val="en-GB"/>
              </w:rPr>
              <w:t>Nham, 2023</w:t>
            </w:r>
            <w:r w:rsidR="5F15FA6D"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38</w:t>
            </w:r>
          </w:p>
        </w:tc>
      </w:tr>
      <w:tr w:rsidR="5D82C3E7" w14:paraId="53ABFDCA" w14:textId="77777777" w:rsidTr="5D82C3E7">
        <w:trPr>
          <w:trHeight w:val="300"/>
        </w:trPr>
        <w:tc>
          <w:tcPr>
            <w:tcW w:w="2408" w:type="dxa"/>
          </w:tcPr>
          <w:p w14:paraId="57029A88" w14:textId="29C7D67A" w:rsidR="6A520F39" w:rsidRDefault="6A520F39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Mantokoudis, 2016</w:t>
            </w:r>
            <w:r w:rsidR="315A6913"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34</w:t>
            </w:r>
          </w:p>
        </w:tc>
        <w:tc>
          <w:tcPr>
            <w:tcW w:w="2408" w:type="dxa"/>
            <w:vAlign w:val="center"/>
          </w:tcPr>
          <w:p w14:paraId="04391233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5CE78F1F" w14:textId="1EBE1596" w:rsidR="6A520F39" w:rsidRDefault="6A520F39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X</w:t>
            </w:r>
          </w:p>
        </w:tc>
        <w:tc>
          <w:tcPr>
            <w:tcW w:w="2408" w:type="dxa"/>
            <w:vAlign w:val="center"/>
          </w:tcPr>
          <w:p w14:paraId="0782BDD7" w14:textId="3F70371F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</w:tr>
      <w:tr w:rsidR="5D82C3E7" w14:paraId="1A7379AB" w14:textId="77777777" w:rsidTr="5D82C3E7">
        <w:trPr>
          <w:trHeight w:val="300"/>
        </w:trPr>
        <w:tc>
          <w:tcPr>
            <w:tcW w:w="2408" w:type="dxa"/>
          </w:tcPr>
          <w:p w14:paraId="319A40D3" w14:textId="34992FFD" w:rsidR="0C62A8BB" w:rsidRDefault="0C62A8BB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Korda, 2022a</w:t>
            </w: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32</w:t>
            </w:r>
          </w:p>
        </w:tc>
        <w:tc>
          <w:tcPr>
            <w:tcW w:w="2408" w:type="dxa"/>
            <w:vAlign w:val="center"/>
          </w:tcPr>
          <w:p w14:paraId="7204113F" w14:textId="2CAFD97B" w:rsidR="0C62A8BB" w:rsidRDefault="0C62A8BB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X</w:t>
            </w:r>
          </w:p>
        </w:tc>
        <w:tc>
          <w:tcPr>
            <w:tcW w:w="2408" w:type="dxa"/>
            <w:vAlign w:val="center"/>
          </w:tcPr>
          <w:p w14:paraId="548C042E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0866AC0D" w14:textId="0181EF72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</w:tr>
      <w:tr w:rsidR="5D82C3E7" w14:paraId="32B3F3F7" w14:textId="77777777" w:rsidTr="5D82C3E7">
        <w:trPr>
          <w:trHeight w:val="300"/>
        </w:trPr>
        <w:tc>
          <w:tcPr>
            <w:tcW w:w="2408" w:type="dxa"/>
          </w:tcPr>
          <w:p w14:paraId="522D2AE9" w14:textId="60307133" w:rsidR="0C62A8BB" w:rsidRDefault="0C62A8BB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Korda, 2022b</w:t>
            </w: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31</w:t>
            </w:r>
          </w:p>
        </w:tc>
        <w:tc>
          <w:tcPr>
            <w:tcW w:w="2408" w:type="dxa"/>
            <w:vAlign w:val="center"/>
          </w:tcPr>
          <w:p w14:paraId="5B4610BC" w14:textId="0E3762D3" w:rsidR="0C62A8BB" w:rsidRDefault="0C62A8BB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X</w:t>
            </w:r>
          </w:p>
        </w:tc>
        <w:tc>
          <w:tcPr>
            <w:tcW w:w="2408" w:type="dxa"/>
            <w:vAlign w:val="center"/>
          </w:tcPr>
          <w:p w14:paraId="0B695104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3C0EA46C" w14:textId="01AA0F6C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</w:tr>
      <w:tr w:rsidR="5D82C3E7" w14:paraId="140ADB86" w14:textId="77777777" w:rsidTr="5D82C3E7">
        <w:trPr>
          <w:trHeight w:val="300"/>
        </w:trPr>
        <w:tc>
          <w:tcPr>
            <w:tcW w:w="2408" w:type="dxa"/>
          </w:tcPr>
          <w:p w14:paraId="27001BEF" w14:textId="78906D88" w:rsidR="0C62A8BB" w:rsidRDefault="0C62A8BB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Morrison, 2022</w:t>
            </w: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19</w:t>
            </w:r>
          </w:p>
        </w:tc>
        <w:tc>
          <w:tcPr>
            <w:tcW w:w="2408" w:type="dxa"/>
            <w:vAlign w:val="center"/>
          </w:tcPr>
          <w:p w14:paraId="470637D7" w14:textId="6A1F4A25" w:rsidR="0C62A8BB" w:rsidRDefault="0C62A8BB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X</w:t>
            </w:r>
          </w:p>
        </w:tc>
        <w:tc>
          <w:tcPr>
            <w:tcW w:w="2408" w:type="dxa"/>
            <w:vAlign w:val="center"/>
          </w:tcPr>
          <w:p w14:paraId="63314906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6ACE44DB" w14:textId="3C2E76A0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</w:tr>
      <w:tr w:rsidR="5D82C3E7" w14:paraId="79BBCC11" w14:textId="77777777" w:rsidTr="5D82C3E7">
        <w:trPr>
          <w:trHeight w:val="300"/>
        </w:trPr>
        <w:tc>
          <w:tcPr>
            <w:tcW w:w="2408" w:type="dxa"/>
          </w:tcPr>
          <w:p w14:paraId="5B4A53BB" w14:textId="655CF98B" w:rsidR="191C50E9" w:rsidRDefault="191C50E9" w:rsidP="5D82C3E7">
            <w:pPr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Nham, 2022</w:t>
            </w:r>
            <w:r w:rsidR="7DAC8589"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vertAlign w:val="superscript"/>
                <w:lang w:val="en-GB"/>
              </w:rPr>
              <w:t>37</w:t>
            </w:r>
          </w:p>
        </w:tc>
        <w:tc>
          <w:tcPr>
            <w:tcW w:w="2408" w:type="dxa"/>
            <w:vAlign w:val="center"/>
          </w:tcPr>
          <w:p w14:paraId="0B38983C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602A2B60" w14:textId="1B5046D7" w:rsidR="5D82C3E7" w:rsidRDefault="5D82C3E7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</w:p>
        </w:tc>
        <w:tc>
          <w:tcPr>
            <w:tcW w:w="2408" w:type="dxa"/>
            <w:vAlign w:val="center"/>
          </w:tcPr>
          <w:p w14:paraId="374077F1" w14:textId="7312FCEB" w:rsidR="191C50E9" w:rsidRDefault="191C50E9" w:rsidP="5D82C3E7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</w:pPr>
            <w:r w:rsidRPr="5D82C3E7"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en-GB"/>
              </w:rPr>
              <w:t>X</w:t>
            </w:r>
          </w:p>
        </w:tc>
      </w:tr>
    </w:tbl>
    <w:p w14:paraId="2C460634" w14:textId="7EB12DFF" w:rsidR="0CC868F4" w:rsidRDefault="4BEF6570" w:rsidP="5D82C3E7">
      <w:pPr>
        <w:spacing w:line="360" w:lineRule="auto"/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</w:pPr>
      <w:r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The m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atrix rep</w:t>
      </w:r>
      <w:r w:rsidR="31916B68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or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t</w:t>
      </w:r>
      <w:r w:rsidR="41388E82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s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</w:t>
      </w:r>
      <w:r w:rsidR="0E12E4F5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the studies with p</w:t>
      </w:r>
      <w:r w:rsidR="216C8967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ar</w:t>
      </w:r>
      <w:r w:rsidR="0E12E4F5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tial overlap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. </w:t>
      </w:r>
      <w:r w:rsidR="1ABCD794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The t</w:t>
      </w:r>
      <w:r w:rsidR="385FF6AF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op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row </w:t>
      </w:r>
      <w:r w:rsidR="557D5403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represent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s the stud</w:t>
      </w:r>
      <w:r w:rsidR="212F6A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ies</w:t>
      </w:r>
      <w:r w:rsidR="65DECD1D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</w:t>
      </w:r>
      <w:r w:rsidR="0E33AD18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selected </w:t>
      </w:r>
      <w:r w:rsidR="0786081B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for</w:t>
      </w:r>
      <w:r w:rsidR="0E33AD18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analysis </w:t>
      </w:r>
      <w:r w:rsidR="5301BA31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sinc</w:t>
      </w:r>
      <w:r w:rsidR="0E33AD18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e the</w:t>
      </w:r>
      <w:r w:rsidR="2C19FAD5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y </w:t>
      </w:r>
      <w:r w:rsidR="1F5AB99B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>include</w:t>
      </w:r>
      <w:r w:rsidR="2C19FAD5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the</w:t>
      </w:r>
      <w:r w:rsidR="0E33AD18" w:rsidRPr="23363BC8">
        <w:rPr>
          <w:rFonts w:ascii="Times New Roman" w:eastAsia="Times New Roman" w:hAnsi="Times New Roman" w:cs="Times New Roman"/>
          <w:sz w:val="20"/>
          <w:szCs w:val="20"/>
          <w:highlight w:val="yellow"/>
          <w:lang w:val="en-GB"/>
        </w:rPr>
        <w:t xml:space="preserve"> largest sample.</w:t>
      </w:r>
    </w:p>
    <w:sectPr w:rsidR="0CC868F4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2BD45" w14:textId="77777777" w:rsidR="00B47F34" w:rsidRDefault="00B47F34" w:rsidP="008E543E">
      <w:pPr>
        <w:spacing w:after="0" w:line="240" w:lineRule="auto"/>
      </w:pPr>
      <w:r>
        <w:separator/>
      </w:r>
    </w:p>
  </w:endnote>
  <w:endnote w:type="continuationSeparator" w:id="0">
    <w:p w14:paraId="322467BD" w14:textId="77777777" w:rsidR="00B47F34" w:rsidRDefault="00B47F34" w:rsidP="008E54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FF00C" w14:textId="77777777" w:rsidR="00A959AA" w:rsidRDefault="00A959A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393427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07991A" w14:textId="7A6EC3E1" w:rsidR="00D561F9" w:rsidRDefault="00D561F9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9E82138" w14:textId="09B8D672" w:rsidR="00664B83" w:rsidRPr="00664B83" w:rsidRDefault="00664B83" w:rsidP="00664B83">
    <w:pPr>
      <w:pStyle w:val="Intestazion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8295A" w14:textId="77777777" w:rsidR="00A959AA" w:rsidRDefault="00A959A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50340" w14:textId="77777777" w:rsidR="00B47F34" w:rsidRDefault="00B47F34" w:rsidP="008E543E">
      <w:pPr>
        <w:spacing w:after="0" w:line="240" w:lineRule="auto"/>
      </w:pPr>
      <w:r>
        <w:separator/>
      </w:r>
    </w:p>
  </w:footnote>
  <w:footnote w:type="continuationSeparator" w:id="0">
    <w:p w14:paraId="6834EB40" w14:textId="77777777" w:rsidR="00B47F34" w:rsidRDefault="00B47F34" w:rsidP="008E54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AAD85" w14:textId="77777777" w:rsidR="00A959AA" w:rsidRDefault="00A959A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81AD2" w14:textId="10CFAB20" w:rsidR="008E543E" w:rsidRDefault="008E543E">
    <w:pPr>
      <w:pStyle w:val="Intestazione"/>
    </w:pPr>
    <w:r w:rsidRPr="00366E5B">
      <w:rPr>
        <w:lang w:val="it-IT"/>
      </w:rPr>
      <w:t xml:space="preserve">Ferri N, </w:t>
    </w:r>
    <w:r w:rsidR="00752C69" w:rsidRPr="00366E5B">
      <w:rPr>
        <w:lang w:val="it-IT"/>
      </w:rPr>
      <w:t xml:space="preserve">Bracci A, Franceschelli Metta G, Gnoli G, Turolla A, Pillastrini P, Manzari L, Tramontano M. </w:t>
    </w:r>
    <w:r w:rsidR="00A959AA" w:rsidRPr="00A959AA">
      <w:rPr>
        <w:lang w:val="it-IT"/>
      </w:rPr>
      <w:t>Accuracy of Video Head Impulse Test in Stroke Diagnosis During Acute Vestibular Syndrome: a Systematic Review With Meta-Analysis</w:t>
    </w:r>
    <w:r w:rsidR="00A959AA">
      <w:rPr>
        <w:lang w:val="it-IT"/>
      </w:rPr>
      <w:t>.</w:t>
    </w:r>
  </w:p>
  <w:p w14:paraId="4FCCA90E" w14:textId="77777777" w:rsidR="00752C69" w:rsidRDefault="00752C6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2B90A" w14:textId="77777777" w:rsidR="00A959AA" w:rsidRDefault="00A959A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B29F8"/>
    <w:multiLevelType w:val="hybridMultilevel"/>
    <w:tmpl w:val="7954F9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8609A9"/>
    <w:multiLevelType w:val="hybridMultilevel"/>
    <w:tmpl w:val="73BED9E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C40388"/>
    <w:multiLevelType w:val="hybridMultilevel"/>
    <w:tmpl w:val="0344B1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613A43"/>
    <w:multiLevelType w:val="hybridMultilevel"/>
    <w:tmpl w:val="7902B3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F200B6"/>
    <w:multiLevelType w:val="hybridMultilevel"/>
    <w:tmpl w:val="03ECD0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5B192F"/>
    <w:multiLevelType w:val="hybridMultilevel"/>
    <w:tmpl w:val="606EB4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D02FA7"/>
    <w:multiLevelType w:val="hybridMultilevel"/>
    <w:tmpl w:val="B58422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847949">
    <w:abstractNumId w:val="5"/>
  </w:num>
  <w:num w:numId="2" w16cid:durableId="1459832035">
    <w:abstractNumId w:val="2"/>
  </w:num>
  <w:num w:numId="3" w16cid:durableId="308751587">
    <w:abstractNumId w:val="1"/>
  </w:num>
  <w:num w:numId="4" w16cid:durableId="68386001">
    <w:abstractNumId w:val="3"/>
  </w:num>
  <w:num w:numId="5" w16cid:durableId="1900942562">
    <w:abstractNumId w:val="6"/>
  </w:num>
  <w:num w:numId="6" w16cid:durableId="1531143721">
    <w:abstractNumId w:val="4"/>
  </w:num>
  <w:num w:numId="7" w16cid:durableId="1526096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76D"/>
    <w:rsid w:val="000F2CC0"/>
    <w:rsid w:val="000F7F1C"/>
    <w:rsid w:val="0012311F"/>
    <w:rsid w:val="00161F37"/>
    <w:rsid w:val="001F45BB"/>
    <w:rsid w:val="002774E8"/>
    <w:rsid w:val="002F56A8"/>
    <w:rsid w:val="00336406"/>
    <w:rsid w:val="00355D90"/>
    <w:rsid w:val="00366E5B"/>
    <w:rsid w:val="003C4838"/>
    <w:rsid w:val="005D0DB1"/>
    <w:rsid w:val="006034FA"/>
    <w:rsid w:val="00664B83"/>
    <w:rsid w:val="00730530"/>
    <w:rsid w:val="00752C69"/>
    <w:rsid w:val="007B0385"/>
    <w:rsid w:val="00802E88"/>
    <w:rsid w:val="008A0E47"/>
    <w:rsid w:val="008E543E"/>
    <w:rsid w:val="009B0A45"/>
    <w:rsid w:val="00A959AA"/>
    <w:rsid w:val="00AB4D4A"/>
    <w:rsid w:val="00B3476D"/>
    <w:rsid w:val="00B47F34"/>
    <w:rsid w:val="00CD50AE"/>
    <w:rsid w:val="00D50B61"/>
    <w:rsid w:val="00D561F9"/>
    <w:rsid w:val="00E33566"/>
    <w:rsid w:val="00E872A4"/>
    <w:rsid w:val="00E91CD5"/>
    <w:rsid w:val="00FD6F1A"/>
    <w:rsid w:val="01B311B9"/>
    <w:rsid w:val="040C1FF8"/>
    <w:rsid w:val="0439B399"/>
    <w:rsid w:val="0477920F"/>
    <w:rsid w:val="0786081B"/>
    <w:rsid w:val="07C26DCD"/>
    <w:rsid w:val="081F82FF"/>
    <w:rsid w:val="0852F61F"/>
    <w:rsid w:val="0C62A8BB"/>
    <w:rsid w:val="0CC868F4"/>
    <w:rsid w:val="0CDB73B4"/>
    <w:rsid w:val="0E12E4F5"/>
    <w:rsid w:val="0E33AD18"/>
    <w:rsid w:val="0F3ECC61"/>
    <w:rsid w:val="0F6CD674"/>
    <w:rsid w:val="0FD8467A"/>
    <w:rsid w:val="0FFCD1B9"/>
    <w:rsid w:val="131307C0"/>
    <w:rsid w:val="18A7AC8D"/>
    <w:rsid w:val="18F97933"/>
    <w:rsid w:val="191C50E9"/>
    <w:rsid w:val="1958B954"/>
    <w:rsid w:val="19D4A0AF"/>
    <w:rsid w:val="1ABCD794"/>
    <w:rsid w:val="1B05EE83"/>
    <w:rsid w:val="1E41D934"/>
    <w:rsid w:val="1E7EAB40"/>
    <w:rsid w:val="1F5AB99B"/>
    <w:rsid w:val="1F94548E"/>
    <w:rsid w:val="1FCB3719"/>
    <w:rsid w:val="212F6A1D"/>
    <w:rsid w:val="216C8967"/>
    <w:rsid w:val="23203232"/>
    <w:rsid w:val="23363BC8"/>
    <w:rsid w:val="25D40509"/>
    <w:rsid w:val="27AAA7D8"/>
    <w:rsid w:val="2895A2C2"/>
    <w:rsid w:val="28B1D952"/>
    <w:rsid w:val="29295D6D"/>
    <w:rsid w:val="298EF91D"/>
    <w:rsid w:val="2A9A1761"/>
    <w:rsid w:val="2AC51E75"/>
    <w:rsid w:val="2C19FAD5"/>
    <w:rsid w:val="2D223E8F"/>
    <w:rsid w:val="2E0C6282"/>
    <w:rsid w:val="2ECCDDA7"/>
    <w:rsid w:val="315A6913"/>
    <w:rsid w:val="31916B68"/>
    <w:rsid w:val="322EA940"/>
    <w:rsid w:val="346D0489"/>
    <w:rsid w:val="347377D4"/>
    <w:rsid w:val="35F3D572"/>
    <w:rsid w:val="364D3AF4"/>
    <w:rsid w:val="372CDDF0"/>
    <w:rsid w:val="385FF6AF"/>
    <w:rsid w:val="3A6781C6"/>
    <w:rsid w:val="3AFFA7BA"/>
    <w:rsid w:val="3B6405DF"/>
    <w:rsid w:val="3CDEEB40"/>
    <w:rsid w:val="3D213333"/>
    <w:rsid w:val="3DE684C5"/>
    <w:rsid w:val="3F79743F"/>
    <w:rsid w:val="3FFDF6B4"/>
    <w:rsid w:val="41063EEB"/>
    <w:rsid w:val="41388E82"/>
    <w:rsid w:val="42B3829B"/>
    <w:rsid w:val="42D88B63"/>
    <w:rsid w:val="43FB94EF"/>
    <w:rsid w:val="442EB129"/>
    <w:rsid w:val="44D52B5F"/>
    <w:rsid w:val="4951E571"/>
    <w:rsid w:val="49DB0C76"/>
    <w:rsid w:val="4BE77670"/>
    <w:rsid w:val="4BEF6570"/>
    <w:rsid w:val="4BF34387"/>
    <w:rsid w:val="4C9735B2"/>
    <w:rsid w:val="5038879E"/>
    <w:rsid w:val="521B8E19"/>
    <w:rsid w:val="529E9521"/>
    <w:rsid w:val="5301BA31"/>
    <w:rsid w:val="536DAD7E"/>
    <w:rsid w:val="540221D8"/>
    <w:rsid w:val="557D5403"/>
    <w:rsid w:val="5D82C3E7"/>
    <w:rsid w:val="5F15FA6D"/>
    <w:rsid w:val="5FD8E54D"/>
    <w:rsid w:val="631FF39C"/>
    <w:rsid w:val="637F0BE9"/>
    <w:rsid w:val="64FC06B8"/>
    <w:rsid w:val="65DECD1D"/>
    <w:rsid w:val="69A6AEDF"/>
    <w:rsid w:val="6A520F39"/>
    <w:rsid w:val="6FE9568C"/>
    <w:rsid w:val="70536F92"/>
    <w:rsid w:val="70FE1814"/>
    <w:rsid w:val="737D58F0"/>
    <w:rsid w:val="7517A930"/>
    <w:rsid w:val="7709BFA7"/>
    <w:rsid w:val="78CB9138"/>
    <w:rsid w:val="790929E5"/>
    <w:rsid w:val="7AA830C8"/>
    <w:rsid w:val="7AD63D06"/>
    <w:rsid w:val="7C5F54E6"/>
    <w:rsid w:val="7DAC8589"/>
    <w:rsid w:val="7E701C73"/>
    <w:rsid w:val="7EE7F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A855EB"/>
  <w15:chartTrackingRefBased/>
  <w15:docId w15:val="{51347083-70DD-4901-892F-491FCD4A5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347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347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3476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347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3476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347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347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347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347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3476D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3476D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3476D"/>
    <w:rPr>
      <w:rFonts w:eastAsiaTheme="majorEastAsia" w:cstheme="majorBidi"/>
      <w:color w:val="2F5496" w:themeColor="accent1" w:themeShade="BF"/>
      <w:sz w:val="28"/>
      <w:szCs w:val="28"/>
      <w:lang w:val="en-US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3476D"/>
    <w:rPr>
      <w:rFonts w:eastAsiaTheme="majorEastAsia" w:cstheme="majorBidi"/>
      <w:i/>
      <w:iCs/>
      <w:color w:val="2F5496" w:themeColor="accent1" w:themeShade="BF"/>
      <w:lang w:val="en-US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3476D"/>
    <w:rPr>
      <w:rFonts w:eastAsiaTheme="majorEastAsia" w:cstheme="majorBidi"/>
      <w:color w:val="2F5496" w:themeColor="accent1" w:themeShade="BF"/>
      <w:lang w:val="en-US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3476D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3476D"/>
    <w:rPr>
      <w:rFonts w:eastAsiaTheme="majorEastAsia" w:cstheme="majorBidi"/>
      <w:color w:val="595959" w:themeColor="text1" w:themeTint="A6"/>
      <w:lang w:val="en-US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3476D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3476D"/>
    <w:rPr>
      <w:rFonts w:eastAsiaTheme="majorEastAsia" w:cstheme="majorBidi"/>
      <w:color w:val="272727" w:themeColor="text1" w:themeTint="D8"/>
      <w:lang w:val="en-US"/>
    </w:rPr>
  </w:style>
  <w:style w:type="paragraph" w:styleId="Titolo">
    <w:name w:val="Title"/>
    <w:basedOn w:val="Normale"/>
    <w:next w:val="Normale"/>
    <w:link w:val="TitoloCarattere"/>
    <w:uiPriority w:val="10"/>
    <w:qFormat/>
    <w:rsid w:val="00B347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3476D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347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3476D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347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3476D"/>
    <w:rPr>
      <w:i/>
      <w:iCs/>
      <w:color w:val="404040" w:themeColor="text1" w:themeTint="BF"/>
      <w:lang w:val="en-US"/>
    </w:rPr>
  </w:style>
  <w:style w:type="paragraph" w:styleId="Paragrafoelenco">
    <w:name w:val="List Paragraph"/>
    <w:basedOn w:val="Normale"/>
    <w:uiPriority w:val="34"/>
    <w:qFormat/>
    <w:rsid w:val="00B3476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3476D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3476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3476D"/>
    <w:rPr>
      <w:i/>
      <w:iCs/>
      <w:color w:val="2F5496" w:themeColor="accent1" w:themeShade="BF"/>
      <w:lang w:val="en-US"/>
    </w:rPr>
  </w:style>
  <w:style w:type="character" w:styleId="Riferimentointenso">
    <w:name w:val="Intense Reference"/>
    <w:basedOn w:val="Carpredefinitoparagrafo"/>
    <w:uiPriority w:val="32"/>
    <w:qFormat/>
    <w:rsid w:val="00B3476D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8E54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E543E"/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8E543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E543E"/>
    <w:rPr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D561F9"/>
    <w:rPr>
      <w:color w:val="0563C1" w:themeColor="hyperlink"/>
      <w:u w:val="single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48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7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doi.org/10.1007/s00415-016-8214-0" TargetMode="External"/><Relationship Id="rId18" Type="http://schemas.openxmlformats.org/officeDocument/2006/relationships/hyperlink" Target="https://doi.org/10.3389/fneur.2021.741859" TargetMode="External"/><Relationship Id="rId26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7" Type="http://schemas.openxmlformats.org/officeDocument/2006/relationships/image" Target="media/image1.png"/><Relationship Id="rId12" Type="http://schemas.openxmlformats.org/officeDocument/2006/relationships/hyperlink" Target="https://doi.org/10.1007/s00106-019-0721-8" TargetMode="External"/><Relationship Id="rId17" Type="http://schemas.openxmlformats.org/officeDocument/2006/relationships/hyperlink" Target="https://doi.org/10.1007/s12070-022-03123-z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s://doi.org/10.1177/23969873211034932" TargetMode="External"/><Relationship Id="rId20" Type="http://schemas.openxmlformats.org/officeDocument/2006/relationships/image" Target="media/image4.png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i.org/10.3389/fneur.2022.941909" TargetMode="External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doi.org/10.1177/2396987317705242" TargetMode="External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hyperlink" Target="https://doi.org/10.3233/VES-220109" TargetMode="External"/><Relationship Id="rId19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doi.org/10.1556/650.2017.30886" TargetMode="External"/><Relationship Id="rId14" Type="http://schemas.openxmlformats.org/officeDocument/2006/relationships/hyperlink" Target="https://doi.org/10.3389/fneur.2023.1256826" TargetMode="External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861</Words>
  <Characters>4914</Characters>
  <Application>Microsoft Office Word</Application>
  <DocSecurity>0</DocSecurity>
  <Lines>40</Lines>
  <Paragraphs>11</Paragraphs>
  <ScaleCrop>false</ScaleCrop>
  <Company/>
  <LinksUpToDate>false</LinksUpToDate>
  <CharactersWithSpaces>5764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Ferri</dc:creator>
  <cp:keywords/>
  <dc:description/>
  <cp:lastModifiedBy>Maria Cecilia Pecci</cp:lastModifiedBy>
  <cp:revision>2</cp:revision>
  <dcterms:created xsi:type="dcterms:W3CDTF">2026-03-06T10:54:00Z</dcterms:created>
  <dcterms:modified xsi:type="dcterms:W3CDTF">2026-03-06T10:54:00Z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71bd3924bac57942ef06aec30c805f530db79fdc3f7e36b22b7e50209b4e117d</vt:lpwstr>
  </property>
</Properties>
</file>