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EF4D6" w14:textId="26F10320" w:rsidR="00AB30F5" w:rsidRPr="00AB30F5" w:rsidRDefault="00AB30F5" w:rsidP="00AB30F5">
      <w:pPr>
        <w:spacing w:after="0" w:line="480" w:lineRule="auto"/>
        <w:contextualSpacing/>
        <w:jc w:val="both"/>
        <w:rPr>
          <w:rFonts w:ascii="Arial" w:hAnsi="Arial" w:cs="Arial"/>
          <w:b/>
          <w:caps/>
          <w:sz w:val="24"/>
          <w:szCs w:val="24"/>
          <w:lang w:val="en-GB"/>
        </w:rPr>
      </w:pPr>
      <w:r w:rsidRPr="00AB30F5">
        <w:rPr>
          <w:rFonts w:ascii="Arial" w:hAnsi="Arial" w:cs="Arial"/>
          <w:b/>
          <w:caps/>
          <w:sz w:val="24"/>
          <w:szCs w:val="24"/>
          <w:lang w:val="en-GB"/>
        </w:rPr>
        <w:t>Supplementary</w:t>
      </w:r>
      <w:r w:rsidRPr="00AB30F5">
        <w:rPr>
          <w:rFonts w:ascii="Arial" w:hAnsi="Arial" w:cs="Arial"/>
          <w:b/>
          <w:caps/>
          <w:sz w:val="24"/>
          <w:szCs w:val="24"/>
          <w:lang w:val="en-GB"/>
        </w:rPr>
        <w:t xml:space="preserve"> Methods</w:t>
      </w:r>
    </w:p>
    <w:p w14:paraId="3863EF72" w14:textId="5DA76D3D" w:rsidR="00AB30F5" w:rsidRPr="00AB30F5" w:rsidRDefault="00AB30F5" w:rsidP="00AB30F5">
      <w:pPr>
        <w:spacing w:after="0" w:line="480" w:lineRule="auto"/>
        <w:contextualSpacing/>
        <w:jc w:val="both"/>
        <w:rPr>
          <w:rFonts w:ascii="Arial" w:hAnsi="Arial" w:cs="Arial"/>
          <w:b/>
          <w:bCs/>
          <w:sz w:val="24"/>
          <w:szCs w:val="24"/>
        </w:rPr>
      </w:pPr>
      <w:r w:rsidRPr="00AB30F5">
        <w:rPr>
          <w:rFonts w:ascii="Arial" w:hAnsi="Arial" w:cs="Arial"/>
          <w:b/>
          <w:bCs/>
          <w:sz w:val="24"/>
          <w:szCs w:val="24"/>
        </w:rPr>
        <w:t>Methods for immunophenotypic assessments</w:t>
      </w:r>
    </w:p>
    <w:p w14:paraId="6CE5B836" w14:textId="7B169B91" w:rsidR="00AB30F5" w:rsidRPr="00AB30F5" w:rsidRDefault="00AB30F5" w:rsidP="00AB30F5">
      <w:pPr>
        <w:spacing w:after="0" w:line="48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AB30F5">
        <w:rPr>
          <w:rFonts w:ascii="Arial" w:hAnsi="Arial" w:cs="Arial"/>
          <w:sz w:val="24"/>
          <w:szCs w:val="24"/>
        </w:rPr>
        <w:t xml:space="preserve">EDTA-treated whole blood was collected during planned routine assessments.  Whole blood samples were incubated for 20 min in the dark at room temperature with a cocktail of multicolor-labeled </w:t>
      </w:r>
      <w:proofErr w:type="spellStart"/>
      <w:r w:rsidRPr="00AB30F5">
        <w:rPr>
          <w:rFonts w:ascii="Arial" w:hAnsi="Arial" w:cs="Arial"/>
          <w:sz w:val="24"/>
          <w:szCs w:val="24"/>
        </w:rPr>
        <w:t>mAbs</w:t>
      </w:r>
      <w:proofErr w:type="spellEnd"/>
      <w:r w:rsidRPr="00AB30F5">
        <w:rPr>
          <w:rFonts w:ascii="Arial" w:hAnsi="Arial" w:cs="Arial"/>
          <w:sz w:val="24"/>
          <w:szCs w:val="24"/>
        </w:rPr>
        <w:t xml:space="preserve">, including anti-CD45, -CD19-, -CD3, -CD4, -CD8, -CD56 and -CD79b (Becton Dickinson, San Diego, CA, USA). Matched isotype </w:t>
      </w:r>
      <w:proofErr w:type="spellStart"/>
      <w:r w:rsidRPr="00AB30F5">
        <w:rPr>
          <w:rFonts w:ascii="Arial" w:hAnsi="Arial" w:cs="Arial"/>
          <w:sz w:val="24"/>
          <w:szCs w:val="24"/>
        </w:rPr>
        <w:t>mAbs</w:t>
      </w:r>
      <w:proofErr w:type="spellEnd"/>
      <w:r w:rsidRPr="00AB30F5">
        <w:rPr>
          <w:rFonts w:ascii="Arial" w:hAnsi="Arial" w:cs="Arial"/>
          <w:sz w:val="24"/>
          <w:szCs w:val="24"/>
        </w:rPr>
        <w:t xml:space="preserve"> were used as negative controls. After erythrocyte lysis with ammonium chloride (BD FACS Lysing Solution BD Biosciences Pharmingen), samples (5 × 104 events/sample) were acquired on a FACS Canto II Flow Cytometer (Becton Dickinson </w:t>
      </w:r>
      <w:proofErr w:type="spellStart"/>
      <w:r w:rsidRPr="00AB30F5">
        <w:rPr>
          <w:rFonts w:ascii="Arial" w:hAnsi="Arial" w:cs="Arial"/>
          <w:sz w:val="24"/>
          <w:szCs w:val="24"/>
        </w:rPr>
        <w:t>Immunocytometry</w:t>
      </w:r>
      <w:proofErr w:type="spellEnd"/>
      <w:r w:rsidRPr="00AB30F5">
        <w:rPr>
          <w:rFonts w:ascii="Arial" w:hAnsi="Arial" w:cs="Arial"/>
          <w:sz w:val="24"/>
          <w:szCs w:val="24"/>
        </w:rPr>
        <w:t xml:space="preserve"> Systems, Palo Alto, Calif.). The analysis was performed by a </w:t>
      </w:r>
      <w:proofErr w:type="spellStart"/>
      <w:r w:rsidRPr="00AB30F5">
        <w:rPr>
          <w:rFonts w:ascii="Arial" w:hAnsi="Arial" w:cs="Arial"/>
          <w:sz w:val="24"/>
          <w:szCs w:val="24"/>
        </w:rPr>
        <w:t>FacsDiva</w:t>
      </w:r>
      <w:proofErr w:type="spellEnd"/>
      <w:r w:rsidRPr="00AB30F5">
        <w:rPr>
          <w:rFonts w:ascii="Arial" w:hAnsi="Arial" w:cs="Arial"/>
          <w:sz w:val="24"/>
          <w:szCs w:val="24"/>
        </w:rPr>
        <w:t xml:space="preserve"> software (Becton Dickinson </w:t>
      </w:r>
      <w:proofErr w:type="spellStart"/>
      <w:r w:rsidRPr="00AB30F5">
        <w:rPr>
          <w:rFonts w:ascii="Arial" w:hAnsi="Arial" w:cs="Arial"/>
          <w:sz w:val="24"/>
          <w:szCs w:val="24"/>
        </w:rPr>
        <w:t>Immunocytometry</w:t>
      </w:r>
      <w:proofErr w:type="spellEnd"/>
      <w:r w:rsidRPr="00AB30F5">
        <w:rPr>
          <w:rFonts w:ascii="Arial" w:hAnsi="Arial" w:cs="Arial"/>
          <w:sz w:val="24"/>
          <w:szCs w:val="24"/>
        </w:rPr>
        <w:t xml:space="preserve"> Systems, Palo Alto, CA). Phenotypic analysis was based on morphological gating on forward/side light scatters (FSC-A and SSC-A, respectively) and CD45/side scatter.</w:t>
      </w:r>
      <w:r w:rsidRPr="00AB30F5">
        <w:rPr>
          <w:rFonts w:ascii="Arial" w:hAnsi="Arial" w:cs="Arial"/>
          <w:sz w:val="24"/>
          <w:szCs w:val="24"/>
          <w:vertAlign w:val="superscript"/>
        </w:rPr>
        <w:t>1</w:t>
      </w:r>
      <w:r w:rsidRPr="00AB30F5">
        <w:rPr>
          <w:rFonts w:ascii="Arial" w:hAnsi="Arial" w:cs="Arial"/>
          <w:sz w:val="24"/>
          <w:szCs w:val="24"/>
        </w:rPr>
        <w:t xml:space="preserve"> </w:t>
      </w:r>
    </w:p>
    <w:p w14:paraId="17D35748" w14:textId="77777777" w:rsidR="00AB30F5" w:rsidRDefault="00AB30F5" w:rsidP="00AB30F5">
      <w:pPr>
        <w:spacing w:after="0" w:line="480" w:lineRule="auto"/>
        <w:contextualSpacing/>
        <w:jc w:val="both"/>
        <w:rPr>
          <w:rFonts w:ascii="Arial" w:hAnsi="Arial" w:cs="Arial"/>
          <w:sz w:val="24"/>
          <w:szCs w:val="24"/>
          <w:lang w:val="it-IT"/>
        </w:rPr>
      </w:pPr>
    </w:p>
    <w:p w14:paraId="1720511A" w14:textId="48740F2E" w:rsidR="00AB30F5" w:rsidRPr="00AB30F5" w:rsidRDefault="00AB30F5" w:rsidP="00AB30F5">
      <w:pPr>
        <w:spacing w:after="0" w:line="480" w:lineRule="auto"/>
        <w:contextualSpacing/>
        <w:jc w:val="both"/>
        <w:rPr>
          <w:rFonts w:ascii="Arial" w:hAnsi="Arial" w:cs="Arial"/>
          <w:b/>
          <w:bCs/>
          <w:caps/>
          <w:sz w:val="24"/>
          <w:szCs w:val="24"/>
        </w:rPr>
      </w:pPr>
      <w:r w:rsidRPr="00AB30F5">
        <w:rPr>
          <w:rFonts w:ascii="Arial" w:hAnsi="Arial" w:cs="Arial"/>
          <w:b/>
          <w:bCs/>
          <w:caps/>
          <w:sz w:val="24"/>
          <w:szCs w:val="24"/>
        </w:rPr>
        <w:t>Supplementary References</w:t>
      </w:r>
    </w:p>
    <w:p w14:paraId="574F685F" w14:textId="3BECE4F8" w:rsidR="005D5EE0" w:rsidRPr="00AB30F5" w:rsidRDefault="00AB30F5" w:rsidP="00AB30F5">
      <w:pPr>
        <w:spacing w:after="0" w:line="48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AB30F5">
        <w:rPr>
          <w:rFonts w:ascii="Arial" w:hAnsi="Arial" w:cs="Arial"/>
          <w:sz w:val="24"/>
          <w:szCs w:val="24"/>
          <w:lang w:val="it-IT"/>
        </w:rPr>
        <w:t xml:space="preserve">1. </w:t>
      </w:r>
      <w:r w:rsidRPr="00AB30F5">
        <w:rPr>
          <w:rFonts w:ascii="Arial" w:hAnsi="Arial" w:cs="Arial"/>
          <w:sz w:val="24"/>
          <w:szCs w:val="24"/>
          <w:lang w:val="it-IT"/>
        </w:rPr>
        <w:t xml:space="preserve">Galati D, Zanotta S, Capone M, Madonna G, Mallardo D, Romanelli M, </w:t>
      </w:r>
      <w:r>
        <w:rPr>
          <w:rFonts w:ascii="Arial" w:hAnsi="Arial" w:cs="Arial"/>
          <w:sz w:val="24"/>
          <w:szCs w:val="24"/>
          <w:lang w:val="it-IT"/>
        </w:rPr>
        <w:t>et al</w:t>
      </w:r>
      <w:r w:rsidRPr="00AB30F5">
        <w:rPr>
          <w:rFonts w:ascii="Arial" w:hAnsi="Arial" w:cs="Arial"/>
          <w:sz w:val="24"/>
          <w:szCs w:val="24"/>
          <w:lang w:val="it-IT"/>
        </w:rPr>
        <w:t xml:space="preserve">. </w:t>
      </w:r>
      <w:r w:rsidRPr="00AB30F5">
        <w:rPr>
          <w:rFonts w:ascii="Arial" w:hAnsi="Arial" w:cs="Arial"/>
          <w:sz w:val="24"/>
          <w:szCs w:val="24"/>
        </w:rPr>
        <w:t xml:space="preserve">Potential clinical implications of CD4+CD26high T cells for nivolumab treated melanoma patients. J </w:t>
      </w:r>
      <w:proofErr w:type="spellStart"/>
      <w:r w:rsidRPr="00AB30F5">
        <w:rPr>
          <w:rFonts w:ascii="Arial" w:hAnsi="Arial" w:cs="Arial"/>
          <w:sz w:val="24"/>
          <w:szCs w:val="24"/>
        </w:rPr>
        <w:t>Transl</w:t>
      </w:r>
      <w:proofErr w:type="spellEnd"/>
      <w:r w:rsidRPr="00AB30F5">
        <w:rPr>
          <w:rFonts w:ascii="Arial" w:hAnsi="Arial" w:cs="Arial"/>
          <w:sz w:val="24"/>
          <w:szCs w:val="24"/>
        </w:rPr>
        <w:t xml:space="preserve"> Med. </w:t>
      </w:r>
      <w:proofErr w:type="gramStart"/>
      <w:r w:rsidRPr="00AB30F5">
        <w:rPr>
          <w:rFonts w:ascii="Arial" w:hAnsi="Arial" w:cs="Arial"/>
          <w:sz w:val="24"/>
          <w:szCs w:val="24"/>
        </w:rPr>
        <w:t>2023;21:318</w:t>
      </w:r>
      <w:proofErr w:type="gramEnd"/>
      <w:r w:rsidRPr="00AB30F5">
        <w:rPr>
          <w:rFonts w:ascii="Arial" w:hAnsi="Arial" w:cs="Arial"/>
          <w:sz w:val="24"/>
          <w:szCs w:val="24"/>
        </w:rPr>
        <w:t xml:space="preserve">. </w:t>
      </w:r>
    </w:p>
    <w:sectPr w:rsidR="005D5EE0" w:rsidRPr="00AB30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0F5"/>
    <w:rsid w:val="00AB30F5"/>
    <w:rsid w:val="00D01674"/>
    <w:rsid w:val="00F27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B6DA5"/>
  <w15:chartTrackingRefBased/>
  <w15:docId w15:val="{D2D83B19-7767-4C15-9703-1195614B5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30F5"/>
    <w:pPr>
      <w:spacing w:after="200" w:line="276" w:lineRule="auto"/>
    </w:pPr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B30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170</Words>
  <Characters>970</Characters>
  <Application>Microsoft Office Word</Application>
  <DocSecurity>0</DocSecurity>
  <Lines>8</Lines>
  <Paragraphs>2</Paragraphs>
  <ScaleCrop>false</ScaleCrop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Argnani</dc:creator>
  <cp:keywords/>
  <dc:description/>
  <cp:lastModifiedBy>Lisa Argnani</cp:lastModifiedBy>
  <cp:revision>1</cp:revision>
  <dcterms:created xsi:type="dcterms:W3CDTF">2024-06-20T12:28:00Z</dcterms:created>
  <dcterms:modified xsi:type="dcterms:W3CDTF">2024-06-20T12:34:00Z</dcterms:modified>
</cp:coreProperties>
</file>