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8369EC" w14:textId="77777777" w:rsidR="00E20050" w:rsidRPr="007B52A6" w:rsidRDefault="00E20050" w:rsidP="00924E35">
      <w:pPr>
        <w:pStyle w:val="Heading1"/>
        <w:jc w:val="center"/>
        <w:rPr>
          <w:rFonts w:ascii="Arial" w:hAnsi="Arial" w:cs="Arial"/>
          <w:color w:val="auto"/>
          <w:sz w:val="48"/>
          <w:szCs w:val="48"/>
        </w:rPr>
      </w:pPr>
      <w:bookmarkStart w:id="0" w:name="_Toc183793495"/>
      <w:r w:rsidRPr="007B52A6">
        <w:rPr>
          <w:rFonts w:ascii="Arial" w:hAnsi="Arial" w:cs="Arial"/>
          <w:color w:val="auto"/>
          <w:sz w:val="48"/>
          <w:szCs w:val="48"/>
        </w:rPr>
        <w:t>SUPPLEMENTAR</w:t>
      </w:r>
      <w:bookmarkStart w:id="1" w:name="_GoBack"/>
      <w:bookmarkEnd w:id="1"/>
      <w:r w:rsidRPr="007B52A6">
        <w:rPr>
          <w:rFonts w:ascii="Arial" w:hAnsi="Arial" w:cs="Arial"/>
          <w:color w:val="auto"/>
          <w:sz w:val="48"/>
          <w:szCs w:val="48"/>
        </w:rPr>
        <w:t>Y MATERIALS</w:t>
      </w:r>
      <w:bookmarkEnd w:id="0"/>
    </w:p>
    <w:p w14:paraId="11154516" w14:textId="77777777" w:rsidR="000B1604" w:rsidRPr="007B52A6" w:rsidRDefault="000B1604" w:rsidP="00924E35">
      <w:pPr>
        <w:jc w:val="center"/>
      </w:pPr>
    </w:p>
    <w:p w14:paraId="27EAEAA6" w14:textId="77777777" w:rsidR="000B1604" w:rsidRPr="007B52A6" w:rsidRDefault="000B1604" w:rsidP="00924E35">
      <w:pPr>
        <w:jc w:val="center"/>
      </w:pPr>
    </w:p>
    <w:p w14:paraId="0FDB9DDC" w14:textId="77777777" w:rsidR="000B1604" w:rsidRPr="007B52A6" w:rsidRDefault="000B1604" w:rsidP="00924E35">
      <w:pPr>
        <w:jc w:val="center"/>
      </w:pPr>
    </w:p>
    <w:p w14:paraId="7D216B11" w14:textId="77777777" w:rsidR="000B1604" w:rsidRPr="007B52A6" w:rsidRDefault="000B1604" w:rsidP="00924E35">
      <w:pPr>
        <w:jc w:val="center"/>
      </w:pPr>
    </w:p>
    <w:p w14:paraId="7CD6D03A" w14:textId="77777777" w:rsidR="000B1604" w:rsidRPr="007B52A6" w:rsidRDefault="000B1604" w:rsidP="00924E35">
      <w:pPr>
        <w:jc w:val="center"/>
      </w:pPr>
    </w:p>
    <w:p w14:paraId="746FA3A8" w14:textId="77777777" w:rsidR="000B1604" w:rsidRPr="007B52A6" w:rsidRDefault="000B1604" w:rsidP="00924E35">
      <w:pPr>
        <w:jc w:val="center"/>
      </w:pPr>
    </w:p>
    <w:p w14:paraId="15725133" w14:textId="77777777" w:rsidR="000B1604" w:rsidRPr="007B52A6" w:rsidRDefault="000B1604" w:rsidP="00924E35">
      <w:pPr>
        <w:jc w:val="center"/>
      </w:pPr>
    </w:p>
    <w:p w14:paraId="6C0A339F" w14:textId="6457E0EC" w:rsidR="000B1604" w:rsidRPr="007B52A6" w:rsidRDefault="000B1604" w:rsidP="00924E35">
      <w:pPr>
        <w:jc w:val="center"/>
        <w:rPr>
          <w:sz w:val="28"/>
          <w:szCs w:val="28"/>
        </w:rPr>
      </w:pPr>
      <w:r w:rsidRPr="007B52A6">
        <w:rPr>
          <w:sz w:val="28"/>
          <w:szCs w:val="28"/>
        </w:rPr>
        <w:t>Appendix to the paper:</w:t>
      </w:r>
    </w:p>
    <w:p w14:paraId="618CEE44" w14:textId="77777777" w:rsidR="009C2776" w:rsidRPr="007B52A6" w:rsidRDefault="009C2776" w:rsidP="009C2776">
      <w:pPr>
        <w:pStyle w:val="Authors"/>
        <w:spacing w:before="240"/>
        <w:rPr>
          <w:rFonts w:eastAsiaTheme="majorEastAsia"/>
          <w:b w:val="0"/>
          <w:bCs w:val="0"/>
          <w:noProof w:val="0"/>
          <w:spacing w:val="-10"/>
          <w:kern w:val="28"/>
          <w:sz w:val="56"/>
          <w:szCs w:val="56"/>
          <w14:ligatures w14:val="standardContextual"/>
        </w:rPr>
      </w:pPr>
      <w:r w:rsidRPr="007B52A6">
        <w:rPr>
          <w:rFonts w:eastAsiaTheme="majorEastAsia"/>
          <w:b w:val="0"/>
          <w:bCs w:val="0"/>
          <w:noProof w:val="0"/>
          <w:spacing w:val="-10"/>
          <w:kern w:val="28"/>
          <w:sz w:val="56"/>
          <w:szCs w:val="56"/>
          <w14:ligatures w14:val="standardContextual"/>
        </w:rPr>
        <w:t>Effect of Femoral Component Design and Quadriceps Load on Patellofemoral Kinematics After Total Knee Arthroplasty: An In Vitro Cadaveric Study</w:t>
      </w:r>
    </w:p>
    <w:p w14:paraId="4A49F0FA" w14:textId="27C425D5" w:rsidR="005C41F5" w:rsidRPr="007B52A6" w:rsidRDefault="005C41F5">
      <w:r w:rsidRPr="007B52A6">
        <w:br w:type="page"/>
      </w:r>
    </w:p>
    <w:p w14:paraId="2AEC1B9F" w14:textId="77777777" w:rsidR="00572629" w:rsidRPr="007B52A6" w:rsidRDefault="00572629" w:rsidP="00572629"/>
    <w:p w14:paraId="6FC0FFC0" w14:textId="1D5A6F18" w:rsidR="002E3531" w:rsidRPr="007B52A6" w:rsidRDefault="002E3531" w:rsidP="002E3531">
      <w:pPr>
        <w:pStyle w:val="Heading2"/>
        <w:jc w:val="center"/>
        <w:rPr>
          <w:rFonts w:ascii="Arial" w:hAnsi="Arial" w:cs="Arial"/>
          <w:b/>
          <w:bCs/>
          <w:color w:val="auto"/>
        </w:rPr>
      </w:pPr>
      <w:r w:rsidRPr="007B52A6">
        <w:rPr>
          <w:rFonts w:ascii="Arial" w:hAnsi="Arial" w:cs="Arial"/>
          <w:b/>
          <w:bCs/>
          <w:color w:val="auto"/>
        </w:rPr>
        <w:t>SUPPLEMENTARY MATERIAL #2</w:t>
      </w:r>
    </w:p>
    <w:p w14:paraId="5A205120" w14:textId="6570C7D8" w:rsidR="002E3531" w:rsidRPr="007B52A6" w:rsidRDefault="002E3531" w:rsidP="002E3531">
      <w:pPr>
        <w:pStyle w:val="Heading3"/>
        <w:jc w:val="center"/>
        <w:rPr>
          <w:b/>
          <w:bCs/>
          <w:color w:val="auto"/>
        </w:rPr>
      </w:pPr>
      <w:r w:rsidRPr="007B52A6">
        <w:rPr>
          <w:b/>
          <w:bCs/>
          <w:color w:val="auto"/>
        </w:rPr>
        <w:t xml:space="preserve">Influence of the quadriceps muscle </w:t>
      </w:r>
      <w:r w:rsidRPr="007B52A6">
        <w:rPr>
          <w:b/>
          <w:bCs/>
          <w:color w:val="auto"/>
        </w:rPr>
        <w:br/>
        <w:t>for all degrees of freedom of the tibiofemoral joint after TKA</w:t>
      </w:r>
    </w:p>
    <w:p w14:paraId="0341FAEF" w14:textId="41850E7B" w:rsidR="000D7A9A" w:rsidRPr="007B52A6" w:rsidRDefault="000D7A9A" w:rsidP="000D7A9A">
      <w:r w:rsidRPr="007B52A6">
        <w:t xml:space="preserve">This section mirrors the analysis presented for the patellofemoral </w:t>
      </w:r>
      <w:r w:rsidR="00D4693D" w:rsidRPr="007B52A6">
        <w:t>joint but</w:t>
      </w:r>
      <w:r w:rsidRPr="007B52A6">
        <w:t xml:space="preserve"> focuses on the tibiofemoral articulation following TKA. The same graphical structure is adopted, reporting:</w:t>
      </w:r>
    </w:p>
    <w:p w14:paraId="15446597" w14:textId="5CCD507F" w:rsidR="000D7A9A" w:rsidRPr="007B52A6" w:rsidRDefault="000D7A9A" w:rsidP="000D7A9A">
      <w:pPr>
        <w:pStyle w:val="ListParagraph"/>
        <w:numPr>
          <w:ilvl w:val="0"/>
          <w:numId w:val="3"/>
        </w:numPr>
      </w:pPr>
      <w:r w:rsidRPr="007B52A6">
        <w:t>Me</w:t>
      </w:r>
      <w:r w:rsidR="00D4693D" w:rsidRPr="007B52A6">
        <w:t>di</w:t>
      </w:r>
      <w:r w:rsidRPr="007B52A6">
        <w:t>an ± SD of all six tibiofemoral kinematic parameters across the flexion-extension cycle, grouped by QVML, QVAP, and QVload.</w:t>
      </w:r>
    </w:p>
    <w:p w14:paraId="7BF9FF43" w14:textId="567BA6EF" w:rsidR="000D7A9A" w:rsidRPr="007B52A6" w:rsidRDefault="000D7A9A" w:rsidP="000D7A9A">
      <w:pPr>
        <w:pStyle w:val="ListParagraph"/>
        <w:numPr>
          <w:ilvl w:val="0"/>
          <w:numId w:val="3"/>
        </w:numPr>
      </w:pPr>
      <w:r w:rsidRPr="007B52A6">
        <w:t>Me</w:t>
      </w:r>
      <w:r w:rsidR="00D4693D" w:rsidRPr="007B52A6">
        <w:t>di</w:t>
      </w:r>
      <w:r w:rsidRPr="007B52A6">
        <w:t>an ± SD of the variation relative to the baseline condition.</w:t>
      </w:r>
    </w:p>
    <w:p w14:paraId="40C2A108" w14:textId="77777777" w:rsidR="000D7A9A" w:rsidRPr="007B52A6" w:rsidRDefault="000D7A9A" w:rsidP="000D7A9A">
      <w:pPr>
        <w:pStyle w:val="ListParagraph"/>
        <w:numPr>
          <w:ilvl w:val="0"/>
          <w:numId w:val="3"/>
        </w:numPr>
      </w:pPr>
      <w:r w:rsidRPr="007B52A6">
        <w:t>P-values from the Kruskal-Wallis test with Bonferroni correction for each parameter, identifying which quadriceps factors significantly influenced tibiofemoral motion.</w:t>
      </w:r>
    </w:p>
    <w:p w14:paraId="606FF7FE" w14:textId="65B122CB" w:rsidR="00411718" w:rsidRPr="007B52A6" w:rsidRDefault="001C0FBC" w:rsidP="00C42724">
      <w:pPr>
        <w:pStyle w:val="Caption"/>
        <w:jc w:val="center"/>
        <w:rPr>
          <w:rFonts w:ascii="Arial" w:hAnsi="Arial" w:cs="Arial"/>
          <w:color w:val="auto"/>
        </w:rPr>
      </w:pPr>
      <w:r w:rsidRPr="007B52A6">
        <w:rPr>
          <w:rFonts w:ascii="Arial" w:hAnsi="Arial" w:cs="Arial"/>
          <w:noProof/>
          <w:color w:val="auto"/>
          <w:lang w:val="en-IN" w:eastAsia="en-IN"/>
        </w:rPr>
        <w:drawing>
          <wp:inline distT="0" distB="0" distL="0" distR="0" wp14:anchorId="2777651C" wp14:editId="2FEAF24E">
            <wp:extent cx="5751576" cy="3128108"/>
            <wp:effectExtent l="0" t="0" r="1905" b="0"/>
            <wp:docPr id="1724741493" name="Picture 1" descr="A close-up of bo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4741493" name="Picture 1" descr="A close-up of bone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1576" cy="31281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BA3C74" w:rsidRPr="007B52A6">
        <w:rPr>
          <w:color w:val="auto"/>
        </w:rPr>
        <w:t xml:space="preserve"> Figure S2_1 Degrees of freedom of the tibiofemoral joint. Figshare repository (https://doi.org/10.6084/m9.figshare.29278721).</w:t>
      </w:r>
    </w:p>
    <w:p w14:paraId="305B85A0" w14:textId="30E4D1E1" w:rsidR="005B4443" w:rsidRPr="007B52A6" w:rsidRDefault="00C42724" w:rsidP="005B4443">
      <w:pPr>
        <w:pStyle w:val="Caption"/>
        <w:jc w:val="center"/>
        <w:rPr>
          <w:color w:val="auto"/>
        </w:rPr>
      </w:pPr>
      <w:r w:rsidRPr="007B52A6">
        <w:rPr>
          <w:noProof/>
          <w:color w:val="auto"/>
          <w:lang w:val="en-IN" w:eastAsia="en-IN"/>
        </w:rPr>
        <w:drawing>
          <wp:inline distT="0" distB="0" distL="0" distR="0" wp14:anchorId="738C1F57" wp14:editId="3AD4C0B1">
            <wp:extent cx="5943600" cy="4419716"/>
            <wp:effectExtent l="0" t="0" r="0" b="0"/>
            <wp:docPr id="166653415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197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1CCBFA1" w14:textId="616BDF24" w:rsidR="005B4443" w:rsidRPr="007B52A6" w:rsidRDefault="005B4443" w:rsidP="005B4443">
      <w:pPr>
        <w:pStyle w:val="Caption"/>
        <w:jc w:val="center"/>
        <w:rPr>
          <w:color w:val="auto"/>
        </w:rPr>
      </w:pPr>
      <w:r w:rsidRPr="007B52A6">
        <w:rPr>
          <w:color w:val="auto"/>
        </w:rPr>
        <w:t>Figure S</w:t>
      </w:r>
      <w:r w:rsidR="00BA3C74" w:rsidRPr="007B52A6">
        <w:rPr>
          <w:color w:val="auto"/>
        </w:rPr>
        <w:t>2_2</w:t>
      </w:r>
      <w:r w:rsidRPr="007B52A6">
        <w:rPr>
          <w:color w:val="auto"/>
        </w:rPr>
        <w:t>: Abduction-Adduction rotation of the femur</w:t>
      </w:r>
      <w:r w:rsidR="00BA3C74" w:rsidRPr="007B52A6">
        <w:rPr>
          <w:color w:val="auto"/>
        </w:rPr>
        <w:t xml:space="preserve"> after TKA</w:t>
      </w:r>
      <w:r w:rsidRPr="007B52A6">
        <w:rPr>
          <w:color w:val="auto"/>
        </w:rPr>
        <w:t>.  TOP: absolute values as a function of knee flexion angle (the median and standard deviation between 12 specimens are plotted).  CENTER: differences of all tests compared with the reference test (QVload = 20 N, QVML = neutral, QVAP = posterior). Left shows the difference as a function of QVML, middle QVload, right QVAP. BOTTOM: significance of the differences plotted at the center.  The p-value trend is plotted for the three parameters (left QVML, middle QVload, right QVAP); the significant values are highlighted in green (p&lt;0.05), the non significant ones in red (p≥0.05).</w:t>
      </w:r>
    </w:p>
    <w:p w14:paraId="56E075C1" w14:textId="54DAB1B1" w:rsidR="005B4443" w:rsidRPr="007B52A6" w:rsidRDefault="0052254E" w:rsidP="005B4443">
      <w:pPr>
        <w:pStyle w:val="Caption"/>
        <w:jc w:val="center"/>
        <w:rPr>
          <w:color w:val="auto"/>
          <w:lang w:eastAsia="zh-CN"/>
        </w:rPr>
      </w:pPr>
      <w:r w:rsidRPr="007B52A6">
        <w:rPr>
          <w:noProof/>
          <w:color w:val="auto"/>
          <w:lang w:val="en-IN" w:eastAsia="en-IN"/>
        </w:rPr>
        <w:drawing>
          <wp:inline distT="0" distB="0" distL="0" distR="0" wp14:anchorId="29456194" wp14:editId="1213106A">
            <wp:extent cx="5943600" cy="4406602"/>
            <wp:effectExtent l="0" t="0" r="0" b="0"/>
            <wp:docPr id="1706146189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066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C124719" w14:textId="14C4D3C8" w:rsidR="005B4443" w:rsidRPr="007B52A6" w:rsidRDefault="005B4443" w:rsidP="005B4443">
      <w:pPr>
        <w:pStyle w:val="Caption"/>
        <w:jc w:val="center"/>
        <w:rPr>
          <w:rFonts w:ascii="Arial" w:hAnsi="Arial" w:cs="Arial"/>
          <w:noProof/>
          <w:color w:val="auto"/>
          <w:lang w:eastAsia="zh-CN"/>
        </w:rPr>
      </w:pPr>
      <w:r w:rsidRPr="007B52A6">
        <w:rPr>
          <w:color w:val="auto"/>
        </w:rPr>
        <w:t xml:space="preserve"> Figure S</w:t>
      </w:r>
      <w:r w:rsidR="00BA3C74" w:rsidRPr="007B52A6">
        <w:rPr>
          <w:color w:val="auto"/>
        </w:rPr>
        <w:t>2_3</w:t>
      </w:r>
      <w:r w:rsidRPr="007B52A6">
        <w:rPr>
          <w:color w:val="auto"/>
        </w:rPr>
        <w:t>: Intra-Extra rotation of the femur</w:t>
      </w:r>
      <w:r w:rsidR="00BA3C74" w:rsidRPr="007B52A6">
        <w:rPr>
          <w:color w:val="auto"/>
        </w:rPr>
        <w:t xml:space="preserve"> after TKA</w:t>
      </w:r>
      <w:r w:rsidRPr="007B52A6">
        <w:rPr>
          <w:color w:val="auto"/>
        </w:rPr>
        <w:t>.  TOP: absolute values as a function of knee flexion angle (the median and standard deviation between 12 specimens are plotted).  CENTER: differences of all tests compared with the reference test (QVload = 20 N, QVML = neutral, QVAP = posterior). Left shows the difference as a function of QVML, middle QVload, right QVAP. BOTTOM: significance of the differences plotted at the center.  The p-value trend is plotted for the three parameters (left QVML, middle QVload, right QVAP); the significant values are highlighted in green (p&lt;0.05), the non significant ones in red (p≥0.05).</w:t>
      </w:r>
    </w:p>
    <w:p w14:paraId="643E900D" w14:textId="3FC0E3EA" w:rsidR="005B4443" w:rsidRPr="007B52A6" w:rsidRDefault="0052254E" w:rsidP="005B4443">
      <w:pPr>
        <w:rPr>
          <w:lang w:eastAsia="zh-CN"/>
        </w:rPr>
      </w:pPr>
      <w:r w:rsidRPr="007B52A6">
        <w:rPr>
          <w:noProof/>
          <w:lang w:val="en-IN" w:eastAsia="en-IN"/>
        </w:rPr>
        <w:drawing>
          <wp:inline distT="0" distB="0" distL="0" distR="0" wp14:anchorId="0A554A04" wp14:editId="606A6717">
            <wp:extent cx="5943600" cy="4432569"/>
            <wp:effectExtent l="0" t="0" r="0" b="6350"/>
            <wp:docPr id="1794140224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325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F293A3C" w14:textId="6D54FB14" w:rsidR="005B4443" w:rsidRPr="007B52A6" w:rsidRDefault="005B4443" w:rsidP="005B4443">
      <w:pPr>
        <w:pStyle w:val="Caption"/>
        <w:jc w:val="center"/>
        <w:rPr>
          <w:rFonts w:ascii="Arial" w:hAnsi="Arial" w:cs="Arial"/>
          <w:noProof/>
          <w:color w:val="auto"/>
          <w:lang w:eastAsia="zh-CN"/>
        </w:rPr>
      </w:pPr>
      <w:r w:rsidRPr="007B52A6">
        <w:rPr>
          <w:color w:val="auto"/>
        </w:rPr>
        <w:t xml:space="preserve"> Figure S</w:t>
      </w:r>
      <w:r w:rsidR="00BA3C74" w:rsidRPr="007B52A6">
        <w:rPr>
          <w:color w:val="auto"/>
        </w:rPr>
        <w:t>2_4</w:t>
      </w:r>
      <w:r w:rsidRPr="007B52A6">
        <w:rPr>
          <w:color w:val="auto"/>
        </w:rPr>
        <w:t>: Anterior-Posterior translation of the femur</w:t>
      </w:r>
      <w:r w:rsidR="00BA3C74" w:rsidRPr="007B52A6">
        <w:rPr>
          <w:color w:val="auto"/>
        </w:rPr>
        <w:t xml:space="preserve"> after TKA</w:t>
      </w:r>
      <w:r w:rsidRPr="007B52A6">
        <w:rPr>
          <w:color w:val="auto"/>
        </w:rPr>
        <w:t>.  TOP: absolute values as a function of knee flexion angle (the median and standard deviation between 12 specimens are plotted).  CENTER: differences of all tests compared with the reference test (QVload = 20 N, QVML = neutral, QVAP = posterior). Left shows the difference as a function of QVML, middle QVload, right QVAP. BOTTOM: significance of the differences plotted at the center.  The p-value trend is plotted for the three parameters (left QVML, middle QVload, right QVAP); the significant values are highlighted in green (p&lt;0.05), the non significant ones in red (p≥0.05).</w:t>
      </w:r>
    </w:p>
    <w:p w14:paraId="7BABDEC5" w14:textId="0812A380" w:rsidR="005B4443" w:rsidRPr="007B52A6" w:rsidRDefault="0052254E" w:rsidP="005B4443">
      <w:pPr>
        <w:rPr>
          <w:lang w:eastAsia="zh-CN"/>
        </w:rPr>
      </w:pPr>
      <w:r w:rsidRPr="007B52A6">
        <w:rPr>
          <w:noProof/>
          <w:lang w:val="en-IN" w:eastAsia="en-IN"/>
        </w:rPr>
        <w:drawing>
          <wp:inline distT="0" distB="0" distL="0" distR="0" wp14:anchorId="26772E1D" wp14:editId="4C590C0B">
            <wp:extent cx="5943600" cy="4413318"/>
            <wp:effectExtent l="0" t="0" r="0" b="6350"/>
            <wp:docPr id="1613189926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133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B8E16A4" w14:textId="33032555" w:rsidR="005B4443" w:rsidRPr="007B52A6" w:rsidRDefault="005B4443" w:rsidP="005B4443">
      <w:pPr>
        <w:pStyle w:val="Caption"/>
        <w:jc w:val="center"/>
        <w:rPr>
          <w:color w:val="auto"/>
        </w:rPr>
      </w:pPr>
      <w:r w:rsidRPr="007B52A6">
        <w:rPr>
          <w:color w:val="auto"/>
        </w:rPr>
        <w:t xml:space="preserve"> Figure S</w:t>
      </w:r>
      <w:r w:rsidR="00BA3C74" w:rsidRPr="007B52A6">
        <w:rPr>
          <w:color w:val="auto"/>
        </w:rPr>
        <w:t>2_</w:t>
      </w:r>
      <w:r w:rsidR="00E72B32" w:rsidRPr="007B52A6">
        <w:rPr>
          <w:color w:val="auto"/>
        </w:rPr>
        <w:t>5</w:t>
      </w:r>
      <w:r w:rsidRPr="007B52A6">
        <w:rPr>
          <w:color w:val="auto"/>
        </w:rPr>
        <w:t>: Proximal-Distal translation of the femur</w:t>
      </w:r>
      <w:r w:rsidR="00E72B32" w:rsidRPr="007B52A6">
        <w:rPr>
          <w:color w:val="auto"/>
        </w:rPr>
        <w:t xml:space="preserve"> after TKA</w:t>
      </w:r>
      <w:r w:rsidRPr="007B52A6">
        <w:rPr>
          <w:color w:val="auto"/>
        </w:rPr>
        <w:t>.  TOP: absolute values as a function of knee flexion angle (the median and standard deviation between 12 specimens are plotted).  CENTER: differences of all tests compared with the reference test (QVload = 20 N, QVML = neutral, QVAP = posterior). Left shows the difference as a function of QVML, middle QVload, right QVAP. BOTTOM: significance of the differences plotted at the center.  The p-value trend is plotted for the three parameters (left QVML, middle QVload, right QVAP); the significant values are highlighted in green (p&lt;0.05), the non significant ones in red (p≥0.05).green line.</w:t>
      </w:r>
    </w:p>
    <w:p w14:paraId="65075AC8" w14:textId="39551A81" w:rsidR="005B4443" w:rsidRPr="007B52A6" w:rsidRDefault="001768E7" w:rsidP="005B4443">
      <w:pPr>
        <w:pStyle w:val="Caption"/>
        <w:jc w:val="center"/>
        <w:rPr>
          <w:color w:val="auto"/>
          <w:lang w:eastAsia="zh-CN"/>
        </w:rPr>
      </w:pPr>
      <w:r w:rsidRPr="007B52A6">
        <w:rPr>
          <w:noProof/>
          <w:color w:val="auto"/>
          <w:lang w:val="en-IN" w:eastAsia="en-IN"/>
        </w:rPr>
        <w:drawing>
          <wp:inline distT="0" distB="0" distL="0" distR="0" wp14:anchorId="595CAAFC" wp14:editId="2EC5C426">
            <wp:extent cx="5943600" cy="4422754"/>
            <wp:effectExtent l="0" t="0" r="0" b="0"/>
            <wp:docPr id="1398070136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2275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6329640" w14:textId="7A1AEA09" w:rsidR="00AE1AD7" w:rsidRPr="007B52A6" w:rsidRDefault="005B4443" w:rsidP="005B4443">
      <w:pPr>
        <w:pStyle w:val="Caption"/>
        <w:jc w:val="center"/>
        <w:rPr>
          <w:color w:val="auto"/>
        </w:rPr>
      </w:pPr>
      <w:r w:rsidRPr="007B52A6">
        <w:rPr>
          <w:color w:val="auto"/>
        </w:rPr>
        <w:t>Figure S</w:t>
      </w:r>
      <w:r w:rsidR="00E72B32" w:rsidRPr="007B52A6">
        <w:rPr>
          <w:color w:val="auto"/>
        </w:rPr>
        <w:t>2_6</w:t>
      </w:r>
      <w:r w:rsidRPr="007B52A6">
        <w:rPr>
          <w:color w:val="auto"/>
        </w:rPr>
        <w:t>: Medial-Lateral translation of the femur</w:t>
      </w:r>
      <w:r w:rsidR="00E72B32" w:rsidRPr="007B52A6">
        <w:rPr>
          <w:color w:val="auto"/>
        </w:rPr>
        <w:t xml:space="preserve"> after TKA</w:t>
      </w:r>
      <w:r w:rsidRPr="007B52A6">
        <w:rPr>
          <w:color w:val="auto"/>
        </w:rPr>
        <w:t>.  TOP: absolute values as a function of knee flexion angle (the median and standard deviation between 12 specimens are plotted).  CENTER: differences of all tests compared with the reference test (QVload = 20 N, QVML = neutral, QVAP = posterior). Left shows the difference as a function of QVML, middle QVload, right QVAP. BOTTOM: significance of the differences plotted at the center.  The p-value trend is plotted for the three parameters (left QVML, middle QVload, right QVAP); the significant values are highlighted in green (p&lt;0.05), the non significant ones in red (p≥0.05).</w:t>
      </w:r>
    </w:p>
    <w:p w14:paraId="3F87F3F6" w14:textId="1A9FD4BC" w:rsidR="003A1BC7" w:rsidRPr="007B52A6" w:rsidRDefault="003A1BC7" w:rsidP="003A1BC7">
      <w:pPr>
        <w:rPr>
          <w:i/>
          <w:iCs/>
          <w:sz w:val="18"/>
          <w:szCs w:val="18"/>
        </w:rPr>
      </w:pPr>
    </w:p>
    <w:sectPr w:rsidR="003A1BC7" w:rsidRPr="007B52A6" w:rsidSect="007B52A6">
      <w:headerReference w:type="default" r:id="rId14"/>
      <w:footerReference w:type="defaul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B5B8D3" w14:textId="77777777" w:rsidR="003C3999" w:rsidRDefault="003C3999" w:rsidP="00B75DF9">
      <w:pPr>
        <w:spacing w:after="0" w:line="240" w:lineRule="auto"/>
      </w:pPr>
      <w:r>
        <w:separator/>
      </w:r>
    </w:p>
  </w:endnote>
  <w:endnote w:type="continuationSeparator" w:id="0">
    <w:p w14:paraId="523417AE" w14:textId="77777777" w:rsidR="003C3999" w:rsidRDefault="003C3999" w:rsidP="00B75D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1775636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F80DCCB" w14:textId="7724ED4C" w:rsidR="002D784B" w:rsidRDefault="002D784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25DFEF4" w14:textId="77777777" w:rsidR="002D784B" w:rsidRDefault="002D78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324FA9" w14:textId="77777777" w:rsidR="003C3999" w:rsidRDefault="003C3999" w:rsidP="00B75DF9">
      <w:pPr>
        <w:spacing w:after="0" w:line="240" w:lineRule="auto"/>
      </w:pPr>
      <w:r>
        <w:separator/>
      </w:r>
    </w:p>
  </w:footnote>
  <w:footnote w:type="continuationSeparator" w:id="0">
    <w:p w14:paraId="7A01DD9E" w14:textId="77777777" w:rsidR="003C3999" w:rsidRDefault="003C3999" w:rsidP="00B75D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418457" w14:textId="69B7DF43" w:rsidR="002D7C36" w:rsidRPr="00320D8C" w:rsidRDefault="003F0462">
    <w:pPr>
      <w:pStyle w:val="Header"/>
      <w:rPr>
        <w:sz w:val="20"/>
        <w:szCs w:val="20"/>
      </w:rPr>
    </w:pPr>
    <w:r w:rsidRPr="00320D8C">
      <w:rPr>
        <w:sz w:val="20"/>
        <w:szCs w:val="20"/>
      </w:rPr>
      <w:t>S</w:t>
    </w:r>
    <w:r w:rsidR="002D7C36" w:rsidRPr="00320D8C">
      <w:rPr>
        <w:sz w:val="20"/>
        <w:szCs w:val="20"/>
      </w:rPr>
      <w:t>uppl</w:t>
    </w:r>
    <w:r w:rsidR="00924992" w:rsidRPr="00320D8C">
      <w:rPr>
        <w:sz w:val="20"/>
        <w:szCs w:val="20"/>
      </w:rPr>
      <w:t>eme</w:t>
    </w:r>
    <w:r w:rsidRPr="00320D8C">
      <w:rPr>
        <w:sz w:val="20"/>
        <w:szCs w:val="20"/>
      </w:rPr>
      <w:t xml:space="preserve">ntary material </w:t>
    </w:r>
  </w:p>
  <w:p w14:paraId="65908D5E" w14:textId="3D92C352" w:rsidR="003F0462" w:rsidRPr="00320D8C" w:rsidRDefault="003F0462" w:rsidP="009C2776">
    <w:pPr>
      <w:pStyle w:val="Header"/>
      <w:jc w:val="right"/>
      <w:rPr>
        <w:sz w:val="20"/>
        <w:szCs w:val="20"/>
      </w:rPr>
    </w:pPr>
    <w:r w:rsidRPr="00320D8C">
      <w:rPr>
        <w:sz w:val="20"/>
        <w:szCs w:val="20"/>
      </w:rPr>
      <w:t>Appendix to the paper:</w:t>
    </w:r>
  </w:p>
  <w:p w14:paraId="3838034B" w14:textId="77777777" w:rsidR="009C2776" w:rsidRDefault="009C2776" w:rsidP="009C2776">
    <w:pPr>
      <w:pStyle w:val="Header"/>
      <w:jc w:val="right"/>
      <w:rPr>
        <w:sz w:val="20"/>
        <w:szCs w:val="20"/>
      </w:rPr>
    </w:pPr>
    <w:r w:rsidRPr="009C2776">
      <w:rPr>
        <w:sz w:val="20"/>
        <w:szCs w:val="20"/>
      </w:rPr>
      <w:t xml:space="preserve">Effect of Femoral Component Design and Quadriceps Load </w:t>
    </w:r>
  </w:p>
  <w:p w14:paraId="3E77D5AD" w14:textId="77777777" w:rsidR="009C2776" w:rsidRDefault="009C2776" w:rsidP="009C2776">
    <w:pPr>
      <w:pStyle w:val="Header"/>
      <w:jc w:val="right"/>
      <w:rPr>
        <w:sz w:val="20"/>
        <w:szCs w:val="20"/>
      </w:rPr>
    </w:pPr>
    <w:r w:rsidRPr="009C2776">
      <w:rPr>
        <w:sz w:val="20"/>
        <w:szCs w:val="20"/>
      </w:rPr>
      <w:t xml:space="preserve">on Patellofemoral Kinematics After Total Knee Arthroplasty: </w:t>
    </w:r>
  </w:p>
  <w:p w14:paraId="62EDD542" w14:textId="57E31A61" w:rsidR="009C2776" w:rsidRPr="009C2776" w:rsidRDefault="009C2776" w:rsidP="009C2776">
    <w:pPr>
      <w:pStyle w:val="Header"/>
      <w:jc w:val="right"/>
      <w:rPr>
        <w:sz w:val="20"/>
        <w:szCs w:val="20"/>
      </w:rPr>
    </w:pPr>
    <w:r w:rsidRPr="009C2776">
      <w:rPr>
        <w:sz w:val="20"/>
        <w:szCs w:val="20"/>
      </w:rPr>
      <w:t>An In Vitro Cadaveric Study</w:t>
    </w:r>
  </w:p>
  <w:p w14:paraId="5EDE5652" w14:textId="77777777" w:rsidR="003F0462" w:rsidRPr="003F0462" w:rsidRDefault="003F046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210743"/>
    <w:multiLevelType w:val="multilevel"/>
    <w:tmpl w:val="700A8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18D1E9A"/>
    <w:multiLevelType w:val="multilevel"/>
    <w:tmpl w:val="78608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70E55D7"/>
    <w:multiLevelType w:val="hybridMultilevel"/>
    <w:tmpl w:val="BBA2DABC"/>
    <w:lvl w:ilvl="0" w:tplc="78A86A5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70BF8"/>
    <w:multiLevelType w:val="hybridMultilevel"/>
    <w:tmpl w:val="C7FCB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7FD0"/>
    <w:rsid w:val="00001E34"/>
    <w:rsid w:val="00001F35"/>
    <w:rsid w:val="00006DC4"/>
    <w:rsid w:val="0001030C"/>
    <w:rsid w:val="00010D3A"/>
    <w:rsid w:val="00013249"/>
    <w:rsid w:val="00014436"/>
    <w:rsid w:val="00023A12"/>
    <w:rsid w:val="000263B8"/>
    <w:rsid w:val="00031FE9"/>
    <w:rsid w:val="00033D30"/>
    <w:rsid w:val="00035716"/>
    <w:rsid w:val="00041ED2"/>
    <w:rsid w:val="00071BD9"/>
    <w:rsid w:val="00074668"/>
    <w:rsid w:val="000832D0"/>
    <w:rsid w:val="000832E8"/>
    <w:rsid w:val="0009740F"/>
    <w:rsid w:val="000A0988"/>
    <w:rsid w:val="000A2909"/>
    <w:rsid w:val="000A4757"/>
    <w:rsid w:val="000A7F74"/>
    <w:rsid w:val="000B0F13"/>
    <w:rsid w:val="000B1604"/>
    <w:rsid w:val="000C2CC8"/>
    <w:rsid w:val="000C5325"/>
    <w:rsid w:val="000C584D"/>
    <w:rsid w:val="000D7A9A"/>
    <w:rsid w:val="000E4FDD"/>
    <w:rsid w:val="000E6D8B"/>
    <w:rsid w:val="000F3C65"/>
    <w:rsid w:val="0011102B"/>
    <w:rsid w:val="00111342"/>
    <w:rsid w:val="00111B03"/>
    <w:rsid w:val="00113A86"/>
    <w:rsid w:val="00114C7B"/>
    <w:rsid w:val="00122D78"/>
    <w:rsid w:val="001362C6"/>
    <w:rsid w:val="00144246"/>
    <w:rsid w:val="001517B2"/>
    <w:rsid w:val="00151908"/>
    <w:rsid w:val="00152224"/>
    <w:rsid w:val="00153DF9"/>
    <w:rsid w:val="0016478B"/>
    <w:rsid w:val="00165114"/>
    <w:rsid w:val="00170338"/>
    <w:rsid w:val="001717B5"/>
    <w:rsid w:val="001768E7"/>
    <w:rsid w:val="001808B0"/>
    <w:rsid w:val="0019492A"/>
    <w:rsid w:val="00194B91"/>
    <w:rsid w:val="001A3692"/>
    <w:rsid w:val="001B1BA7"/>
    <w:rsid w:val="001C0FBC"/>
    <w:rsid w:val="001D051D"/>
    <w:rsid w:val="001D35EE"/>
    <w:rsid w:val="001D457D"/>
    <w:rsid w:val="001D67C7"/>
    <w:rsid w:val="001F6E4F"/>
    <w:rsid w:val="0021201B"/>
    <w:rsid w:val="00216AEB"/>
    <w:rsid w:val="002210E4"/>
    <w:rsid w:val="00235EB4"/>
    <w:rsid w:val="0025012C"/>
    <w:rsid w:val="0026335E"/>
    <w:rsid w:val="00285DBA"/>
    <w:rsid w:val="00291F27"/>
    <w:rsid w:val="00294885"/>
    <w:rsid w:val="00296C93"/>
    <w:rsid w:val="002B252E"/>
    <w:rsid w:val="002C7307"/>
    <w:rsid w:val="002D0ED4"/>
    <w:rsid w:val="002D784B"/>
    <w:rsid w:val="002D7C36"/>
    <w:rsid w:val="002D7D8E"/>
    <w:rsid w:val="002E3531"/>
    <w:rsid w:val="002E49F2"/>
    <w:rsid w:val="002E7636"/>
    <w:rsid w:val="002F5B92"/>
    <w:rsid w:val="002F6A7D"/>
    <w:rsid w:val="00303771"/>
    <w:rsid w:val="003148FA"/>
    <w:rsid w:val="0031612E"/>
    <w:rsid w:val="00317695"/>
    <w:rsid w:val="00320D8C"/>
    <w:rsid w:val="003244D8"/>
    <w:rsid w:val="003272E6"/>
    <w:rsid w:val="0033759A"/>
    <w:rsid w:val="00341CC8"/>
    <w:rsid w:val="00355321"/>
    <w:rsid w:val="00357955"/>
    <w:rsid w:val="0036190B"/>
    <w:rsid w:val="00371B8E"/>
    <w:rsid w:val="00371BC5"/>
    <w:rsid w:val="00386507"/>
    <w:rsid w:val="0039758D"/>
    <w:rsid w:val="00397893"/>
    <w:rsid w:val="003A1BC7"/>
    <w:rsid w:val="003A305D"/>
    <w:rsid w:val="003A33C2"/>
    <w:rsid w:val="003B0131"/>
    <w:rsid w:val="003B2F5D"/>
    <w:rsid w:val="003C19F0"/>
    <w:rsid w:val="003C3999"/>
    <w:rsid w:val="003C55FB"/>
    <w:rsid w:val="003D05F7"/>
    <w:rsid w:val="003D76B6"/>
    <w:rsid w:val="003E23E5"/>
    <w:rsid w:val="003E4FA4"/>
    <w:rsid w:val="003F0462"/>
    <w:rsid w:val="003F625E"/>
    <w:rsid w:val="00400338"/>
    <w:rsid w:val="00402A3B"/>
    <w:rsid w:val="00406175"/>
    <w:rsid w:val="004111E9"/>
    <w:rsid w:val="00411718"/>
    <w:rsid w:val="004264B6"/>
    <w:rsid w:val="00432E33"/>
    <w:rsid w:val="00443CE7"/>
    <w:rsid w:val="00447C5F"/>
    <w:rsid w:val="00462C7A"/>
    <w:rsid w:val="00467017"/>
    <w:rsid w:val="004B67C7"/>
    <w:rsid w:val="004D0354"/>
    <w:rsid w:val="004D0A37"/>
    <w:rsid w:val="004F29D7"/>
    <w:rsid w:val="0051144B"/>
    <w:rsid w:val="00515059"/>
    <w:rsid w:val="00520A99"/>
    <w:rsid w:val="0052254E"/>
    <w:rsid w:val="00527BA5"/>
    <w:rsid w:val="00533CC9"/>
    <w:rsid w:val="00544752"/>
    <w:rsid w:val="00555BC2"/>
    <w:rsid w:val="00572629"/>
    <w:rsid w:val="005739A0"/>
    <w:rsid w:val="00576452"/>
    <w:rsid w:val="00581557"/>
    <w:rsid w:val="00583268"/>
    <w:rsid w:val="00585E79"/>
    <w:rsid w:val="00590C14"/>
    <w:rsid w:val="0059292A"/>
    <w:rsid w:val="00592FA1"/>
    <w:rsid w:val="005A1E17"/>
    <w:rsid w:val="005B4443"/>
    <w:rsid w:val="005B7026"/>
    <w:rsid w:val="005C023D"/>
    <w:rsid w:val="005C41F5"/>
    <w:rsid w:val="005C58C2"/>
    <w:rsid w:val="005D2F42"/>
    <w:rsid w:val="005D3E17"/>
    <w:rsid w:val="005E7270"/>
    <w:rsid w:val="005F5F6A"/>
    <w:rsid w:val="006017CF"/>
    <w:rsid w:val="0063175A"/>
    <w:rsid w:val="00634676"/>
    <w:rsid w:val="006556F5"/>
    <w:rsid w:val="00662436"/>
    <w:rsid w:val="00665CC3"/>
    <w:rsid w:val="00667485"/>
    <w:rsid w:val="006702AF"/>
    <w:rsid w:val="00670D62"/>
    <w:rsid w:val="006722D1"/>
    <w:rsid w:val="006857BB"/>
    <w:rsid w:val="00694A22"/>
    <w:rsid w:val="006A3CAA"/>
    <w:rsid w:val="006B1DC9"/>
    <w:rsid w:val="006B4A3C"/>
    <w:rsid w:val="006C05F6"/>
    <w:rsid w:val="006D66BA"/>
    <w:rsid w:val="006E1190"/>
    <w:rsid w:val="006F570B"/>
    <w:rsid w:val="007033E2"/>
    <w:rsid w:val="00703BAE"/>
    <w:rsid w:val="00706C04"/>
    <w:rsid w:val="00707D65"/>
    <w:rsid w:val="0071334A"/>
    <w:rsid w:val="00724D8C"/>
    <w:rsid w:val="00733E03"/>
    <w:rsid w:val="00736C2A"/>
    <w:rsid w:val="0074365E"/>
    <w:rsid w:val="007452D9"/>
    <w:rsid w:val="007467D6"/>
    <w:rsid w:val="00746E09"/>
    <w:rsid w:val="007626F4"/>
    <w:rsid w:val="00763AFE"/>
    <w:rsid w:val="0076439B"/>
    <w:rsid w:val="0077633C"/>
    <w:rsid w:val="007830D7"/>
    <w:rsid w:val="00787B43"/>
    <w:rsid w:val="007A4DFA"/>
    <w:rsid w:val="007A5967"/>
    <w:rsid w:val="007B52A6"/>
    <w:rsid w:val="007B6984"/>
    <w:rsid w:val="007D2208"/>
    <w:rsid w:val="007D51F8"/>
    <w:rsid w:val="007E080A"/>
    <w:rsid w:val="007E191A"/>
    <w:rsid w:val="007E2520"/>
    <w:rsid w:val="00800CEA"/>
    <w:rsid w:val="00801B86"/>
    <w:rsid w:val="00811A3A"/>
    <w:rsid w:val="00820967"/>
    <w:rsid w:val="00840951"/>
    <w:rsid w:val="00840C03"/>
    <w:rsid w:val="00842127"/>
    <w:rsid w:val="00843F3A"/>
    <w:rsid w:val="0084496B"/>
    <w:rsid w:val="008501B0"/>
    <w:rsid w:val="00850F32"/>
    <w:rsid w:val="00860736"/>
    <w:rsid w:val="00862C5A"/>
    <w:rsid w:val="00867C80"/>
    <w:rsid w:val="00882831"/>
    <w:rsid w:val="00890019"/>
    <w:rsid w:val="008B4C8F"/>
    <w:rsid w:val="008C1E4B"/>
    <w:rsid w:val="008D2801"/>
    <w:rsid w:val="008D3F2F"/>
    <w:rsid w:val="008E1AE2"/>
    <w:rsid w:val="008E36FB"/>
    <w:rsid w:val="008E393E"/>
    <w:rsid w:val="008F5299"/>
    <w:rsid w:val="008F77A3"/>
    <w:rsid w:val="009053F5"/>
    <w:rsid w:val="00916330"/>
    <w:rsid w:val="00924992"/>
    <w:rsid w:val="00924993"/>
    <w:rsid w:val="00924E35"/>
    <w:rsid w:val="009332E9"/>
    <w:rsid w:val="00946ED3"/>
    <w:rsid w:val="00947DF0"/>
    <w:rsid w:val="009530C1"/>
    <w:rsid w:val="00961C27"/>
    <w:rsid w:val="00971286"/>
    <w:rsid w:val="009A0D66"/>
    <w:rsid w:val="009C2776"/>
    <w:rsid w:val="009D5F2E"/>
    <w:rsid w:val="009E0E22"/>
    <w:rsid w:val="009E387E"/>
    <w:rsid w:val="009E3A48"/>
    <w:rsid w:val="009E67B7"/>
    <w:rsid w:val="009E746F"/>
    <w:rsid w:val="009E7EDE"/>
    <w:rsid w:val="009F40D0"/>
    <w:rsid w:val="009F450E"/>
    <w:rsid w:val="00A00C4C"/>
    <w:rsid w:val="00A02D98"/>
    <w:rsid w:val="00A058F6"/>
    <w:rsid w:val="00A13640"/>
    <w:rsid w:val="00A258EA"/>
    <w:rsid w:val="00A40BFB"/>
    <w:rsid w:val="00A416E6"/>
    <w:rsid w:val="00A678A2"/>
    <w:rsid w:val="00A70476"/>
    <w:rsid w:val="00A834F6"/>
    <w:rsid w:val="00A836C4"/>
    <w:rsid w:val="00A87F22"/>
    <w:rsid w:val="00A92972"/>
    <w:rsid w:val="00A93662"/>
    <w:rsid w:val="00A93EFD"/>
    <w:rsid w:val="00A94431"/>
    <w:rsid w:val="00A94B6C"/>
    <w:rsid w:val="00AA4A26"/>
    <w:rsid w:val="00AB000F"/>
    <w:rsid w:val="00AB0D96"/>
    <w:rsid w:val="00AB1626"/>
    <w:rsid w:val="00AB1A70"/>
    <w:rsid w:val="00AE1A65"/>
    <w:rsid w:val="00AE1AD7"/>
    <w:rsid w:val="00AE1B8D"/>
    <w:rsid w:val="00AE2B10"/>
    <w:rsid w:val="00AE2FCB"/>
    <w:rsid w:val="00AF0FB6"/>
    <w:rsid w:val="00AF7BD6"/>
    <w:rsid w:val="00B00595"/>
    <w:rsid w:val="00B07ED7"/>
    <w:rsid w:val="00B350ED"/>
    <w:rsid w:val="00B40CF8"/>
    <w:rsid w:val="00B51644"/>
    <w:rsid w:val="00B57806"/>
    <w:rsid w:val="00B60ACD"/>
    <w:rsid w:val="00B642A8"/>
    <w:rsid w:val="00B678FC"/>
    <w:rsid w:val="00B740D2"/>
    <w:rsid w:val="00B75DF9"/>
    <w:rsid w:val="00B84ADC"/>
    <w:rsid w:val="00B84C42"/>
    <w:rsid w:val="00B87474"/>
    <w:rsid w:val="00B87FD9"/>
    <w:rsid w:val="00B936C1"/>
    <w:rsid w:val="00B9764B"/>
    <w:rsid w:val="00BA3C74"/>
    <w:rsid w:val="00BA6522"/>
    <w:rsid w:val="00BA7408"/>
    <w:rsid w:val="00BB0BBF"/>
    <w:rsid w:val="00BB541F"/>
    <w:rsid w:val="00BC5BA9"/>
    <w:rsid w:val="00BE5C3D"/>
    <w:rsid w:val="00BF14E8"/>
    <w:rsid w:val="00BF4523"/>
    <w:rsid w:val="00C10363"/>
    <w:rsid w:val="00C210C0"/>
    <w:rsid w:val="00C22854"/>
    <w:rsid w:val="00C27331"/>
    <w:rsid w:val="00C42724"/>
    <w:rsid w:val="00C43E0C"/>
    <w:rsid w:val="00C51EF4"/>
    <w:rsid w:val="00C547B5"/>
    <w:rsid w:val="00C60706"/>
    <w:rsid w:val="00C67CC2"/>
    <w:rsid w:val="00C720D3"/>
    <w:rsid w:val="00C80E4C"/>
    <w:rsid w:val="00C81063"/>
    <w:rsid w:val="00C81082"/>
    <w:rsid w:val="00C9524C"/>
    <w:rsid w:val="00C9605B"/>
    <w:rsid w:val="00C96D25"/>
    <w:rsid w:val="00CB454C"/>
    <w:rsid w:val="00CC6517"/>
    <w:rsid w:val="00CD251D"/>
    <w:rsid w:val="00CD4E4D"/>
    <w:rsid w:val="00CD69CB"/>
    <w:rsid w:val="00CF40E9"/>
    <w:rsid w:val="00CF5041"/>
    <w:rsid w:val="00D02D78"/>
    <w:rsid w:val="00D05166"/>
    <w:rsid w:val="00D1569F"/>
    <w:rsid w:val="00D31446"/>
    <w:rsid w:val="00D3453F"/>
    <w:rsid w:val="00D43CE7"/>
    <w:rsid w:val="00D4693D"/>
    <w:rsid w:val="00D5468C"/>
    <w:rsid w:val="00D7262A"/>
    <w:rsid w:val="00D74054"/>
    <w:rsid w:val="00D815B6"/>
    <w:rsid w:val="00D93C44"/>
    <w:rsid w:val="00D950D3"/>
    <w:rsid w:val="00D97D65"/>
    <w:rsid w:val="00DC0E7F"/>
    <w:rsid w:val="00DC4B9E"/>
    <w:rsid w:val="00DD1BB5"/>
    <w:rsid w:val="00DF4BB3"/>
    <w:rsid w:val="00DF50CC"/>
    <w:rsid w:val="00E00D9D"/>
    <w:rsid w:val="00E040DC"/>
    <w:rsid w:val="00E07F1A"/>
    <w:rsid w:val="00E133BF"/>
    <w:rsid w:val="00E178F3"/>
    <w:rsid w:val="00E20050"/>
    <w:rsid w:val="00E23544"/>
    <w:rsid w:val="00E32496"/>
    <w:rsid w:val="00E34DCB"/>
    <w:rsid w:val="00E51EFB"/>
    <w:rsid w:val="00E54DDB"/>
    <w:rsid w:val="00E563BE"/>
    <w:rsid w:val="00E64202"/>
    <w:rsid w:val="00E65FFC"/>
    <w:rsid w:val="00E663C8"/>
    <w:rsid w:val="00E67C31"/>
    <w:rsid w:val="00E728DE"/>
    <w:rsid w:val="00E728F5"/>
    <w:rsid w:val="00E72B32"/>
    <w:rsid w:val="00E75509"/>
    <w:rsid w:val="00E80EF6"/>
    <w:rsid w:val="00E8778B"/>
    <w:rsid w:val="00E90025"/>
    <w:rsid w:val="00EA5119"/>
    <w:rsid w:val="00EB00F4"/>
    <w:rsid w:val="00EB64D0"/>
    <w:rsid w:val="00EC4E3E"/>
    <w:rsid w:val="00EC4F9E"/>
    <w:rsid w:val="00EC6628"/>
    <w:rsid w:val="00EC6CBC"/>
    <w:rsid w:val="00ED4AD5"/>
    <w:rsid w:val="00ED7FD0"/>
    <w:rsid w:val="00EE4399"/>
    <w:rsid w:val="00EE7E4C"/>
    <w:rsid w:val="00EF75AB"/>
    <w:rsid w:val="00F0180D"/>
    <w:rsid w:val="00F03814"/>
    <w:rsid w:val="00F11C29"/>
    <w:rsid w:val="00F123C2"/>
    <w:rsid w:val="00F1270D"/>
    <w:rsid w:val="00F1530F"/>
    <w:rsid w:val="00F21502"/>
    <w:rsid w:val="00F27B14"/>
    <w:rsid w:val="00F31C79"/>
    <w:rsid w:val="00F33F8B"/>
    <w:rsid w:val="00F4597C"/>
    <w:rsid w:val="00F5153A"/>
    <w:rsid w:val="00F643C6"/>
    <w:rsid w:val="00F7385D"/>
    <w:rsid w:val="00F74B77"/>
    <w:rsid w:val="00F80232"/>
    <w:rsid w:val="00F926FE"/>
    <w:rsid w:val="00FA4502"/>
    <w:rsid w:val="00FB0BD5"/>
    <w:rsid w:val="00FB115D"/>
    <w:rsid w:val="00FB62FD"/>
    <w:rsid w:val="00FC4E46"/>
    <w:rsid w:val="00FC7F7D"/>
    <w:rsid w:val="00FE7C68"/>
    <w:rsid w:val="00FF7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DA024"/>
  <w15:chartTrackingRefBased/>
  <w15:docId w15:val="{928D307E-BB54-4790-AAB6-5087AF506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SimSun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D7F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D7F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D7FD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D7F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ED7FD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D7FD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D7FD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D7FD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D7FD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D7FD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ED7FD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ED7FD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ED7FD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ED7FD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D7FD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D7FD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D7FD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D7FD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D7F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D7F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D7F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D7F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D7F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D7FD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D7FD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D7FD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D7F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D7FD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D7FD0"/>
    <w:rPr>
      <w:b/>
      <w:bCs/>
      <w:smallCaps/>
      <w:color w:val="0F4761" w:themeColor="accent1" w:themeShade="BF"/>
      <w:spacing w:val="5"/>
    </w:rPr>
  </w:style>
  <w:style w:type="paragraph" w:styleId="TOCHeading">
    <w:name w:val="TOC Heading"/>
    <w:basedOn w:val="Heading1"/>
    <w:next w:val="Normal"/>
    <w:uiPriority w:val="39"/>
    <w:unhideWhenUsed/>
    <w:qFormat/>
    <w:rsid w:val="00EC6CBC"/>
    <w:pPr>
      <w:spacing w:before="240" w:after="0" w:line="259" w:lineRule="auto"/>
      <w:outlineLvl w:val="9"/>
    </w:pPr>
    <w:rPr>
      <w:kern w:val="0"/>
      <w:sz w:val="32"/>
      <w:szCs w:val="32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EC6CBC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EC6CBC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C6CBC"/>
    <w:pPr>
      <w:spacing w:after="100"/>
      <w:ind w:left="480"/>
    </w:pPr>
  </w:style>
  <w:style w:type="character" w:styleId="Hyperlink">
    <w:name w:val="Hyperlink"/>
    <w:basedOn w:val="DefaultParagraphFont"/>
    <w:uiPriority w:val="99"/>
    <w:unhideWhenUsed/>
    <w:rsid w:val="00EC6CBC"/>
    <w:rPr>
      <w:color w:val="467886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75D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5DF9"/>
  </w:style>
  <w:style w:type="paragraph" w:styleId="Footer">
    <w:name w:val="footer"/>
    <w:basedOn w:val="Normal"/>
    <w:link w:val="FooterChar"/>
    <w:uiPriority w:val="99"/>
    <w:unhideWhenUsed/>
    <w:rsid w:val="00B75D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5DF9"/>
  </w:style>
  <w:style w:type="paragraph" w:styleId="Caption">
    <w:name w:val="caption"/>
    <w:basedOn w:val="Normal"/>
    <w:next w:val="Normal"/>
    <w:uiPriority w:val="35"/>
    <w:unhideWhenUsed/>
    <w:qFormat/>
    <w:rsid w:val="00E728F5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AB1626"/>
    <w:rPr>
      <w:rFonts w:ascii="Times New Roman" w:hAnsi="Times New Roman" w:cs="Times New Roman"/>
    </w:rPr>
  </w:style>
  <w:style w:type="paragraph" w:styleId="Bibliography">
    <w:name w:val="Bibliography"/>
    <w:basedOn w:val="Normal"/>
    <w:next w:val="Normal"/>
    <w:uiPriority w:val="37"/>
    <w:unhideWhenUsed/>
    <w:rsid w:val="003A1BC7"/>
    <w:pPr>
      <w:tabs>
        <w:tab w:val="left" w:pos="384"/>
      </w:tabs>
      <w:spacing w:after="0" w:line="240" w:lineRule="auto"/>
      <w:ind w:left="384" w:hanging="384"/>
    </w:pPr>
  </w:style>
  <w:style w:type="table" w:styleId="PlainTable5">
    <w:name w:val="Plain Table 5"/>
    <w:basedOn w:val="TableNormal"/>
    <w:uiPriority w:val="45"/>
    <w:rsid w:val="00C81082"/>
    <w:pPr>
      <w:spacing w:after="0" w:line="240" w:lineRule="auto"/>
    </w:pPr>
    <w:rPr>
      <w:rFonts w:eastAsiaTheme="minorHAnsi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C810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81082"/>
    <w:pPr>
      <w:spacing w:line="240" w:lineRule="auto"/>
    </w:pPr>
    <w:rPr>
      <w:rFonts w:eastAsiaTheme="minorHAns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81082"/>
    <w:rPr>
      <w:rFonts w:eastAsiaTheme="minorHAnsi"/>
      <w:sz w:val="20"/>
      <w:szCs w:val="20"/>
    </w:rPr>
  </w:style>
  <w:style w:type="paragraph" w:customStyle="1" w:styleId="Authors">
    <w:name w:val="Authors"/>
    <w:basedOn w:val="Heading3"/>
    <w:qFormat/>
    <w:rsid w:val="009C2776"/>
    <w:pPr>
      <w:keepLines w:val="0"/>
      <w:spacing w:before="0" w:after="0" w:line="240" w:lineRule="auto"/>
      <w:jc w:val="center"/>
    </w:pPr>
    <w:rPr>
      <w:rFonts w:ascii="Arial" w:eastAsia="Times New Roman" w:hAnsi="Arial" w:cs="Arial"/>
      <w:b/>
      <w:bCs/>
      <w:noProof/>
      <w:color w:val="auto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7B43"/>
    <w:rPr>
      <w:rFonts w:eastAsia="SimSun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7B43"/>
    <w:rPr>
      <w:rFonts w:eastAsiaTheme="minorHAns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1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5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3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5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7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20C7BF-6F3D-4BFC-AA8C-90D57630C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1580</TotalTime>
  <Pages>1</Pages>
  <Words>633</Words>
  <Characters>3612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 Maioli</dc:creator>
  <cp:keywords/>
  <dc:description/>
  <cp:lastModifiedBy>Revathi   Thangaraj</cp:lastModifiedBy>
  <cp:revision>282</cp:revision>
  <cp:lastPrinted>2025-07-18T09:49:00Z</cp:lastPrinted>
  <dcterms:created xsi:type="dcterms:W3CDTF">2025-02-26T15:25:00Z</dcterms:created>
  <dcterms:modified xsi:type="dcterms:W3CDTF">2026-01-23T10:12:00Z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id="J8d76Z97"/&gt;&lt;style id="http://www.zotero.org/styles/ieee" locale="en-US" hasBibliography="1" bibliographyStyleHasBeenSet="1"/&gt;&lt;prefs&gt;&lt;pref name="fieldType" value="Field"/&gt;&lt;pref name="automaticJour</vt:lpwstr>
  </property>
  <property fmtid="{D5CDD505-2E9C-101B-9397-08002B2CF9AE}" pid="3" name="ZOTERO_PREF_2">
    <vt:lpwstr>nalAbbreviations" value="true"/&gt;&lt;/prefs&gt;&lt;/data&gt;</vt:lpwstr>
  </property>
</Properties>
</file>