
<file path=[Content_Types].xml><?xml version="1.0" encoding="utf-8"?>
<Types xmlns="http://schemas.openxmlformats.org/package/2006/content-types">
  <Default Extension="jpeg" ContentType="image/jpe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91E14" w14:textId="6A618F9A" w:rsidR="003C21C4" w:rsidRPr="00F12015" w:rsidRDefault="00E207CA">
      <w:pPr>
        <w:spacing w:after="200"/>
        <w:jc w:val="center"/>
        <w:rPr>
          <w:rFonts w:asciiTheme="minorHAnsi" w:hAnsiTheme="minorHAnsi" w:cstheme="minorHAnsi"/>
          <w:b/>
          <w:bCs/>
          <w:sz w:val="24"/>
          <w:szCs w:val="24"/>
          <w:lang w:val="en-GB"/>
        </w:rPr>
      </w:pPr>
      <w:r w:rsidRPr="00F12015">
        <w:rPr>
          <w:rFonts w:asciiTheme="minorHAnsi" w:hAnsiTheme="minorHAnsi" w:cstheme="minorHAnsi"/>
          <w:b/>
          <w:bCs/>
          <w:sz w:val="24"/>
          <w:szCs w:val="24"/>
          <w:lang w:val="en-GB"/>
        </w:rPr>
        <w:t xml:space="preserve">Supplementary </w:t>
      </w:r>
      <w:r w:rsidR="00DE5C86" w:rsidRPr="00F12015">
        <w:rPr>
          <w:rFonts w:asciiTheme="minorHAnsi" w:hAnsiTheme="minorHAnsi" w:cstheme="minorHAnsi"/>
          <w:b/>
          <w:bCs/>
          <w:sz w:val="24"/>
          <w:szCs w:val="24"/>
          <w:lang w:val="en-GB"/>
        </w:rPr>
        <w:t xml:space="preserve">material </w:t>
      </w:r>
    </w:p>
    <w:p w14:paraId="0203A64F" w14:textId="77777777" w:rsidR="003C21C4" w:rsidRPr="00F12015" w:rsidRDefault="003C21C4">
      <w:pPr>
        <w:spacing w:after="200"/>
        <w:jc w:val="center"/>
        <w:rPr>
          <w:rFonts w:asciiTheme="minorHAnsi" w:hAnsiTheme="minorHAnsi" w:cstheme="minorHAnsi"/>
          <w:b/>
          <w:bCs/>
          <w:sz w:val="24"/>
          <w:szCs w:val="24"/>
          <w:lang w:val="en-GB"/>
        </w:rPr>
      </w:pPr>
    </w:p>
    <w:p w14:paraId="610FCB49" w14:textId="77777777" w:rsidR="003C21C4" w:rsidRPr="00F12015" w:rsidRDefault="00E207CA">
      <w:pPr>
        <w:spacing w:after="200"/>
        <w:jc w:val="center"/>
        <w:rPr>
          <w:rFonts w:asciiTheme="minorHAnsi" w:hAnsiTheme="minorHAnsi" w:cstheme="minorHAnsi"/>
          <w:b/>
          <w:bCs/>
          <w:sz w:val="24"/>
          <w:szCs w:val="24"/>
          <w:lang w:val="en-GB"/>
        </w:rPr>
      </w:pPr>
      <w:r w:rsidRPr="00F12015">
        <w:rPr>
          <w:rFonts w:asciiTheme="minorHAnsi" w:hAnsiTheme="minorHAnsi" w:cstheme="minorHAnsi"/>
          <w:b/>
          <w:bCs/>
          <w:sz w:val="24"/>
          <w:szCs w:val="24"/>
          <w:lang w:val="en-GB"/>
        </w:rPr>
        <w:t>Supplementary methods</w:t>
      </w:r>
    </w:p>
    <w:p w14:paraId="35F69E44" w14:textId="77777777" w:rsidR="003C21C4" w:rsidRPr="00F12015" w:rsidRDefault="003C21C4">
      <w:pPr>
        <w:spacing w:after="200"/>
        <w:jc w:val="center"/>
        <w:rPr>
          <w:rFonts w:asciiTheme="minorHAnsi" w:hAnsiTheme="minorHAnsi" w:cstheme="minorHAnsi"/>
          <w:b/>
          <w:bCs/>
          <w:sz w:val="24"/>
          <w:szCs w:val="24"/>
          <w:lang w:val="en-GB"/>
        </w:rPr>
      </w:pPr>
    </w:p>
    <w:p w14:paraId="51227304" w14:textId="77777777" w:rsidR="003C21C4" w:rsidRPr="00F12015" w:rsidRDefault="00E207CA">
      <w:pPr>
        <w:spacing w:after="200" w:line="480" w:lineRule="auto"/>
        <w:jc w:val="both"/>
        <w:rPr>
          <w:rFonts w:asciiTheme="minorHAnsi" w:hAnsiTheme="minorHAnsi" w:cstheme="minorHAnsi"/>
          <w:sz w:val="24"/>
          <w:szCs w:val="24"/>
          <w:lang w:val="en-US"/>
        </w:rPr>
      </w:pPr>
      <w:r w:rsidRPr="00F12015">
        <w:rPr>
          <w:rFonts w:asciiTheme="minorHAnsi" w:hAnsiTheme="minorHAnsi" w:cstheme="minorHAnsi"/>
          <w:b/>
          <w:bCs/>
          <w:sz w:val="24"/>
          <w:szCs w:val="24"/>
          <w:lang w:val="en-GB"/>
        </w:rPr>
        <w:t xml:space="preserve">Patient samples. </w:t>
      </w:r>
    </w:p>
    <w:p w14:paraId="31A331E7" w14:textId="0F2DE0E2" w:rsidR="003C21C4" w:rsidRPr="00F12015" w:rsidRDefault="00E207CA">
      <w:pPr>
        <w:spacing w:after="200" w:line="480" w:lineRule="auto"/>
        <w:jc w:val="both"/>
        <w:rPr>
          <w:rFonts w:asciiTheme="minorHAnsi" w:hAnsiTheme="minorHAnsi" w:cstheme="minorHAnsi"/>
          <w:sz w:val="24"/>
          <w:szCs w:val="24"/>
          <w:lang w:val="en-US"/>
        </w:rPr>
      </w:pPr>
      <w:r w:rsidRPr="00F12015">
        <w:rPr>
          <w:rFonts w:asciiTheme="minorHAnsi" w:hAnsiTheme="minorHAnsi" w:cstheme="minorHAnsi"/>
          <w:sz w:val="24"/>
          <w:szCs w:val="24"/>
          <w:lang w:val="en-GB"/>
        </w:rPr>
        <w:t xml:space="preserve">Samples collected from 75 advanced-phase CML patients (AP, n=22; myeloid BC, n=37; lymphoid BC, n=16) and 9 CP patients with multi-TKI-resistant disease harboring two or more </w:t>
      </w:r>
      <w:r w:rsidRPr="00F12015">
        <w:rPr>
          <w:rFonts w:asciiTheme="minorHAnsi" w:eastAsia="Calibri" w:hAnsiTheme="minorHAnsi" w:cstheme="minorHAnsi"/>
          <w:sz w:val="24"/>
          <w:szCs w:val="24"/>
          <w:lang w:val="en-GB"/>
        </w:rPr>
        <w:t>BCR::ABL1</w:t>
      </w:r>
      <w:r w:rsidRPr="00F12015">
        <w:rPr>
          <w:rFonts w:asciiTheme="minorHAnsi" w:hAnsiTheme="minorHAnsi" w:cstheme="minorHAnsi"/>
          <w:sz w:val="24"/>
          <w:szCs w:val="24"/>
          <w:lang w:val="en-GB"/>
        </w:rPr>
        <w:t xml:space="preserve"> kinase domain mutations (mut-CP) were screened for </w:t>
      </w:r>
      <w:r w:rsidRPr="00F12015">
        <w:rPr>
          <w:rFonts w:asciiTheme="minorHAnsi" w:hAnsiTheme="minorHAnsi" w:cstheme="minorHAnsi"/>
          <w:i/>
          <w:iCs/>
          <w:sz w:val="24"/>
          <w:szCs w:val="24"/>
          <w:lang w:val="en-GB"/>
        </w:rPr>
        <w:t>SETD2</w:t>
      </w:r>
      <w:r w:rsidRPr="00F12015">
        <w:rPr>
          <w:rFonts w:asciiTheme="minorHAnsi" w:hAnsiTheme="minorHAnsi" w:cstheme="minorHAnsi"/>
          <w:sz w:val="24"/>
          <w:szCs w:val="24"/>
          <w:lang w:val="en-GB"/>
        </w:rPr>
        <w:t xml:space="preserve"> gene mutations, </w:t>
      </w:r>
      <w:r w:rsidRPr="00F12015">
        <w:rPr>
          <w:rFonts w:asciiTheme="minorHAnsi" w:hAnsiTheme="minorHAnsi" w:cstheme="minorHAnsi"/>
          <w:i/>
          <w:iCs/>
          <w:sz w:val="24"/>
          <w:szCs w:val="24"/>
          <w:lang w:val="en-GB"/>
        </w:rPr>
        <w:t>SETD2</w:t>
      </w:r>
      <w:r w:rsidRPr="00F12015">
        <w:rPr>
          <w:rFonts w:asciiTheme="minorHAnsi" w:hAnsiTheme="minorHAnsi" w:cstheme="minorHAnsi"/>
          <w:sz w:val="24"/>
          <w:szCs w:val="24"/>
          <w:lang w:val="en-GB"/>
        </w:rPr>
        <w:t xml:space="preserve"> transcript levels, SETD2 protein expression and total H3K36me3 levels. DNA, RNA and proteins were obtained from total leukocytes using the AllPrep DNA/RNA/Protein Kit (Qiagen, Hilden, Germany). For transcript and protein levels, samples collected at diagnosis from CP pts (n=23) who achieved optimal response to therapy and samples from healthy donors (HD) were also studied for comparison. For 2 patients with myeloid BC and 2 patients with lymphoid BC, matched samples before and after progression were available. For 2 patients in myeloid BC and 2 patients in lymphoid BC, cryopreserved cells were also available for drug studies. Sample collection was approved by the Institutional Review Boards of the S. Orsola-Malpighi Hospital (protocol 112/2014/U/Tess) and of the participating institutions.</w:t>
      </w:r>
    </w:p>
    <w:p w14:paraId="5CBE2F67" w14:textId="77777777" w:rsidR="003C21C4" w:rsidRPr="00F12015" w:rsidRDefault="00E207CA">
      <w:pPr>
        <w:spacing w:after="200" w:line="480" w:lineRule="auto"/>
        <w:jc w:val="both"/>
        <w:rPr>
          <w:rFonts w:asciiTheme="minorHAnsi" w:hAnsiTheme="minorHAnsi" w:cstheme="minorHAnsi"/>
          <w:sz w:val="24"/>
          <w:szCs w:val="24"/>
          <w:lang w:val="en-US"/>
        </w:rPr>
      </w:pPr>
      <w:r w:rsidRPr="00F12015">
        <w:rPr>
          <w:rFonts w:asciiTheme="minorHAnsi" w:hAnsiTheme="minorHAnsi" w:cstheme="minorHAnsi"/>
          <w:b/>
          <w:bCs/>
          <w:sz w:val="24"/>
          <w:szCs w:val="24"/>
          <w:lang w:val="en-GB"/>
        </w:rPr>
        <w:t xml:space="preserve">RNA interference. </w:t>
      </w:r>
    </w:p>
    <w:p w14:paraId="072D5D03" w14:textId="77777777" w:rsidR="003C21C4" w:rsidRPr="00F12015" w:rsidRDefault="00E207CA">
      <w:pPr>
        <w:spacing w:after="200" w:line="480" w:lineRule="auto"/>
        <w:jc w:val="both"/>
        <w:rPr>
          <w:rFonts w:asciiTheme="minorHAnsi" w:hAnsiTheme="minorHAnsi" w:cstheme="minorHAnsi"/>
          <w:sz w:val="24"/>
          <w:szCs w:val="24"/>
          <w:lang w:val="en-US"/>
        </w:rPr>
      </w:pPr>
      <w:r w:rsidRPr="00F12015">
        <w:rPr>
          <w:rFonts w:asciiTheme="minorHAnsi" w:hAnsiTheme="minorHAnsi" w:cstheme="minorHAnsi"/>
          <w:sz w:val="24"/>
          <w:szCs w:val="24"/>
          <w:lang w:val="en-GB"/>
        </w:rPr>
        <w:t xml:space="preserve">A transient short interfering RNA approach was used to silence </w:t>
      </w:r>
      <w:r w:rsidRPr="00F12015">
        <w:rPr>
          <w:rFonts w:asciiTheme="minorHAnsi" w:hAnsiTheme="minorHAnsi" w:cstheme="minorHAnsi"/>
          <w:i/>
          <w:iCs/>
          <w:sz w:val="24"/>
          <w:szCs w:val="24"/>
          <w:lang w:val="en-GB"/>
        </w:rPr>
        <w:t xml:space="preserve">SETD2 </w:t>
      </w:r>
      <w:r w:rsidRPr="00F12015">
        <w:rPr>
          <w:rFonts w:asciiTheme="minorHAnsi" w:hAnsiTheme="minorHAnsi" w:cstheme="minorHAnsi"/>
          <w:sz w:val="24"/>
          <w:szCs w:val="24"/>
          <w:lang w:val="en-GB"/>
        </w:rPr>
        <w:t xml:space="preserve">in </w:t>
      </w:r>
      <w:r w:rsidRPr="00F12015">
        <w:rPr>
          <w:rFonts w:asciiTheme="minorHAnsi" w:eastAsia="Times New Roman" w:hAnsiTheme="minorHAnsi" w:cstheme="minorHAnsi"/>
          <w:iCs/>
          <w:sz w:val="24"/>
          <w:szCs w:val="24"/>
          <w:lang w:val="en-GB"/>
        </w:rPr>
        <w:t>LAMA84 cells</w:t>
      </w:r>
      <w:r w:rsidRPr="00F12015">
        <w:rPr>
          <w:rFonts w:asciiTheme="minorHAnsi" w:hAnsiTheme="minorHAnsi" w:cstheme="minorHAnsi"/>
          <w:sz w:val="24"/>
          <w:szCs w:val="24"/>
          <w:lang w:val="en-GB"/>
        </w:rPr>
        <w:t xml:space="preserve"> and to silence </w:t>
      </w:r>
      <w:r w:rsidRPr="00F12015">
        <w:rPr>
          <w:rFonts w:asciiTheme="minorHAnsi" w:hAnsiTheme="minorHAnsi" w:cstheme="minorHAnsi"/>
          <w:i/>
          <w:iCs/>
          <w:sz w:val="24"/>
          <w:szCs w:val="24"/>
          <w:lang w:val="en-GB"/>
        </w:rPr>
        <w:t>MDM2</w:t>
      </w:r>
      <w:r w:rsidRPr="00F12015">
        <w:rPr>
          <w:rFonts w:asciiTheme="minorHAnsi" w:hAnsiTheme="minorHAnsi" w:cstheme="minorHAnsi"/>
          <w:sz w:val="24"/>
          <w:szCs w:val="24"/>
          <w:lang w:val="en-GB"/>
        </w:rPr>
        <w:t xml:space="preserve"> and </w:t>
      </w:r>
      <w:r w:rsidRPr="00F12015">
        <w:rPr>
          <w:rFonts w:asciiTheme="minorHAnsi" w:hAnsiTheme="minorHAnsi" w:cstheme="minorHAnsi"/>
          <w:i/>
          <w:iCs/>
          <w:sz w:val="24"/>
          <w:szCs w:val="24"/>
          <w:lang w:val="en-GB"/>
        </w:rPr>
        <w:t xml:space="preserve">AURKA </w:t>
      </w:r>
      <w:r w:rsidRPr="00F12015">
        <w:rPr>
          <w:rFonts w:asciiTheme="minorHAnsi" w:hAnsiTheme="minorHAnsi" w:cstheme="minorHAnsi"/>
          <w:sz w:val="24"/>
          <w:szCs w:val="24"/>
          <w:lang w:val="en-GB"/>
        </w:rPr>
        <w:t>in K562 cells. Briefly, cells were plated at a density of 10</w:t>
      </w:r>
      <w:r w:rsidRPr="00F12015">
        <w:rPr>
          <w:rFonts w:asciiTheme="minorHAnsi" w:hAnsiTheme="minorHAnsi" w:cstheme="minorHAnsi"/>
          <w:sz w:val="24"/>
          <w:szCs w:val="24"/>
          <w:vertAlign w:val="superscript"/>
          <w:lang w:val="en-GB"/>
        </w:rPr>
        <w:t>5</w:t>
      </w:r>
      <w:r w:rsidRPr="00F12015">
        <w:rPr>
          <w:rFonts w:asciiTheme="minorHAnsi" w:hAnsiTheme="minorHAnsi" w:cstheme="minorHAnsi"/>
          <w:sz w:val="24"/>
          <w:szCs w:val="24"/>
          <w:lang w:val="en-GB"/>
        </w:rPr>
        <w:t xml:space="preserve"> cells/mL in a 6-well plate. After 24 hours (h), cells were transfected using 100 pM siRNA positive control duplex, or 100 pM negative control duplex or 100 pM of the gene-specific siRNAs (Integrated DNA Technologies, Coraville, IA, USA), mixed in 500 </w:t>
      </w:r>
      <w:r w:rsidRPr="00F12015">
        <w:rPr>
          <w:rFonts w:asciiTheme="minorHAnsi" w:hAnsiTheme="minorHAnsi" w:cstheme="minorHAnsi"/>
          <w:sz w:val="24"/>
          <w:szCs w:val="24"/>
          <w:lang w:val="en-GB"/>
        </w:rPr>
        <w:t xml:space="preserve">L of serum-free medium and 7.5 </w:t>
      </w:r>
      <w:r w:rsidRPr="00F12015">
        <w:rPr>
          <w:rFonts w:asciiTheme="minorHAnsi" w:hAnsiTheme="minorHAnsi" w:cstheme="minorHAnsi"/>
          <w:sz w:val="24"/>
          <w:szCs w:val="24"/>
          <w:lang w:val="en-GB"/>
        </w:rPr>
        <w:t>L of TransIT-siQUEST Reagent (Mirus, Madison, WI, USA). The siRNA duplex sequences selected (among three different sequences tested) to silence S</w:t>
      </w:r>
      <w:r w:rsidRPr="00F12015">
        <w:rPr>
          <w:rFonts w:asciiTheme="minorHAnsi" w:hAnsiTheme="minorHAnsi" w:cstheme="minorHAnsi"/>
          <w:i/>
          <w:iCs/>
          <w:sz w:val="24"/>
          <w:szCs w:val="24"/>
          <w:lang w:val="en-GB"/>
        </w:rPr>
        <w:t>ETD2</w:t>
      </w:r>
      <w:r w:rsidRPr="00F12015">
        <w:rPr>
          <w:rFonts w:asciiTheme="minorHAnsi" w:hAnsiTheme="minorHAnsi" w:cstheme="minorHAnsi"/>
          <w:sz w:val="24"/>
          <w:szCs w:val="24"/>
          <w:lang w:val="en-GB"/>
        </w:rPr>
        <w:t xml:space="preserve">, </w:t>
      </w:r>
      <w:r w:rsidRPr="00F12015">
        <w:rPr>
          <w:rFonts w:asciiTheme="minorHAnsi" w:hAnsiTheme="minorHAnsi" w:cstheme="minorHAnsi"/>
          <w:i/>
          <w:iCs/>
          <w:sz w:val="24"/>
          <w:szCs w:val="24"/>
          <w:lang w:val="en-GB"/>
        </w:rPr>
        <w:t>MDM2</w:t>
      </w:r>
      <w:r w:rsidRPr="00F12015">
        <w:rPr>
          <w:rFonts w:asciiTheme="minorHAnsi" w:hAnsiTheme="minorHAnsi" w:cstheme="minorHAnsi"/>
          <w:sz w:val="24"/>
          <w:szCs w:val="24"/>
          <w:lang w:val="en-GB"/>
        </w:rPr>
        <w:t xml:space="preserve"> and </w:t>
      </w:r>
      <w:r w:rsidRPr="00F12015">
        <w:rPr>
          <w:rFonts w:asciiTheme="minorHAnsi" w:hAnsiTheme="minorHAnsi" w:cstheme="minorHAnsi"/>
          <w:i/>
          <w:iCs/>
          <w:sz w:val="24"/>
          <w:szCs w:val="24"/>
          <w:lang w:val="en-GB"/>
        </w:rPr>
        <w:t xml:space="preserve">AURKA </w:t>
      </w:r>
      <w:r w:rsidRPr="00F12015">
        <w:rPr>
          <w:rFonts w:asciiTheme="minorHAnsi" w:hAnsiTheme="minorHAnsi" w:cstheme="minorHAnsi"/>
          <w:sz w:val="24"/>
          <w:szCs w:val="24"/>
          <w:lang w:val="en-GB"/>
        </w:rPr>
        <w:t>were 5’-AAGAAUAAAUCUCAUCGAGAUAUTA-3’, 5’-</w:t>
      </w:r>
      <w:r w:rsidRPr="00F12015">
        <w:rPr>
          <w:rFonts w:asciiTheme="minorHAnsi" w:hAnsiTheme="minorHAnsi" w:cstheme="minorHAnsi"/>
          <w:sz w:val="24"/>
          <w:szCs w:val="24"/>
          <w:lang w:val="en-GB"/>
        </w:rPr>
        <w:lastRenderedPageBreak/>
        <w:t xml:space="preserve">CUUUACAUGUGCAAAGAAGCUAAAG.3’, and 5’-GACAGGAACAUGCUACUGAAGUUTA-3’, respectively. Twenty-four hours post-transfection, RNA was isolated and target transcript levels were measured by RT-qPCR using the following TaqMan gene expression assays (ThermoFisher Scientific), </w:t>
      </w:r>
      <w:r w:rsidRPr="00F12015">
        <w:rPr>
          <w:rFonts w:asciiTheme="minorHAnsi" w:hAnsiTheme="minorHAnsi" w:cstheme="minorHAnsi"/>
          <w:i/>
          <w:iCs/>
          <w:sz w:val="24"/>
          <w:szCs w:val="24"/>
          <w:lang w:val="en-GB"/>
        </w:rPr>
        <w:t>SETD2</w:t>
      </w:r>
      <w:r w:rsidRPr="00F12015">
        <w:rPr>
          <w:rFonts w:asciiTheme="minorHAnsi" w:hAnsiTheme="minorHAnsi" w:cstheme="minorHAnsi"/>
          <w:sz w:val="24"/>
          <w:szCs w:val="24"/>
          <w:lang w:val="en-GB"/>
        </w:rPr>
        <w:t xml:space="preserve">: Hs01014784_m1; </w:t>
      </w:r>
      <w:r w:rsidRPr="00F12015">
        <w:rPr>
          <w:rFonts w:asciiTheme="minorHAnsi" w:hAnsiTheme="minorHAnsi" w:cstheme="minorHAnsi"/>
          <w:i/>
          <w:iCs/>
          <w:sz w:val="24"/>
          <w:szCs w:val="24"/>
          <w:lang w:val="en-GB"/>
        </w:rPr>
        <w:t>MDM2</w:t>
      </w:r>
      <w:r w:rsidRPr="00F12015">
        <w:rPr>
          <w:rFonts w:asciiTheme="minorHAnsi" w:hAnsiTheme="minorHAnsi" w:cstheme="minorHAnsi"/>
          <w:sz w:val="24"/>
          <w:szCs w:val="24"/>
          <w:lang w:val="en-GB"/>
        </w:rPr>
        <w:t xml:space="preserve">: Hs01066930_m1; </w:t>
      </w:r>
      <w:r w:rsidRPr="00F12015">
        <w:rPr>
          <w:rFonts w:asciiTheme="minorHAnsi" w:hAnsiTheme="minorHAnsi" w:cstheme="minorHAnsi"/>
          <w:i/>
          <w:iCs/>
          <w:sz w:val="24"/>
          <w:szCs w:val="24"/>
          <w:lang w:val="en-GB"/>
        </w:rPr>
        <w:t>AURKA</w:t>
      </w:r>
      <w:r w:rsidRPr="00F12015">
        <w:rPr>
          <w:rFonts w:asciiTheme="minorHAnsi" w:hAnsiTheme="minorHAnsi" w:cstheme="minorHAnsi"/>
          <w:sz w:val="24"/>
          <w:szCs w:val="24"/>
          <w:lang w:val="en-GB"/>
        </w:rPr>
        <w:t xml:space="preserve">: Hs01582072_m1. Relative expression was normalized to </w:t>
      </w:r>
      <w:r w:rsidRPr="00F12015">
        <w:rPr>
          <w:rFonts w:asciiTheme="minorHAnsi" w:hAnsiTheme="minorHAnsi" w:cstheme="minorHAnsi"/>
          <w:i/>
          <w:iCs/>
          <w:sz w:val="24"/>
          <w:szCs w:val="24"/>
          <w:lang w:val="en-GB"/>
        </w:rPr>
        <w:t>GUSB</w:t>
      </w:r>
      <w:r w:rsidRPr="00F12015">
        <w:rPr>
          <w:rFonts w:asciiTheme="minorHAnsi" w:hAnsiTheme="minorHAnsi" w:cstheme="minorHAnsi"/>
          <w:sz w:val="24"/>
          <w:szCs w:val="24"/>
          <w:lang w:val="en-GB"/>
        </w:rPr>
        <w:t xml:space="preserve"> mRNA (Hs00939627_m1) and the negative control was used as baseline (100%); 24, 48 and 72h post-transfection, protein expression was assessed by Western blotting (Figure S1 A).</w:t>
      </w:r>
    </w:p>
    <w:p w14:paraId="0B3BDD11" w14:textId="77777777" w:rsidR="003C21C4" w:rsidRPr="00F12015" w:rsidRDefault="00E207CA">
      <w:pPr>
        <w:spacing w:line="480" w:lineRule="auto"/>
        <w:jc w:val="both"/>
        <w:rPr>
          <w:rFonts w:asciiTheme="minorHAnsi" w:hAnsiTheme="minorHAnsi" w:cstheme="minorHAnsi"/>
          <w:sz w:val="24"/>
          <w:szCs w:val="24"/>
          <w:lang w:val="en-US"/>
        </w:rPr>
      </w:pPr>
      <w:r w:rsidRPr="00F12015">
        <w:rPr>
          <w:rFonts w:asciiTheme="minorHAnsi" w:hAnsiTheme="minorHAnsi" w:cstheme="minorHAnsi"/>
          <w:b/>
          <w:bCs/>
          <w:sz w:val="24"/>
          <w:szCs w:val="24"/>
          <w:lang w:val="en-US"/>
        </w:rPr>
        <w:t>Co-immunoprecipitation/immunoblotting and Western blot analyses.</w:t>
      </w:r>
    </w:p>
    <w:p w14:paraId="129C7C71" w14:textId="77777777" w:rsidR="003C21C4" w:rsidRPr="00F12015" w:rsidRDefault="00E207CA">
      <w:pPr>
        <w:spacing w:after="200" w:line="480" w:lineRule="auto"/>
        <w:jc w:val="both"/>
        <w:rPr>
          <w:rFonts w:asciiTheme="minorHAnsi" w:hAnsiTheme="minorHAnsi" w:cstheme="minorHAnsi"/>
          <w:sz w:val="24"/>
          <w:szCs w:val="24"/>
          <w:lang w:val="en-US"/>
        </w:rPr>
      </w:pPr>
      <w:r w:rsidRPr="00F12015">
        <w:rPr>
          <w:rFonts w:asciiTheme="minorHAnsi" w:hAnsiTheme="minorHAnsi" w:cstheme="minorHAnsi"/>
          <w:sz w:val="24"/>
          <w:szCs w:val="24"/>
          <w:lang w:val="en-US"/>
        </w:rPr>
        <w:t>WB was performed using 40 μg of whole cell lysates, separated on 10% Tris-glycine gels, transferred, and blotted. Immunoprecipitation (IP) was performed using 250 µg of whole cell lysates in the presence of Cyanogen bromide (CNBr)-activated sepharose 4B (GE Healthcare, Chicago, IL, USA) conjugated with an anti-SETD2 antibody (</w:t>
      </w:r>
      <w:r w:rsidRPr="00F12015">
        <w:rPr>
          <w:rFonts w:asciiTheme="minorHAnsi" w:hAnsiTheme="minorHAnsi" w:cstheme="minorHAnsi"/>
          <w:sz w:val="24"/>
          <w:szCs w:val="24"/>
          <w:lang w:val="en-GB"/>
        </w:rPr>
        <w:t>Genetex, Irvine, CA, USA</w:t>
      </w:r>
      <w:r w:rsidRPr="00F12015">
        <w:rPr>
          <w:rFonts w:asciiTheme="minorHAnsi" w:hAnsiTheme="minorHAnsi" w:cstheme="minorHAnsi"/>
          <w:sz w:val="24"/>
          <w:szCs w:val="24"/>
          <w:lang w:val="en-US"/>
        </w:rPr>
        <w:t xml:space="preserve">). IP products were resolved by SDS-PAGE, blotted and labeled with primary and secondary antibodies. </w:t>
      </w:r>
      <w:r w:rsidRPr="00F12015">
        <w:rPr>
          <w:rFonts w:asciiTheme="minorHAnsi" w:hAnsiTheme="minorHAnsi" w:cstheme="minorHAnsi"/>
          <w:sz w:val="24"/>
          <w:szCs w:val="24"/>
          <w:lang w:val="en-GB"/>
        </w:rPr>
        <w:t>Immunoreactive proteins were visualized by probing with horseradish peroxidase-conjugated secondary antibodies and then by enhanced chemiluminescence (ECL; Thermo Fisher Scientific). Blots were scanned by using a Chemidoc XRS+ (Bio Rad Laboratories, Hercules, CA, USA), In patient samples, band intensities for the SETD2 protein were quantified with the ImageJ software. Signal intensities in single blots obtained from three individual experiments were averaged, normalized to those of the loading controls and expressed as a fraction of the intensities, set to 1, obtained in a pool of 10 healthy donors of various ages used as a control.</w:t>
      </w:r>
    </w:p>
    <w:p w14:paraId="185EB56C" w14:textId="78E03718" w:rsidR="003C21C4" w:rsidRPr="00F12015" w:rsidRDefault="00E207CA">
      <w:pPr>
        <w:widowControl/>
        <w:spacing w:after="200" w:line="480" w:lineRule="auto"/>
        <w:jc w:val="both"/>
        <w:rPr>
          <w:rFonts w:asciiTheme="minorHAnsi" w:hAnsiTheme="minorHAnsi" w:cstheme="minorHAnsi"/>
          <w:sz w:val="24"/>
          <w:szCs w:val="24"/>
          <w:lang w:val="en-US"/>
        </w:rPr>
      </w:pPr>
      <w:r w:rsidRPr="00F12015">
        <w:rPr>
          <w:rFonts w:asciiTheme="minorHAnsi" w:hAnsiTheme="minorHAnsi" w:cstheme="minorHAnsi"/>
          <w:b/>
          <w:bCs/>
          <w:sz w:val="24"/>
          <w:szCs w:val="24"/>
          <w:lang w:val="en-GB"/>
        </w:rPr>
        <w:t xml:space="preserve">Immunofluorescence. </w:t>
      </w:r>
      <w:r w:rsidRPr="00F12015">
        <w:rPr>
          <w:rFonts w:asciiTheme="minorHAnsi" w:hAnsiTheme="minorHAnsi" w:cstheme="minorHAnsi"/>
          <w:sz w:val="24"/>
          <w:szCs w:val="24"/>
          <w:lang w:val="en-GB"/>
        </w:rPr>
        <w:t xml:space="preserve">Cells set on poly-L-lysine-coated glass slides were fixed with 3.7% paraformaldehyde </w:t>
      </w:r>
      <w:r w:rsidR="009D4A31" w:rsidRPr="00F12015">
        <w:rPr>
          <w:rFonts w:asciiTheme="minorHAnsi" w:hAnsiTheme="minorHAnsi" w:cstheme="minorHAnsi"/>
          <w:sz w:val="24"/>
          <w:szCs w:val="24"/>
          <w:lang w:val="en-GB"/>
        </w:rPr>
        <w:t xml:space="preserve">in phosphate-buffered saline (PBS) </w:t>
      </w:r>
      <w:r w:rsidRPr="00F12015">
        <w:rPr>
          <w:rFonts w:asciiTheme="minorHAnsi" w:hAnsiTheme="minorHAnsi" w:cstheme="minorHAnsi"/>
          <w:sz w:val="24"/>
          <w:szCs w:val="24"/>
          <w:lang w:val="en-GB"/>
        </w:rPr>
        <w:t>for 10 minutes (min) at 37°C, washed three times with 0.1M glycine in PBS, permeabilized in 70% ice-cold ethanol for 2 min at -20° C and incubated overnight at 4°C with primary anti phospho-H2AX S(139)</w:t>
      </w:r>
      <w:r w:rsidR="005E5AC2" w:rsidRPr="00F12015">
        <w:rPr>
          <w:rFonts w:asciiTheme="minorHAnsi" w:hAnsiTheme="minorHAnsi" w:cstheme="minorHAnsi"/>
          <w:sz w:val="24"/>
          <w:szCs w:val="24"/>
          <w:lang w:val="en-GB"/>
        </w:rPr>
        <w:t xml:space="preserve"> </w:t>
      </w:r>
      <w:r w:rsidR="004E1596" w:rsidRPr="00F12015">
        <w:rPr>
          <w:rFonts w:asciiTheme="minorHAnsi" w:hAnsiTheme="minorHAnsi" w:cstheme="minorHAnsi"/>
          <w:sz w:val="24"/>
          <w:szCs w:val="24"/>
          <w:lang w:val="en-GB"/>
        </w:rPr>
        <w:t>–</w:t>
      </w:r>
      <w:r w:rsidR="005E5AC2" w:rsidRPr="00F12015">
        <w:rPr>
          <w:rFonts w:asciiTheme="minorHAnsi" w:hAnsiTheme="minorHAnsi" w:cstheme="minorHAnsi"/>
          <w:sz w:val="24"/>
          <w:szCs w:val="24"/>
          <w:lang w:val="en-GB"/>
        </w:rPr>
        <w:t xml:space="preserve">(diluted 1/200 </w:t>
      </w:r>
      <w:r w:rsidR="00C757CE" w:rsidRPr="00F12015">
        <w:rPr>
          <w:rFonts w:asciiTheme="minorHAnsi" w:hAnsiTheme="minorHAnsi" w:cstheme="minorHAnsi"/>
          <w:sz w:val="24"/>
          <w:szCs w:val="24"/>
          <w:lang w:val="en-GB"/>
        </w:rPr>
        <w:t xml:space="preserve">in BSA1% in PBS </w:t>
      </w:r>
      <w:r w:rsidR="005E5AC2" w:rsidRPr="00F12015">
        <w:rPr>
          <w:rFonts w:asciiTheme="minorHAnsi" w:hAnsiTheme="minorHAnsi" w:cstheme="minorHAnsi"/>
          <w:sz w:val="24"/>
          <w:szCs w:val="24"/>
          <w:lang w:val="en-GB"/>
        </w:rPr>
        <w:t>according to the manufacturer's instructions)</w:t>
      </w:r>
      <w:r w:rsidRPr="00F12015">
        <w:rPr>
          <w:rFonts w:asciiTheme="minorHAnsi" w:hAnsiTheme="minorHAnsi" w:cstheme="minorHAnsi"/>
          <w:sz w:val="24"/>
          <w:szCs w:val="24"/>
          <w:lang w:val="en-GB"/>
        </w:rPr>
        <w:t>, anti-RAD51 antibodies</w:t>
      </w:r>
      <w:r w:rsidR="00160A4D" w:rsidRPr="00F12015">
        <w:rPr>
          <w:rFonts w:asciiTheme="minorHAnsi" w:hAnsiTheme="minorHAnsi" w:cstheme="minorHAnsi"/>
          <w:sz w:val="24"/>
          <w:szCs w:val="24"/>
          <w:lang w:val="en-GB"/>
        </w:rPr>
        <w:t xml:space="preserve">  (diluted 1/200 </w:t>
      </w:r>
      <w:r w:rsidR="00C757CE" w:rsidRPr="00F12015">
        <w:rPr>
          <w:rFonts w:asciiTheme="minorHAnsi" w:hAnsiTheme="minorHAnsi" w:cstheme="minorHAnsi"/>
          <w:sz w:val="24"/>
          <w:szCs w:val="24"/>
          <w:lang w:val="en-GB"/>
        </w:rPr>
        <w:t xml:space="preserve">in BSA1% in </w:t>
      </w:r>
      <w:r w:rsidR="00C757CE" w:rsidRPr="00F12015">
        <w:rPr>
          <w:rFonts w:asciiTheme="minorHAnsi" w:hAnsiTheme="minorHAnsi" w:cstheme="minorHAnsi"/>
          <w:sz w:val="24"/>
          <w:szCs w:val="24"/>
          <w:lang w:val="en-GB"/>
        </w:rPr>
        <w:lastRenderedPageBreak/>
        <w:t xml:space="preserve">PBS </w:t>
      </w:r>
      <w:r w:rsidR="00160A4D" w:rsidRPr="00F12015">
        <w:rPr>
          <w:rFonts w:asciiTheme="minorHAnsi" w:hAnsiTheme="minorHAnsi" w:cstheme="minorHAnsi"/>
          <w:sz w:val="24"/>
          <w:szCs w:val="24"/>
          <w:lang w:val="en-GB"/>
        </w:rPr>
        <w:t>according to the manufacturer's instructions)</w:t>
      </w:r>
      <w:r w:rsidRPr="00F12015">
        <w:rPr>
          <w:rFonts w:asciiTheme="minorHAnsi" w:hAnsiTheme="minorHAnsi" w:cstheme="minorHAnsi"/>
          <w:sz w:val="24"/>
          <w:szCs w:val="24"/>
          <w:lang w:val="en-GB"/>
        </w:rPr>
        <w:t>, or with anti-MSH6</w:t>
      </w:r>
      <w:r w:rsidR="002E3712" w:rsidRPr="00F12015">
        <w:rPr>
          <w:rFonts w:asciiTheme="minorHAnsi" w:hAnsiTheme="minorHAnsi" w:cstheme="minorHAnsi"/>
          <w:sz w:val="24"/>
          <w:szCs w:val="24"/>
          <w:lang w:val="en-GB"/>
        </w:rPr>
        <w:t xml:space="preserve">  (diluted 1/50 </w:t>
      </w:r>
      <w:r w:rsidR="00C757CE" w:rsidRPr="00F12015">
        <w:rPr>
          <w:rFonts w:asciiTheme="minorHAnsi" w:hAnsiTheme="minorHAnsi" w:cstheme="minorHAnsi"/>
          <w:sz w:val="24"/>
          <w:szCs w:val="24"/>
          <w:lang w:val="en-GB"/>
        </w:rPr>
        <w:t xml:space="preserve">in BSA1% in PBS </w:t>
      </w:r>
      <w:r w:rsidR="002E3712" w:rsidRPr="00F12015">
        <w:rPr>
          <w:rFonts w:asciiTheme="minorHAnsi" w:hAnsiTheme="minorHAnsi" w:cstheme="minorHAnsi"/>
          <w:sz w:val="24"/>
          <w:szCs w:val="24"/>
          <w:lang w:val="en-GB"/>
        </w:rPr>
        <w:t>according to the manufacturer's instructions)</w:t>
      </w:r>
      <w:r w:rsidRPr="00F12015">
        <w:rPr>
          <w:rFonts w:asciiTheme="minorHAnsi" w:hAnsiTheme="minorHAnsi" w:cstheme="minorHAnsi"/>
          <w:sz w:val="24"/>
          <w:szCs w:val="24"/>
          <w:lang w:val="en-GB"/>
        </w:rPr>
        <w:t xml:space="preserve"> and anti-THEX1</w:t>
      </w:r>
      <w:r w:rsidR="00851B85" w:rsidRPr="00F12015">
        <w:rPr>
          <w:rFonts w:asciiTheme="minorHAnsi" w:hAnsiTheme="minorHAnsi" w:cstheme="minorHAnsi"/>
          <w:sz w:val="24"/>
          <w:szCs w:val="24"/>
          <w:lang w:val="en-GB"/>
        </w:rPr>
        <w:t xml:space="preserve">  (diluted 1/50 </w:t>
      </w:r>
      <w:r w:rsidR="00C757CE" w:rsidRPr="00F12015">
        <w:rPr>
          <w:rFonts w:asciiTheme="minorHAnsi" w:hAnsiTheme="minorHAnsi" w:cstheme="minorHAnsi"/>
          <w:sz w:val="24"/>
          <w:szCs w:val="24"/>
          <w:lang w:val="en-GB"/>
        </w:rPr>
        <w:t xml:space="preserve">in BSA1% in PBS </w:t>
      </w:r>
      <w:r w:rsidR="00851B85" w:rsidRPr="00F12015">
        <w:rPr>
          <w:rFonts w:asciiTheme="minorHAnsi" w:hAnsiTheme="minorHAnsi" w:cstheme="minorHAnsi"/>
          <w:sz w:val="24"/>
          <w:szCs w:val="24"/>
          <w:lang w:val="en-GB"/>
        </w:rPr>
        <w:t>according to the manufacturer's instructions)</w:t>
      </w:r>
      <w:r w:rsidRPr="00F12015">
        <w:rPr>
          <w:rFonts w:asciiTheme="minorHAnsi" w:hAnsiTheme="minorHAnsi" w:cstheme="minorHAnsi"/>
          <w:sz w:val="24"/>
          <w:szCs w:val="24"/>
          <w:lang w:val="en-GB"/>
        </w:rPr>
        <w:t xml:space="preserve"> antibodies, or with anti-XRCC1</w:t>
      </w:r>
      <w:r w:rsidR="00C757CE" w:rsidRPr="00F12015">
        <w:rPr>
          <w:rFonts w:asciiTheme="minorHAnsi" w:hAnsiTheme="minorHAnsi" w:cstheme="minorHAnsi"/>
          <w:sz w:val="24"/>
          <w:szCs w:val="24"/>
          <w:lang w:val="en-GB"/>
        </w:rPr>
        <w:t xml:space="preserve">  (diluted 1/100 in BSA1% in PBS according to the manufacturer's instructions)</w:t>
      </w:r>
      <w:r w:rsidRPr="00F12015">
        <w:rPr>
          <w:rFonts w:asciiTheme="minorHAnsi" w:hAnsiTheme="minorHAnsi" w:cstheme="minorHAnsi"/>
          <w:sz w:val="24"/>
          <w:szCs w:val="24"/>
          <w:lang w:val="en-GB"/>
        </w:rPr>
        <w:t xml:space="preserve"> and anti-cleaved-PARP1 </w:t>
      </w:r>
      <w:r w:rsidR="0007755F" w:rsidRPr="00F12015">
        <w:rPr>
          <w:rFonts w:asciiTheme="minorHAnsi" w:hAnsiTheme="minorHAnsi" w:cstheme="minorHAnsi"/>
          <w:sz w:val="24"/>
          <w:szCs w:val="24"/>
          <w:lang w:val="en-GB"/>
        </w:rPr>
        <w:t xml:space="preserve">(diluted 1/400 in BSA1% in PBS according to the manufacturer's instructions) </w:t>
      </w:r>
      <w:r w:rsidRPr="00F12015">
        <w:rPr>
          <w:rFonts w:asciiTheme="minorHAnsi" w:hAnsiTheme="minorHAnsi" w:cstheme="minorHAnsi"/>
          <w:sz w:val="24"/>
          <w:szCs w:val="24"/>
          <w:lang w:val="en-GB"/>
        </w:rPr>
        <w:t xml:space="preserve">antibodies. Slides were then incubated with a secondary FITC- or Alexa Fluor 568-conjugated anti-rabbit antibody </w:t>
      </w:r>
      <w:r w:rsidR="0007755F" w:rsidRPr="00F12015">
        <w:rPr>
          <w:rFonts w:asciiTheme="minorHAnsi" w:hAnsiTheme="minorHAnsi" w:cstheme="minorHAnsi"/>
          <w:sz w:val="24"/>
          <w:szCs w:val="24"/>
          <w:lang w:val="en-GB"/>
        </w:rPr>
        <w:t xml:space="preserve">(both diluted 1/1000 in BSA1% in PBS according to the manufacturer's instructions) </w:t>
      </w:r>
      <w:r w:rsidRPr="00F12015">
        <w:rPr>
          <w:rFonts w:asciiTheme="minorHAnsi" w:hAnsiTheme="minorHAnsi" w:cstheme="minorHAnsi"/>
          <w:sz w:val="24"/>
          <w:szCs w:val="24"/>
          <w:lang w:val="en-GB"/>
        </w:rPr>
        <w:t>for 1h at room temperature, and a subsequent labelling with 6-diamidino-2-phenylindole (DAPI</w:t>
      </w:r>
      <w:r w:rsidR="00D05771" w:rsidRPr="00F12015">
        <w:rPr>
          <w:rFonts w:asciiTheme="minorHAnsi" w:hAnsiTheme="minorHAnsi" w:cstheme="minorHAnsi"/>
          <w:sz w:val="24"/>
          <w:szCs w:val="24"/>
          <w:lang w:val="en-GB"/>
        </w:rPr>
        <w:t xml:space="preserve"> diluted 0.1 µg/ml in PBS </w:t>
      </w:r>
      <w:r w:rsidR="00F01661" w:rsidRPr="00F12015">
        <w:rPr>
          <w:rFonts w:asciiTheme="minorHAnsi" w:hAnsiTheme="minorHAnsi" w:cstheme="minorHAnsi"/>
          <w:sz w:val="24"/>
          <w:szCs w:val="24"/>
          <w:lang w:val="en-GB"/>
        </w:rPr>
        <w:t xml:space="preserve">was </w:t>
      </w:r>
      <w:r w:rsidR="00D05771" w:rsidRPr="00F12015">
        <w:rPr>
          <w:rFonts w:asciiTheme="minorHAnsi" w:hAnsiTheme="minorHAnsi" w:cstheme="minorHAnsi"/>
          <w:sz w:val="24"/>
          <w:szCs w:val="24"/>
          <w:lang w:val="en-GB"/>
        </w:rPr>
        <w:t>incubate</w:t>
      </w:r>
      <w:r w:rsidR="00F01661" w:rsidRPr="00F12015">
        <w:rPr>
          <w:rFonts w:asciiTheme="minorHAnsi" w:hAnsiTheme="minorHAnsi" w:cstheme="minorHAnsi"/>
          <w:sz w:val="24"/>
          <w:szCs w:val="24"/>
          <w:lang w:val="en-GB"/>
        </w:rPr>
        <w:t>d</w:t>
      </w:r>
      <w:r w:rsidR="00D05771" w:rsidRPr="00F12015">
        <w:rPr>
          <w:rFonts w:asciiTheme="minorHAnsi" w:hAnsiTheme="minorHAnsi" w:cstheme="minorHAnsi"/>
          <w:sz w:val="24"/>
          <w:szCs w:val="24"/>
          <w:lang w:val="en-GB"/>
        </w:rPr>
        <w:t xml:space="preserve"> for 10 minutes at room temperature in the dark</w:t>
      </w:r>
      <w:r w:rsidRPr="00F12015">
        <w:rPr>
          <w:rFonts w:asciiTheme="minorHAnsi" w:hAnsiTheme="minorHAnsi" w:cstheme="minorHAnsi"/>
          <w:sz w:val="24"/>
          <w:szCs w:val="24"/>
          <w:lang w:val="en-GB"/>
        </w:rPr>
        <w:t>) was used to stain the nuclear compartment. All antibodies were purchased from Cell Signaling Technology</w:t>
      </w:r>
      <w:r w:rsidRPr="00F12015">
        <w:rPr>
          <w:rStyle w:val="lrzxr"/>
          <w:rFonts w:asciiTheme="minorHAnsi" w:hAnsiTheme="minorHAnsi" w:cstheme="minorHAnsi"/>
          <w:sz w:val="24"/>
          <w:szCs w:val="24"/>
          <w:lang w:val="en-GB"/>
        </w:rPr>
        <w:t xml:space="preserve">. </w:t>
      </w:r>
      <w:r w:rsidRPr="00F12015">
        <w:rPr>
          <w:rFonts w:asciiTheme="minorHAnsi" w:hAnsiTheme="minorHAnsi" w:cstheme="minorHAnsi"/>
          <w:sz w:val="24"/>
          <w:szCs w:val="24"/>
          <w:lang w:val="en-GB"/>
        </w:rPr>
        <w:t>Analyses were performed using an Axiovert 40 CFL microscope (Carl Zeiss S.p.A., Reggio Emilia, Italy). Images were acquired with a 100X objective.</w:t>
      </w:r>
    </w:p>
    <w:p w14:paraId="0462B6D2" w14:textId="77777777" w:rsidR="003C21C4" w:rsidRPr="00F12015" w:rsidRDefault="00E207CA">
      <w:pPr>
        <w:widowControl/>
        <w:tabs>
          <w:tab w:val="left" w:pos="630"/>
        </w:tabs>
        <w:spacing w:line="480" w:lineRule="auto"/>
        <w:ind w:right="283"/>
        <w:jc w:val="both"/>
        <w:rPr>
          <w:rFonts w:asciiTheme="minorHAnsi" w:hAnsiTheme="minorHAnsi" w:cstheme="minorHAnsi"/>
          <w:sz w:val="24"/>
          <w:szCs w:val="24"/>
          <w:lang w:val="en-US"/>
        </w:rPr>
      </w:pPr>
      <w:r w:rsidRPr="00F12015">
        <w:rPr>
          <w:rFonts w:asciiTheme="minorHAnsi" w:hAnsiTheme="minorHAnsi" w:cstheme="minorHAnsi"/>
          <w:b/>
          <w:bCs/>
          <w:sz w:val="24"/>
          <w:szCs w:val="24"/>
          <w:lang w:val="en-GB"/>
        </w:rPr>
        <w:t>Drug treatments.</w:t>
      </w:r>
      <w:r w:rsidRPr="00F12015">
        <w:rPr>
          <w:rFonts w:asciiTheme="minorHAnsi" w:hAnsiTheme="minorHAnsi" w:cstheme="minorHAnsi"/>
          <w:sz w:val="24"/>
          <w:szCs w:val="24"/>
          <w:lang w:val="en-GB"/>
        </w:rPr>
        <w:t xml:space="preserve"> Imatinib and nilotinib (Selleckchem, Houston, TX, USA) 1 µM and 100 nM, respectively, were used to inhibit BCR::ABL1 tyrosine kinase activity. Bortezomib (first generation proteasome inhibitor), ixazomib and carfilzomib (second generation proteasome inhibitors), all purchased from Selleckchem, were used to investigate the effects of proteasomal inhibition on SETD2 expression and activity. SP141 (Selleckchem) was used to assess the effects of MDM2 inhibition on SETD2, and alisertib (Selleckchem) was used to investigate the effects of selective Aurora kinase A inhibition on SETD2. UV chronic exposure (30 min three days a week for 14 weeks) and hydrogen peroxide single exposure (1mM for 30 and 60 min) were performed to test DNA damage repair differential ability of SETD2 proficient and deficient cell lines. The biological consequences on apoptotic cell death activation of the aforementioned drugs were evaluated after 24h treatment with each compound (10 nM bortezomib, 40 nM ixazomib, 5 nM carfilzomib, 5 µM SP141, 100nM of alisertib). Apoptotic cell death was assessed by measuring the uptake of </w:t>
      </w:r>
      <w:r w:rsidRPr="00F12015">
        <w:rPr>
          <w:rFonts w:asciiTheme="minorHAnsi" w:hAnsiTheme="minorHAnsi" w:cstheme="minorHAnsi"/>
          <w:sz w:val="24"/>
          <w:szCs w:val="24"/>
          <w:lang w:val="en-GB"/>
        </w:rPr>
        <w:lastRenderedPageBreak/>
        <w:t xml:space="preserve">ﬂuoresceinated Annexin V and propidium iodide (PI) (F. Hoffmann-La Roche Ltd., Basel, Switzerland) according to manufacturer’s instructions. A FACSCantoII ﬂow cytometer (Beckton Dickinson, Franklin Lakes, NJ, USA) set at 488nm excitation and 530nm wavelength bandpass ﬁlter for ﬂuorescein detection or 580nm for PI detection, and a dedicated software (DIVA software, Beckton Dickinson) were used. </w:t>
      </w:r>
    </w:p>
    <w:p w14:paraId="5A0C4DCF" w14:textId="77777777" w:rsidR="003C21C4" w:rsidRPr="00F12015" w:rsidRDefault="00E207CA">
      <w:pPr>
        <w:widowControl/>
        <w:spacing w:after="200" w:line="480" w:lineRule="auto"/>
        <w:ind w:right="283"/>
        <w:jc w:val="both"/>
        <w:rPr>
          <w:rFonts w:asciiTheme="minorHAnsi" w:hAnsiTheme="minorHAnsi" w:cstheme="minorHAnsi"/>
          <w:sz w:val="24"/>
          <w:szCs w:val="24"/>
          <w:lang w:val="en-US"/>
        </w:rPr>
      </w:pPr>
      <w:r w:rsidRPr="00F12015">
        <w:rPr>
          <w:rFonts w:asciiTheme="minorHAnsi" w:hAnsiTheme="minorHAnsi" w:cstheme="minorHAnsi"/>
          <w:sz w:val="24"/>
          <w:szCs w:val="24"/>
          <w:lang w:val="en-GB"/>
        </w:rPr>
        <w:t>Drug efficacy was evaluated by clonogenic assays. In CML cell lines and mononuclear cell fractions from primary samples, the reduction of colony number generated in StemMAC HSC-CFU Media (Miltenyi Biotec, Bergisch Gladbach, Germany) in the presence of increasing doses of bortezomib, ixazomib, carfilzomib, was assessed after 10 and 14 days of incubation at 37°C in a fully humidified atmosphere and 5% CO</w:t>
      </w:r>
      <w:r w:rsidRPr="00F12015">
        <w:rPr>
          <w:rFonts w:asciiTheme="minorHAnsi" w:hAnsiTheme="minorHAnsi" w:cstheme="minorHAnsi"/>
          <w:sz w:val="24"/>
          <w:szCs w:val="24"/>
          <w:vertAlign w:val="subscript"/>
          <w:lang w:val="en-GB"/>
        </w:rPr>
        <w:t>2</w:t>
      </w:r>
      <w:r w:rsidRPr="00F12015">
        <w:rPr>
          <w:rFonts w:asciiTheme="minorHAnsi" w:hAnsiTheme="minorHAnsi" w:cstheme="minorHAnsi"/>
          <w:sz w:val="24"/>
          <w:szCs w:val="24"/>
          <w:lang w:val="en-GB"/>
        </w:rPr>
        <w:t>, respectively. Nonlinear regression analyses (GraphPad Prism; GraphPad Software Inc.) were used to calculate the effective dose (ED50) of the different drugs.</w:t>
      </w:r>
    </w:p>
    <w:p w14:paraId="3C0681DC" w14:textId="1DF3785E" w:rsidR="003C21C4" w:rsidRPr="00F12015" w:rsidRDefault="00E207CA">
      <w:pPr>
        <w:spacing w:after="200" w:line="480" w:lineRule="auto"/>
        <w:jc w:val="both"/>
        <w:rPr>
          <w:rFonts w:asciiTheme="minorHAnsi" w:hAnsiTheme="minorHAnsi" w:cstheme="minorHAnsi"/>
          <w:b/>
          <w:bCs/>
          <w:sz w:val="24"/>
          <w:szCs w:val="24"/>
          <w:lang w:val="en-US"/>
        </w:rPr>
      </w:pPr>
      <w:bookmarkStart w:id="0" w:name="_Toc150805302"/>
      <w:bookmarkStart w:id="1" w:name="_Toc150955357"/>
      <w:bookmarkStart w:id="2" w:name="_Toc151383325"/>
      <w:r w:rsidRPr="00F12015">
        <w:rPr>
          <w:rFonts w:asciiTheme="minorHAnsi" w:hAnsiTheme="minorHAnsi" w:cstheme="minorHAnsi"/>
          <w:b/>
          <w:bCs/>
          <w:sz w:val="24"/>
          <w:szCs w:val="24"/>
          <w:lang w:val="en-US"/>
        </w:rPr>
        <w:t>C</w:t>
      </w:r>
      <w:bookmarkEnd w:id="0"/>
      <w:bookmarkEnd w:id="1"/>
      <w:bookmarkEnd w:id="2"/>
      <w:r w:rsidRPr="00F12015">
        <w:rPr>
          <w:rFonts w:asciiTheme="minorHAnsi" w:hAnsiTheme="minorHAnsi" w:cstheme="minorHAnsi"/>
          <w:b/>
          <w:bCs/>
          <w:sz w:val="24"/>
          <w:szCs w:val="24"/>
          <w:lang w:val="en-US"/>
        </w:rPr>
        <w:t xml:space="preserve">ytofluorimetric assays. </w:t>
      </w:r>
      <w:r w:rsidRPr="00F12015">
        <w:rPr>
          <w:rFonts w:asciiTheme="minorHAnsi" w:hAnsiTheme="minorHAnsi" w:cstheme="minorHAnsi"/>
          <w:sz w:val="24"/>
          <w:szCs w:val="24"/>
          <w:lang w:val="en-US"/>
        </w:rPr>
        <w:t>Cytofluorimetric assessment of protein expression and post-translational modifications was performed to obtain a quantitative evaluation of homologous recombination (HR) repair, mismatch repair (MMR), base excision repair (BER) and non-homologous end-joining (NHEJ) repair activation after DNA damage induction. Briefly, KCL22, KCL22 tsSETD2, LAMA84 parental and silenced for SETD2 cell lines before and after H</w:t>
      </w:r>
      <w:r w:rsidRPr="00F12015">
        <w:rPr>
          <w:rFonts w:asciiTheme="minorHAnsi" w:hAnsiTheme="minorHAnsi" w:cstheme="minorHAnsi"/>
          <w:sz w:val="24"/>
          <w:szCs w:val="24"/>
          <w:vertAlign w:val="subscript"/>
          <w:lang w:val="en-US"/>
        </w:rPr>
        <w:t>2</w:t>
      </w:r>
      <w:r w:rsidRPr="00F12015">
        <w:rPr>
          <w:rFonts w:asciiTheme="minorHAnsi" w:hAnsiTheme="minorHAnsi" w:cstheme="minorHAnsi"/>
          <w:sz w:val="24"/>
          <w:szCs w:val="24"/>
          <w:lang w:val="en-US"/>
        </w:rPr>
        <w:t>O</w:t>
      </w:r>
      <w:r w:rsidRPr="00F12015">
        <w:rPr>
          <w:rFonts w:asciiTheme="minorHAnsi" w:hAnsiTheme="minorHAnsi" w:cstheme="minorHAnsi"/>
          <w:sz w:val="24"/>
          <w:szCs w:val="24"/>
          <w:vertAlign w:val="subscript"/>
          <w:lang w:val="en-US"/>
        </w:rPr>
        <w:t>2</w:t>
      </w:r>
      <w:r w:rsidRPr="00F12015">
        <w:rPr>
          <w:rFonts w:asciiTheme="minorHAnsi" w:hAnsiTheme="minorHAnsi" w:cstheme="minorHAnsi"/>
          <w:sz w:val="24"/>
          <w:szCs w:val="24"/>
          <w:lang w:val="en-US"/>
        </w:rPr>
        <w:t xml:space="preserve"> or UV administration were pelleted by centrifugation and supernatant was removed. 10</w:t>
      </w:r>
      <w:r w:rsidRPr="00F12015">
        <w:rPr>
          <w:rFonts w:asciiTheme="minorHAnsi" w:hAnsiTheme="minorHAnsi" w:cstheme="minorHAnsi"/>
          <w:sz w:val="24"/>
          <w:szCs w:val="24"/>
          <w:vertAlign w:val="superscript"/>
          <w:lang w:val="en-US"/>
        </w:rPr>
        <w:t>6</w:t>
      </w:r>
      <w:r w:rsidRPr="00F12015">
        <w:rPr>
          <w:rFonts w:asciiTheme="minorHAnsi" w:hAnsiTheme="minorHAnsi" w:cstheme="minorHAnsi"/>
          <w:sz w:val="24"/>
          <w:szCs w:val="24"/>
          <w:lang w:val="en-US"/>
        </w:rPr>
        <w:t xml:space="preserve"> cells were then washed and fixed in 4% formaldehyde for 15 minutes at room temperature (20-25°C).  Permeabilization was carried out by adding -20° C 100% methanol slowly to pre-chilled cells, while gently vortexing, to a final concentration of 90% methanol. Cells were then washed by centrifugation to remove methanol and incubated in 100 µl of diluted primary antibodies (anti-p-H2AX(S139), anti-RAD51, anti-MSH6, anti-XRCC1 and anti-cleaved-PARP1), prepared in an antibody dilution buffer (BSA 1% in PBS) at the recommended dilution for 1 hour at room temperature. </w:t>
      </w:r>
      <w:r w:rsidRPr="00F12015">
        <w:rPr>
          <w:rFonts w:asciiTheme="minorHAnsi" w:hAnsiTheme="minorHAnsi" w:cstheme="minorHAnsi"/>
          <w:sz w:val="24"/>
          <w:szCs w:val="24"/>
          <w:lang w:val="en-GB"/>
        </w:rPr>
        <w:t>All antibodies were purchased from Cell Signaling Technology, Danvers, MA, USA</w:t>
      </w:r>
      <w:r w:rsidRPr="00F12015">
        <w:rPr>
          <w:rStyle w:val="lrzxr"/>
          <w:rFonts w:asciiTheme="minorHAnsi" w:hAnsiTheme="minorHAnsi" w:cstheme="minorHAnsi"/>
          <w:sz w:val="24"/>
          <w:szCs w:val="24"/>
          <w:lang w:val="en-GB"/>
        </w:rPr>
        <w:t>.</w:t>
      </w:r>
      <w:r w:rsidRPr="00F12015">
        <w:rPr>
          <w:rFonts w:asciiTheme="minorHAnsi" w:hAnsiTheme="minorHAnsi" w:cstheme="minorHAnsi"/>
          <w:sz w:val="24"/>
          <w:szCs w:val="24"/>
          <w:lang w:val="en-US"/>
        </w:rPr>
        <w:t xml:space="preserve"> Cells were resuspended in 100 µl of diluted fluorochrome-</w:t>
      </w:r>
      <w:r w:rsidRPr="00F12015">
        <w:rPr>
          <w:rFonts w:asciiTheme="minorHAnsi" w:hAnsiTheme="minorHAnsi" w:cstheme="minorHAnsi"/>
          <w:sz w:val="24"/>
          <w:szCs w:val="24"/>
          <w:lang w:val="en-US"/>
        </w:rPr>
        <w:lastRenderedPageBreak/>
        <w:t xml:space="preserve">conjugated secondary antibody (prepared in antibody dilution buffer at the recommended dilution) and incubated for 30 minutes at room temperature. Finally, cells were washed, resuspended in 500 µl of PBS and aquired by using a </w:t>
      </w:r>
      <w:r w:rsidRPr="00F12015">
        <w:rPr>
          <w:rFonts w:asciiTheme="minorHAnsi" w:eastAsia="Calibri" w:hAnsiTheme="minorHAnsi" w:cstheme="minorHAnsi"/>
          <w:bCs/>
          <w:sz w:val="24"/>
          <w:szCs w:val="24"/>
          <w:lang w:val="en-US"/>
        </w:rPr>
        <w:t>CytoFLEX</w:t>
      </w:r>
      <w:r w:rsidRPr="00F12015">
        <w:rPr>
          <w:rFonts w:asciiTheme="minorHAnsi" w:hAnsiTheme="minorHAnsi" w:cstheme="minorHAnsi"/>
          <w:bCs/>
          <w:sz w:val="24"/>
          <w:szCs w:val="24"/>
          <w:lang w:val="en-US"/>
        </w:rPr>
        <w:t xml:space="preserve"> analytical flow cytometer (Beckman Coulter, </w:t>
      </w:r>
      <w:r w:rsidRPr="00F12015">
        <w:rPr>
          <w:rFonts w:asciiTheme="minorHAnsi" w:hAnsiTheme="minorHAnsi" w:cstheme="minorHAnsi"/>
          <w:bCs/>
          <w:sz w:val="24"/>
          <w:szCs w:val="24"/>
          <w:lang w:val="en-GB"/>
        </w:rPr>
        <w:t>Brea, CA, USA</w:t>
      </w:r>
      <w:r w:rsidRPr="00F12015">
        <w:rPr>
          <w:rFonts w:asciiTheme="minorHAnsi" w:hAnsiTheme="minorHAnsi" w:cstheme="minorHAnsi"/>
          <w:bCs/>
          <w:sz w:val="24"/>
          <w:szCs w:val="24"/>
          <w:lang w:val="en-US"/>
        </w:rPr>
        <w:t>)</w:t>
      </w:r>
      <w:r w:rsidRPr="00F12015">
        <w:rPr>
          <w:rFonts w:asciiTheme="minorHAnsi" w:hAnsiTheme="minorHAnsi" w:cstheme="minorHAnsi"/>
          <w:sz w:val="24"/>
          <w:szCs w:val="24"/>
          <w:lang w:val="en-US"/>
        </w:rPr>
        <w:t>.</w:t>
      </w:r>
      <w:r w:rsidRPr="00F12015">
        <w:rPr>
          <w:rFonts w:asciiTheme="minorHAnsi" w:hAnsiTheme="minorHAnsi" w:cstheme="minorHAnsi"/>
          <w:sz w:val="24"/>
          <w:szCs w:val="24"/>
          <w:lang w:val="en-GB"/>
        </w:rPr>
        <w:br w:type="page"/>
      </w:r>
    </w:p>
    <w:p w14:paraId="60B0B760" w14:textId="6F044282" w:rsidR="003C21C4" w:rsidRPr="00F12015" w:rsidRDefault="00E207CA">
      <w:pPr>
        <w:spacing w:after="200" w:line="480" w:lineRule="auto"/>
        <w:jc w:val="center"/>
        <w:rPr>
          <w:rFonts w:asciiTheme="minorHAnsi" w:hAnsiTheme="minorHAnsi" w:cstheme="minorHAnsi"/>
          <w:b/>
          <w:bCs/>
          <w:sz w:val="24"/>
          <w:szCs w:val="24"/>
          <w:lang w:val="en-GB"/>
        </w:rPr>
      </w:pPr>
      <w:r w:rsidRPr="00F12015">
        <w:rPr>
          <w:rFonts w:asciiTheme="minorHAnsi" w:hAnsiTheme="minorHAnsi" w:cstheme="minorHAnsi"/>
          <w:b/>
          <w:bCs/>
          <w:sz w:val="24"/>
          <w:szCs w:val="24"/>
          <w:lang w:val="en-GB"/>
        </w:rPr>
        <w:lastRenderedPageBreak/>
        <w:t>Supplementary data</w:t>
      </w:r>
    </w:p>
    <w:p w14:paraId="11EB93FE" w14:textId="5C8FCA97" w:rsidR="00833E81" w:rsidRPr="00F12015" w:rsidRDefault="00833E81">
      <w:pPr>
        <w:spacing w:after="200" w:line="480" w:lineRule="auto"/>
        <w:jc w:val="center"/>
        <w:rPr>
          <w:rFonts w:asciiTheme="minorHAnsi" w:hAnsiTheme="minorHAnsi" w:cstheme="minorHAnsi"/>
          <w:sz w:val="24"/>
          <w:szCs w:val="24"/>
          <w:lang w:val="en-GB"/>
        </w:rPr>
      </w:pPr>
      <w:r w:rsidRPr="00F12015">
        <w:rPr>
          <w:rFonts w:asciiTheme="minorHAnsi" w:hAnsiTheme="minorHAnsi" w:cstheme="minorHAnsi"/>
          <w:noProof/>
          <w:sz w:val="24"/>
          <w:szCs w:val="24"/>
          <w:lang w:val="en-GB"/>
        </w:rPr>
        <w:drawing>
          <wp:inline distT="0" distB="0" distL="0" distR="0" wp14:anchorId="135BE683" wp14:editId="7AF4BF07">
            <wp:extent cx="5399533" cy="1530197"/>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rotWithShape="1">
                    <a:blip r:embed="rId7" cstate="print">
                      <a:extLst>
                        <a:ext uri="{28A0092B-C50C-407E-A947-70E740481C1C}">
                          <a14:useLocalDpi xmlns:a14="http://schemas.microsoft.com/office/drawing/2010/main" val="0"/>
                        </a:ext>
                      </a:extLst>
                    </a:blip>
                    <a:srcRect t="15030"/>
                    <a:stretch/>
                  </pic:blipFill>
                  <pic:spPr bwMode="auto">
                    <a:xfrm>
                      <a:off x="0" y="0"/>
                      <a:ext cx="5401056" cy="1530629"/>
                    </a:xfrm>
                    <a:prstGeom prst="rect">
                      <a:avLst/>
                    </a:prstGeom>
                    <a:ln>
                      <a:noFill/>
                    </a:ln>
                    <a:extLst>
                      <a:ext uri="{53640926-AAD7-44D8-BBD7-CCE9431645EC}">
                        <a14:shadowObscured xmlns:a14="http://schemas.microsoft.com/office/drawing/2010/main"/>
                      </a:ext>
                    </a:extLst>
                  </pic:spPr>
                </pic:pic>
              </a:graphicData>
            </a:graphic>
          </wp:inline>
        </w:drawing>
      </w:r>
    </w:p>
    <w:p w14:paraId="7677D1A3" w14:textId="35B25AC1" w:rsidR="003C21C4" w:rsidRPr="00F12015" w:rsidRDefault="00833E81" w:rsidP="00386DEA">
      <w:pPr>
        <w:spacing w:after="200" w:line="480" w:lineRule="auto"/>
        <w:jc w:val="both"/>
        <w:rPr>
          <w:rFonts w:cstheme="minorHAnsi"/>
          <w:lang w:val="en-GB"/>
        </w:rPr>
      </w:pPr>
      <w:r w:rsidRPr="00F12015">
        <w:rPr>
          <w:rFonts w:cstheme="minorHAnsi"/>
          <w:b/>
          <w:bCs/>
          <w:lang w:val="en-GB"/>
        </w:rPr>
        <w:t xml:space="preserve">Figure </w:t>
      </w:r>
      <w:r w:rsidR="007532BC" w:rsidRPr="00F12015">
        <w:rPr>
          <w:rFonts w:cstheme="minorHAnsi"/>
          <w:b/>
          <w:bCs/>
          <w:lang w:val="en-GB"/>
        </w:rPr>
        <w:t>1</w:t>
      </w:r>
      <w:r w:rsidRPr="00F12015">
        <w:rPr>
          <w:rFonts w:cstheme="minorHAnsi"/>
          <w:b/>
          <w:bCs/>
          <w:lang w:val="en-GB"/>
        </w:rPr>
        <w:t xml:space="preserve">S: </w:t>
      </w:r>
      <w:r w:rsidR="00386DEA" w:rsidRPr="00F12015">
        <w:rPr>
          <w:rFonts w:cstheme="minorHAnsi"/>
          <w:b/>
          <w:bCs/>
          <w:lang w:val="en-GB"/>
        </w:rPr>
        <w:t xml:space="preserve">SETD2 deficiency in CD34+ compartment. </w:t>
      </w:r>
      <w:r w:rsidRPr="00F12015">
        <w:rPr>
          <w:rFonts w:cstheme="minorHAnsi"/>
          <w:lang w:val="en-GB"/>
        </w:rPr>
        <w:t xml:space="preserve">Representative Western blot results for SETD2 protein and H3K36me3 levels in </w:t>
      </w:r>
      <w:r w:rsidR="00857FCD" w:rsidRPr="00F12015">
        <w:rPr>
          <w:rFonts w:cstheme="minorHAnsi"/>
          <w:lang w:val="en-GB"/>
        </w:rPr>
        <w:t xml:space="preserve">CD34+ vs CD34- cells from </w:t>
      </w:r>
      <w:r w:rsidRPr="00F12015">
        <w:rPr>
          <w:rFonts w:cstheme="minorHAnsi"/>
          <w:lang w:val="en-GB"/>
        </w:rPr>
        <w:t xml:space="preserve">CML patients as compared to a pool of healthy donors. </w:t>
      </w:r>
      <w:r w:rsidRPr="00F12015">
        <w:rPr>
          <w:rFonts w:cstheme="minorHAnsi"/>
          <w:b/>
          <w:bCs/>
          <w:lang w:val="en-GB"/>
        </w:rPr>
        <w:t>B</w:t>
      </w:r>
      <w:r w:rsidRPr="00F12015">
        <w:rPr>
          <w:rFonts w:cstheme="minorHAnsi"/>
          <w:lang w:val="en-GB"/>
        </w:rPr>
        <w:t xml:space="preserve"> Scatter plot of SETD2 levels estimated by densitometric analysis of Western blots. The median is indicated for each group. SETD2 signal intensities were normalized to those of beta-</w:t>
      </w:r>
      <w:r w:rsidR="00C1394C" w:rsidRPr="00F12015">
        <w:rPr>
          <w:rFonts w:cstheme="minorHAnsi"/>
          <w:lang w:val="en-GB"/>
        </w:rPr>
        <w:t>tub</w:t>
      </w:r>
      <w:r w:rsidR="00D60569" w:rsidRPr="00F12015">
        <w:rPr>
          <w:rFonts w:cstheme="minorHAnsi"/>
          <w:lang w:val="en-GB"/>
        </w:rPr>
        <w:t>u</w:t>
      </w:r>
      <w:r w:rsidR="00C1394C" w:rsidRPr="00F12015">
        <w:rPr>
          <w:rFonts w:cstheme="minorHAnsi"/>
          <w:lang w:val="en-GB"/>
        </w:rPr>
        <w:t>lin</w:t>
      </w:r>
      <w:r w:rsidRPr="00F12015">
        <w:rPr>
          <w:rFonts w:cstheme="minorHAnsi"/>
          <w:lang w:val="en-GB"/>
        </w:rPr>
        <w:t xml:space="preserve"> and averaged. Normalized SETD2 levels calculated in CML patients were then expressed in comparison to normalized SETD2 levels detected in a pool of </w:t>
      </w:r>
      <w:r w:rsidR="00D60569" w:rsidRPr="00F12015">
        <w:rPr>
          <w:rFonts w:cstheme="minorHAnsi"/>
          <w:lang w:val="en-GB"/>
        </w:rPr>
        <w:t>healthy donors</w:t>
      </w:r>
      <w:r w:rsidRPr="00F12015">
        <w:rPr>
          <w:rFonts w:cstheme="minorHAnsi"/>
          <w:lang w:val="en-GB"/>
        </w:rPr>
        <w:t xml:space="preserve">, conventionally set to 1. </w:t>
      </w:r>
      <w:r w:rsidR="00B42D79" w:rsidRPr="00F12015">
        <w:rPr>
          <w:rFonts w:cstheme="minorHAnsi"/>
          <w:highlight w:val="yellow"/>
          <w:lang w:val="en-GB"/>
        </w:rPr>
        <w:t>The Student's t test was used to compare the means between two groups (CP</w:t>
      </w:r>
      <w:r w:rsidR="00B42D79" w:rsidRPr="00F12015">
        <w:rPr>
          <w:rFonts w:cstheme="minorHAnsi"/>
          <w:highlight w:val="yellow"/>
          <w:lang w:val="en-GB"/>
        </w:rPr>
        <w:t xml:space="preserve"> CD34+</w:t>
      </w:r>
      <w:r w:rsidR="00B42D79" w:rsidRPr="00F12015">
        <w:rPr>
          <w:rFonts w:cstheme="minorHAnsi"/>
          <w:highlight w:val="yellow"/>
          <w:lang w:val="en-GB"/>
        </w:rPr>
        <w:t xml:space="preserve"> vs HDs</w:t>
      </w:r>
      <w:r w:rsidR="00B42D79" w:rsidRPr="00F12015">
        <w:rPr>
          <w:rFonts w:cstheme="minorHAnsi"/>
          <w:highlight w:val="yellow"/>
          <w:lang w:val="en-GB"/>
        </w:rPr>
        <w:t xml:space="preserve"> CD34+ P value&lt;0.0</w:t>
      </w:r>
      <w:r w:rsidR="00F569EB">
        <w:rPr>
          <w:rFonts w:cstheme="minorHAnsi"/>
          <w:highlight w:val="yellow"/>
          <w:lang w:val="en-GB"/>
        </w:rPr>
        <w:t>0</w:t>
      </w:r>
      <w:r w:rsidR="00B42D79" w:rsidRPr="00F12015">
        <w:rPr>
          <w:rFonts w:cstheme="minorHAnsi"/>
          <w:highlight w:val="yellow"/>
          <w:lang w:val="en-GB"/>
        </w:rPr>
        <w:t>01</w:t>
      </w:r>
      <w:r w:rsidR="00B42D79" w:rsidRPr="00F12015">
        <w:rPr>
          <w:rFonts w:cstheme="minorHAnsi"/>
          <w:highlight w:val="yellow"/>
          <w:lang w:val="en-GB"/>
        </w:rPr>
        <w:t>; CP</w:t>
      </w:r>
      <w:r w:rsidR="00B42D79" w:rsidRPr="00F12015">
        <w:rPr>
          <w:rFonts w:cstheme="minorHAnsi"/>
          <w:highlight w:val="yellow"/>
          <w:lang w:val="en-GB"/>
        </w:rPr>
        <w:t xml:space="preserve"> </w:t>
      </w:r>
      <w:r w:rsidR="00B42D79" w:rsidRPr="00F12015">
        <w:rPr>
          <w:rFonts w:cstheme="minorHAnsi"/>
          <w:highlight w:val="yellow"/>
          <w:lang w:val="en-GB"/>
        </w:rPr>
        <w:t>CD34+ vs</w:t>
      </w:r>
      <w:r w:rsidR="00B42D79" w:rsidRPr="00F12015">
        <w:rPr>
          <w:rFonts w:cstheme="minorHAnsi"/>
          <w:highlight w:val="yellow"/>
          <w:lang w:val="en-GB"/>
        </w:rPr>
        <w:t xml:space="preserve"> CP CD34-</w:t>
      </w:r>
      <w:r w:rsidR="00F569EB">
        <w:rPr>
          <w:rFonts w:cstheme="minorHAnsi"/>
          <w:highlight w:val="yellow"/>
          <w:lang w:val="en-GB"/>
        </w:rPr>
        <w:t xml:space="preserve"> </w:t>
      </w:r>
      <w:r w:rsidR="00F569EB" w:rsidRPr="00F12015">
        <w:rPr>
          <w:rFonts w:cstheme="minorHAnsi"/>
          <w:highlight w:val="yellow"/>
          <w:lang w:val="en-GB"/>
        </w:rPr>
        <w:t>P value&lt;0.0</w:t>
      </w:r>
      <w:r w:rsidR="00F569EB">
        <w:rPr>
          <w:rFonts w:cstheme="minorHAnsi"/>
          <w:highlight w:val="yellow"/>
          <w:lang w:val="en-GB"/>
        </w:rPr>
        <w:t>0</w:t>
      </w:r>
      <w:r w:rsidR="00F569EB" w:rsidRPr="00F12015">
        <w:rPr>
          <w:rFonts w:cstheme="minorHAnsi"/>
          <w:highlight w:val="yellow"/>
          <w:lang w:val="en-GB"/>
        </w:rPr>
        <w:t>01</w:t>
      </w:r>
      <w:r w:rsidR="00B42D79" w:rsidRPr="00F12015">
        <w:rPr>
          <w:rFonts w:cstheme="minorHAnsi"/>
          <w:highlight w:val="yellow"/>
          <w:lang w:val="en-GB"/>
        </w:rPr>
        <w:t xml:space="preserve">; </w:t>
      </w:r>
      <w:r w:rsidR="00B42D79" w:rsidRPr="00F12015">
        <w:rPr>
          <w:rFonts w:cstheme="minorHAnsi"/>
          <w:highlight w:val="yellow"/>
          <w:lang w:val="en-GB"/>
        </w:rPr>
        <w:t>AP</w:t>
      </w:r>
      <w:r w:rsidR="00B42D79" w:rsidRPr="00F12015">
        <w:rPr>
          <w:rFonts w:cstheme="minorHAnsi"/>
          <w:highlight w:val="yellow"/>
          <w:lang w:val="en-GB"/>
        </w:rPr>
        <w:t xml:space="preserve"> CD34+ vs </w:t>
      </w:r>
      <w:r w:rsidR="00F569EB">
        <w:rPr>
          <w:rFonts w:cstheme="minorHAnsi"/>
          <w:highlight w:val="yellow"/>
          <w:lang w:val="en-GB"/>
        </w:rPr>
        <w:t>HDs</w:t>
      </w:r>
      <w:r w:rsidR="00B42D79" w:rsidRPr="00F12015">
        <w:rPr>
          <w:rFonts w:cstheme="minorHAnsi"/>
          <w:highlight w:val="yellow"/>
          <w:lang w:val="en-GB"/>
        </w:rPr>
        <w:t xml:space="preserve"> CD34</w:t>
      </w:r>
      <w:r w:rsidR="00B42D79" w:rsidRPr="00F12015">
        <w:rPr>
          <w:rFonts w:cstheme="minorHAnsi"/>
          <w:highlight w:val="yellow"/>
          <w:lang w:val="en-GB"/>
        </w:rPr>
        <w:t>+</w:t>
      </w:r>
      <w:r w:rsidR="00F569EB">
        <w:rPr>
          <w:rFonts w:cstheme="minorHAnsi"/>
          <w:highlight w:val="yellow"/>
          <w:lang w:val="en-GB"/>
        </w:rPr>
        <w:t xml:space="preserve"> </w:t>
      </w:r>
      <w:r w:rsidR="00F569EB" w:rsidRPr="00F12015">
        <w:rPr>
          <w:rFonts w:cstheme="minorHAnsi"/>
          <w:highlight w:val="yellow"/>
          <w:lang w:val="en-GB"/>
        </w:rPr>
        <w:t>P value&lt;0.0</w:t>
      </w:r>
      <w:r w:rsidR="00F569EB">
        <w:rPr>
          <w:rFonts w:cstheme="minorHAnsi"/>
          <w:highlight w:val="yellow"/>
          <w:lang w:val="en-GB"/>
        </w:rPr>
        <w:t>0</w:t>
      </w:r>
      <w:r w:rsidR="00F569EB" w:rsidRPr="00F12015">
        <w:rPr>
          <w:rFonts w:cstheme="minorHAnsi"/>
          <w:highlight w:val="yellow"/>
          <w:lang w:val="en-GB"/>
        </w:rPr>
        <w:t>01</w:t>
      </w:r>
      <w:r w:rsidR="00B42D79" w:rsidRPr="00F12015">
        <w:rPr>
          <w:rFonts w:cstheme="minorHAnsi"/>
          <w:highlight w:val="yellow"/>
          <w:lang w:val="en-GB"/>
        </w:rPr>
        <w:t xml:space="preserve">; </w:t>
      </w:r>
      <w:r w:rsidR="00B42D79" w:rsidRPr="00F12015">
        <w:rPr>
          <w:rFonts w:cstheme="minorHAnsi"/>
          <w:highlight w:val="yellow"/>
          <w:lang w:val="en-GB"/>
        </w:rPr>
        <w:t>A</w:t>
      </w:r>
      <w:r w:rsidR="00B42D79" w:rsidRPr="00F12015">
        <w:rPr>
          <w:rFonts w:cstheme="minorHAnsi"/>
          <w:highlight w:val="yellow"/>
          <w:lang w:val="en-GB"/>
        </w:rPr>
        <w:t xml:space="preserve">P CD34+ vs </w:t>
      </w:r>
      <w:r w:rsidR="00B42D79" w:rsidRPr="00F12015">
        <w:rPr>
          <w:rFonts w:cstheme="minorHAnsi"/>
          <w:highlight w:val="yellow"/>
          <w:lang w:val="en-GB"/>
        </w:rPr>
        <w:t>A</w:t>
      </w:r>
      <w:r w:rsidR="00B42D79" w:rsidRPr="00F12015">
        <w:rPr>
          <w:rFonts w:cstheme="minorHAnsi"/>
          <w:highlight w:val="yellow"/>
          <w:lang w:val="en-GB"/>
        </w:rPr>
        <w:t>P CD34-</w:t>
      </w:r>
      <w:r w:rsidR="00F569EB" w:rsidRPr="00F569EB">
        <w:rPr>
          <w:rFonts w:cstheme="minorHAnsi"/>
          <w:highlight w:val="yellow"/>
          <w:lang w:val="en-GB"/>
        </w:rPr>
        <w:t xml:space="preserve"> </w:t>
      </w:r>
      <w:r w:rsidR="00F569EB" w:rsidRPr="00F12015">
        <w:rPr>
          <w:rFonts w:cstheme="minorHAnsi"/>
          <w:highlight w:val="yellow"/>
          <w:lang w:val="en-GB"/>
        </w:rPr>
        <w:t>P value&lt;0.0</w:t>
      </w:r>
      <w:r w:rsidR="00F569EB">
        <w:rPr>
          <w:rFonts w:cstheme="minorHAnsi"/>
          <w:highlight w:val="yellow"/>
          <w:lang w:val="en-GB"/>
        </w:rPr>
        <w:t>0</w:t>
      </w:r>
      <w:r w:rsidR="00F569EB">
        <w:rPr>
          <w:rFonts w:cstheme="minorHAnsi"/>
          <w:highlight w:val="yellow"/>
          <w:lang w:val="en-GB"/>
        </w:rPr>
        <w:t>1</w:t>
      </w:r>
      <w:r w:rsidR="00B42D79" w:rsidRPr="00F12015">
        <w:rPr>
          <w:rFonts w:cstheme="minorHAnsi"/>
          <w:highlight w:val="yellow"/>
          <w:lang w:val="en-GB"/>
        </w:rPr>
        <w:t>)</w:t>
      </w:r>
      <w:r w:rsidR="00C1394C" w:rsidRPr="00F12015">
        <w:rPr>
          <w:rFonts w:cstheme="minorHAnsi"/>
          <w:highlight w:val="yellow"/>
          <w:lang w:val="en-GB"/>
        </w:rPr>
        <w:t>.</w:t>
      </w:r>
      <w:r w:rsidR="00D60569" w:rsidRPr="00F12015">
        <w:rPr>
          <w:rFonts w:cstheme="minorHAnsi"/>
          <w:lang w:val="en-GB"/>
        </w:rPr>
        <w:t xml:space="preserve"> Abbreviations: HD, healthy donor; CP, chronic phase; AP, advanced-phase.</w:t>
      </w:r>
    </w:p>
    <w:p w14:paraId="27BBD89C" w14:textId="4EE0F368" w:rsidR="00027F61" w:rsidRPr="00F12015" w:rsidRDefault="00007869" w:rsidP="00830735">
      <w:pPr>
        <w:spacing w:after="200" w:line="480" w:lineRule="auto"/>
        <w:jc w:val="both"/>
        <w:rPr>
          <w:rFonts w:asciiTheme="minorHAnsi" w:hAnsiTheme="minorHAnsi" w:cstheme="minorHAnsi"/>
          <w:sz w:val="24"/>
          <w:szCs w:val="24"/>
          <w:lang w:val="en-GB"/>
        </w:rPr>
      </w:pPr>
      <w:r w:rsidRPr="00F12015">
        <w:rPr>
          <w:rFonts w:asciiTheme="minorHAnsi" w:hAnsiTheme="minorHAnsi" w:cstheme="minorHAnsi"/>
          <w:noProof/>
          <w:sz w:val="24"/>
          <w:szCs w:val="24"/>
          <w:lang w:val="en-GB"/>
        </w:rPr>
        <w:drawing>
          <wp:inline distT="0" distB="0" distL="0" distR="0" wp14:anchorId="26E6B20D" wp14:editId="2D360E00">
            <wp:extent cx="6120130" cy="3442335"/>
            <wp:effectExtent l="0" t="0" r="0" b="571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8">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2E470661" w14:textId="5C4D467B" w:rsidR="00830735" w:rsidRPr="00F12015" w:rsidRDefault="00830735" w:rsidP="00830735">
      <w:pPr>
        <w:spacing w:after="200" w:line="480" w:lineRule="auto"/>
        <w:jc w:val="both"/>
        <w:rPr>
          <w:rFonts w:asciiTheme="minorHAnsi" w:hAnsiTheme="minorHAnsi" w:cstheme="minorHAnsi"/>
          <w:sz w:val="24"/>
          <w:szCs w:val="24"/>
          <w:lang w:val="en-GB"/>
        </w:rPr>
      </w:pPr>
      <w:r w:rsidRPr="00F12015">
        <w:rPr>
          <w:rFonts w:asciiTheme="minorHAnsi" w:hAnsiTheme="minorHAnsi" w:cstheme="minorHAnsi"/>
          <w:sz w:val="24"/>
          <w:szCs w:val="24"/>
          <w:lang w:val="en-GB"/>
        </w:rPr>
        <w:lastRenderedPageBreak/>
        <w:t>Figure 2S:</w:t>
      </w:r>
      <w:r w:rsidR="005A090B" w:rsidRPr="00F12015">
        <w:rPr>
          <w:rFonts w:asciiTheme="minorHAnsi" w:hAnsiTheme="minorHAnsi" w:cstheme="minorHAnsi"/>
          <w:sz w:val="24"/>
          <w:szCs w:val="24"/>
          <w:lang w:val="en-GB"/>
        </w:rPr>
        <w:t xml:space="preserve"> Representative SETD2 mRNA transcript levels in</w:t>
      </w:r>
      <w:r w:rsidRPr="00F12015">
        <w:rPr>
          <w:rFonts w:asciiTheme="minorHAnsi" w:hAnsiTheme="minorHAnsi" w:cstheme="minorHAnsi"/>
          <w:sz w:val="24"/>
          <w:szCs w:val="24"/>
          <w:lang w:val="en-GB"/>
        </w:rPr>
        <w:t xml:space="preserve"> </w:t>
      </w:r>
      <w:r w:rsidR="005A090B" w:rsidRPr="00F12015">
        <w:rPr>
          <w:rFonts w:asciiTheme="minorHAnsi" w:hAnsiTheme="minorHAnsi" w:cstheme="minorHAnsi"/>
          <w:sz w:val="24"/>
          <w:szCs w:val="24"/>
          <w:lang w:val="en-GB"/>
        </w:rPr>
        <w:t>36 out of the 84 samples. SETD2 expression levels were normalized to GUSB (endogenous control) expression levels. and</w:t>
      </w:r>
      <w:r w:rsidR="00027F61" w:rsidRPr="00F12015">
        <w:rPr>
          <w:rFonts w:asciiTheme="minorHAnsi" w:hAnsiTheme="minorHAnsi" w:cstheme="minorHAnsi"/>
          <w:sz w:val="24"/>
          <w:szCs w:val="24"/>
          <w:lang w:val="en-GB"/>
        </w:rPr>
        <w:t xml:space="preserve"> quantified using the Comparative Ct method, using a pool of 10 healthy donors of various ages as calibrator.</w:t>
      </w:r>
    </w:p>
    <w:p w14:paraId="6DB24C67" w14:textId="7A94029E" w:rsidR="003C21C4" w:rsidRPr="00F12015" w:rsidRDefault="00193441">
      <w:pPr>
        <w:spacing w:after="200"/>
        <w:jc w:val="center"/>
        <w:rPr>
          <w:rFonts w:asciiTheme="minorHAnsi" w:hAnsiTheme="minorHAnsi" w:cstheme="minorHAnsi"/>
          <w:b/>
          <w:bCs/>
          <w:sz w:val="24"/>
          <w:szCs w:val="24"/>
          <w:lang w:val="en-GB"/>
        </w:rPr>
      </w:pPr>
      <w:r w:rsidRPr="00F12015">
        <w:rPr>
          <w:rFonts w:asciiTheme="minorHAnsi" w:hAnsiTheme="minorHAnsi" w:cstheme="minorHAnsi"/>
          <w:b/>
          <w:bCs/>
          <w:noProof/>
          <w:sz w:val="24"/>
          <w:szCs w:val="24"/>
          <w:lang w:val="en-GB"/>
        </w:rPr>
        <w:drawing>
          <wp:inline distT="0" distB="0" distL="0" distR="0" wp14:anchorId="1B356AD3" wp14:editId="25FF7135">
            <wp:extent cx="6120130" cy="3146679"/>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rotWithShape="1">
                    <a:blip r:embed="rId9" cstate="print">
                      <a:extLst>
                        <a:ext uri="{28A0092B-C50C-407E-A947-70E740481C1C}">
                          <a14:useLocalDpi xmlns:a14="http://schemas.microsoft.com/office/drawing/2010/main" val="0"/>
                        </a:ext>
                      </a:extLst>
                    </a:blip>
                    <a:srcRect t="6519"/>
                    <a:stretch/>
                  </pic:blipFill>
                  <pic:spPr bwMode="auto">
                    <a:xfrm>
                      <a:off x="0" y="0"/>
                      <a:ext cx="6120130" cy="3146679"/>
                    </a:xfrm>
                    <a:prstGeom prst="rect">
                      <a:avLst/>
                    </a:prstGeom>
                    <a:ln>
                      <a:noFill/>
                    </a:ln>
                    <a:extLst>
                      <a:ext uri="{53640926-AAD7-44D8-BBD7-CCE9431645EC}">
                        <a14:shadowObscured xmlns:a14="http://schemas.microsoft.com/office/drawing/2010/main"/>
                      </a:ext>
                    </a:extLst>
                  </pic:spPr>
                </pic:pic>
              </a:graphicData>
            </a:graphic>
          </wp:inline>
        </w:drawing>
      </w:r>
    </w:p>
    <w:p w14:paraId="6C2A04B9" w14:textId="77777777" w:rsidR="003C21C4" w:rsidRPr="00F12015" w:rsidRDefault="003C21C4">
      <w:pPr>
        <w:spacing w:after="200" w:line="360" w:lineRule="auto"/>
        <w:jc w:val="both"/>
        <w:rPr>
          <w:rFonts w:asciiTheme="minorHAnsi" w:hAnsiTheme="minorHAnsi" w:cstheme="minorHAnsi"/>
          <w:sz w:val="24"/>
          <w:szCs w:val="24"/>
          <w:lang w:val="en-GB"/>
        </w:rPr>
      </w:pPr>
    </w:p>
    <w:p w14:paraId="24DD061C" w14:textId="343CFD11" w:rsidR="001D2615" w:rsidRPr="00F12015" w:rsidRDefault="00E207CA">
      <w:pPr>
        <w:spacing w:after="200" w:line="360" w:lineRule="auto"/>
        <w:jc w:val="both"/>
        <w:rPr>
          <w:rFonts w:asciiTheme="minorHAnsi" w:hAnsiTheme="minorHAnsi" w:cstheme="minorHAnsi"/>
          <w:sz w:val="24"/>
          <w:szCs w:val="24"/>
          <w:shd w:val="clear" w:color="auto" w:fill="FFFFFF"/>
          <w:lang w:val="en-GB"/>
        </w:rPr>
      </w:pPr>
      <w:r w:rsidRPr="00F12015">
        <w:rPr>
          <w:rFonts w:asciiTheme="minorHAnsi" w:hAnsiTheme="minorHAnsi" w:cstheme="minorHAnsi"/>
          <w:b/>
          <w:bCs/>
          <w:sz w:val="24"/>
          <w:szCs w:val="24"/>
          <w:lang w:val="en-GB"/>
        </w:rPr>
        <w:t xml:space="preserve">Figure </w:t>
      </w:r>
      <w:r w:rsidR="00830735" w:rsidRPr="00F12015">
        <w:rPr>
          <w:rFonts w:asciiTheme="minorHAnsi" w:hAnsiTheme="minorHAnsi" w:cstheme="minorHAnsi"/>
          <w:b/>
          <w:bCs/>
          <w:sz w:val="24"/>
          <w:szCs w:val="24"/>
          <w:lang w:val="en-GB"/>
        </w:rPr>
        <w:t>3</w:t>
      </w:r>
      <w:r w:rsidR="00062990" w:rsidRPr="00F12015">
        <w:rPr>
          <w:rFonts w:asciiTheme="minorHAnsi" w:hAnsiTheme="minorHAnsi" w:cstheme="minorHAnsi"/>
          <w:b/>
          <w:bCs/>
          <w:sz w:val="24"/>
          <w:szCs w:val="24"/>
          <w:lang w:val="en-GB"/>
        </w:rPr>
        <w:t>S</w:t>
      </w:r>
      <w:r w:rsidRPr="00F12015">
        <w:rPr>
          <w:rFonts w:asciiTheme="minorHAnsi" w:hAnsiTheme="minorHAnsi" w:cstheme="minorHAnsi"/>
          <w:b/>
          <w:bCs/>
          <w:sz w:val="24"/>
          <w:szCs w:val="24"/>
          <w:lang w:val="en-GB"/>
        </w:rPr>
        <w:t xml:space="preserve">: </w:t>
      </w:r>
      <w:r w:rsidRPr="00F12015">
        <w:rPr>
          <w:rFonts w:asciiTheme="minorHAnsi" w:hAnsiTheme="minorHAnsi" w:cstheme="minorHAnsi"/>
          <w:b/>
          <w:bCs/>
          <w:sz w:val="24"/>
          <w:szCs w:val="24"/>
          <w:shd w:val="clear" w:color="auto" w:fill="FFFFFF"/>
          <w:lang w:val="en-GB"/>
        </w:rPr>
        <w:t xml:space="preserve">Western blotting experiments performed to </w:t>
      </w:r>
      <w:r w:rsidR="00D60569" w:rsidRPr="00F12015">
        <w:rPr>
          <w:rFonts w:asciiTheme="minorHAnsi" w:hAnsiTheme="minorHAnsi" w:cstheme="minorHAnsi"/>
          <w:b/>
          <w:bCs/>
          <w:sz w:val="24"/>
          <w:szCs w:val="24"/>
          <w:shd w:val="clear" w:color="auto" w:fill="FFFFFF"/>
          <w:lang w:val="en-GB"/>
        </w:rPr>
        <w:t xml:space="preserve">assess </w:t>
      </w:r>
      <w:r w:rsidRPr="00F12015">
        <w:rPr>
          <w:rFonts w:asciiTheme="minorHAnsi" w:hAnsiTheme="minorHAnsi" w:cstheme="minorHAnsi"/>
          <w:b/>
          <w:bCs/>
          <w:sz w:val="24"/>
          <w:szCs w:val="24"/>
          <w:shd w:val="clear" w:color="auto" w:fill="FFFFFF"/>
          <w:lang w:val="en-GB"/>
        </w:rPr>
        <w:t xml:space="preserve">SETD2 expression and activity </w:t>
      </w:r>
      <w:r w:rsidR="00E57EBD" w:rsidRPr="00F12015">
        <w:rPr>
          <w:rFonts w:asciiTheme="minorHAnsi" w:hAnsiTheme="minorHAnsi" w:cstheme="minorHAnsi"/>
          <w:b/>
          <w:bCs/>
          <w:sz w:val="24"/>
          <w:szCs w:val="24"/>
          <w:shd w:val="clear" w:color="auto" w:fill="FFFFFF"/>
          <w:lang w:val="en-GB"/>
        </w:rPr>
        <w:t xml:space="preserve">in: A </w:t>
      </w:r>
      <w:r w:rsidR="00D60569" w:rsidRPr="00F12015">
        <w:rPr>
          <w:rFonts w:asciiTheme="minorHAnsi" w:hAnsiTheme="minorHAnsi" w:cstheme="minorHAnsi"/>
          <w:sz w:val="24"/>
          <w:szCs w:val="24"/>
          <w:shd w:val="clear" w:color="auto" w:fill="FFFFFF"/>
          <w:lang w:val="en-GB"/>
        </w:rPr>
        <w:t xml:space="preserve">parental </w:t>
      </w:r>
      <w:r w:rsidR="00E57EBD" w:rsidRPr="00F12015">
        <w:rPr>
          <w:rFonts w:asciiTheme="minorHAnsi" w:hAnsiTheme="minorHAnsi" w:cstheme="minorHAnsi"/>
          <w:sz w:val="24"/>
          <w:szCs w:val="24"/>
          <w:shd w:val="clear" w:color="auto" w:fill="FFFFFF"/>
          <w:lang w:val="en-GB"/>
        </w:rPr>
        <w:t>K562, LAMA84 and KCL22 cell lines,</w:t>
      </w:r>
      <w:r w:rsidRPr="00F12015">
        <w:rPr>
          <w:rFonts w:asciiTheme="minorHAnsi" w:hAnsiTheme="minorHAnsi" w:cstheme="minorHAnsi"/>
          <w:sz w:val="24"/>
          <w:szCs w:val="24"/>
          <w:shd w:val="clear" w:color="auto" w:fill="FFFFFF"/>
          <w:lang w:val="en-GB"/>
        </w:rPr>
        <w:t xml:space="preserve"> </w:t>
      </w:r>
      <w:r w:rsidR="00E57EBD" w:rsidRPr="00F12015">
        <w:rPr>
          <w:rFonts w:asciiTheme="minorHAnsi" w:hAnsiTheme="minorHAnsi" w:cstheme="minorHAnsi"/>
          <w:b/>
          <w:bCs/>
          <w:sz w:val="24"/>
          <w:szCs w:val="24"/>
          <w:shd w:val="clear" w:color="auto" w:fill="FFFFFF"/>
          <w:lang w:val="en-GB"/>
        </w:rPr>
        <w:t>B</w:t>
      </w:r>
      <w:r w:rsidRPr="00F12015">
        <w:rPr>
          <w:rFonts w:asciiTheme="minorHAnsi" w:hAnsiTheme="minorHAnsi" w:cstheme="minorHAnsi"/>
          <w:sz w:val="24"/>
          <w:szCs w:val="24"/>
          <w:shd w:val="clear" w:color="auto" w:fill="FFFFFF"/>
          <w:lang w:val="en-GB"/>
        </w:rPr>
        <w:t xml:space="preserve"> LAMA84 silenced for SETD2 expression for fourteen weeks. SETD2 expression and function were checked at different timepoints. </w:t>
      </w:r>
      <w:r w:rsidR="00135687" w:rsidRPr="00F12015">
        <w:rPr>
          <w:rFonts w:asciiTheme="minorHAnsi" w:hAnsiTheme="minorHAnsi" w:cstheme="minorHAnsi"/>
          <w:b/>
          <w:bCs/>
          <w:sz w:val="24"/>
          <w:szCs w:val="24"/>
          <w:shd w:val="clear" w:color="auto" w:fill="FFFFFF"/>
          <w:lang w:val="en-GB"/>
        </w:rPr>
        <w:t>C</w:t>
      </w:r>
      <w:r w:rsidRPr="00F12015">
        <w:rPr>
          <w:rFonts w:asciiTheme="minorHAnsi" w:hAnsiTheme="minorHAnsi" w:cstheme="minorHAnsi"/>
          <w:sz w:val="24"/>
          <w:szCs w:val="24"/>
          <w:shd w:val="clear" w:color="auto" w:fill="FFFFFF"/>
          <w:lang w:val="en-GB"/>
        </w:rPr>
        <w:t xml:space="preserve"> KCL22 cells </w:t>
      </w:r>
      <w:r w:rsidRPr="00F12015">
        <w:rPr>
          <w:rFonts w:asciiTheme="minorHAnsi" w:hAnsiTheme="minorHAnsi" w:cstheme="minorHAnsi"/>
          <w:sz w:val="24"/>
          <w:szCs w:val="24"/>
          <w:lang w:val="en-US"/>
        </w:rPr>
        <w:t>subjected to nucleofection using the Lonza Nucleofector 2b Unit</w:t>
      </w:r>
      <w:r w:rsidRPr="00F12015">
        <w:rPr>
          <w:rFonts w:asciiTheme="minorHAnsi" w:hAnsiTheme="minorHAnsi" w:cstheme="minorHAnsi"/>
          <w:sz w:val="24"/>
          <w:szCs w:val="24"/>
          <w:shd w:val="clear" w:color="auto" w:fill="FFFFFF"/>
          <w:lang w:val="en-GB"/>
        </w:rPr>
        <w:t xml:space="preserve"> to obtain SETD2 forced expression. SETD2 expression and function were tested after 72h</w:t>
      </w:r>
      <w:r w:rsidR="00D60569" w:rsidRPr="00F12015">
        <w:rPr>
          <w:rFonts w:asciiTheme="minorHAnsi" w:hAnsiTheme="minorHAnsi" w:cstheme="minorHAnsi"/>
          <w:sz w:val="24"/>
          <w:szCs w:val="24"/>
          <w:shd w:val="clear" w:color="auto" w:fill="FFFFFF"/>
          <w:lang w:val="en-GB"/>
        </w:rPr>
        <w:t>.</w:t>
      </w:r>
      <w:r w:rsidR="00135687" w:rsidRPr="00F12015">
        <w:rPr>
          <w:rFonts w:asciiTheme="minorHAnsi" w:hAnsiTheme="minorHAnsi" w:cstheme="minorHAnsi"/>
          <w:sz w:val="24"/>
          <w:szCs w:val="24"/>
          <w:shd w:val="clear" w:color="auto" w:fill="FFFFFF"/>
          <w:lang w:val="en-GB"/>
        </w:rPr>
        <w:t xml:space="preserve"> </w:t>
      </w:r>
      <w:r w:rsidR="00135687" w:rsidRPr="00F12015">
        <w:rPr>
          <w:rFonts w:asciiTheme="minorHAnsi" w:hAnsiTheme="minorHAnsi" w:cstheme="minorHAnsi"/>
          <w:b/>
          <w:bCs/>
          <w:sz w:val="24"/>
          <w:szCs w:val="24"/>
          <w:shd w:val="clear" w:color="auto" w:fill="FFFFFF"/>
          <w:lang w:val="en-GB"/>
        </w:rPr>
        <w:t>D</w:t>
      </w:r>
      <w:r w:rsidR="00135687" w:rsidRPr="00F12015">
        <w:rPr>
          <w:rFonts w:asciiTheme="minorHAnsi" w:hAnsiTheme="minorHAnsi" w:cstheme="minorHAnsi"/>
          <w:sz w:val="24"/>
          <w:szCs w:val="24"/>
          <w:shd w:val="clear" w:color="auto" w:fill="FFFFFF"/>
          <w:lang w:val="en-GB"/>
        </w:rPr>
        <w:t xml:space="preserve"> </w:t>
      </w:r>
      <w:r w:rsidR="00D60569" w:rsidRPr="00F12015">
        <w:rPr>
          <w:rFonts w:asciiTheme="minorHAnsi" w:hAnsiTheme="minorHAnsi" w:cstheme="minorHAnsi"/>
          <w:sz w:val="24"/>
          <w:szCs w:val="24"/>
          <w:shd w:val="clear" w:color="auto" w:fill="FFFFFF"/>
          <w:lang w:val="en-GB"/>
        </w:rPr>
        <w:t xml:space="preserve">After forced SETD2 expression in KCL22 cells, </w:t>
      </w:r>
      <w:r w:rsidR="00135687" w:rsidRPr="00F12015">
        <w:rPr>
          <w:rFonts w:asciiTheme="minorHAnsi" w:hAnsiTheme="minorHAnsi" w:cstheme="minorHAnsi"/>
          <w:sz w:val="24"/>
          <w:szCs w:val="24"/>
          <w:shd w:val="clear" w:color="auto" w:fill="FFFFFF"/>
          <w:lang w:val="en-GB"/>
        </w:rPr>
        <w:t>an increase in doubling time, an accumulation of cells in G1 and G2 phases and a reduction in clonogenic capacity</w:t>
      </w:r>
      <w:r w:rsidR="00D60569" w:rsidRPr="00F12015">
        <w:rPr>
          <w:rFonts w:asciiTheme="minorHAnsi" w:hAnsiTheme="minorHAnsi" w:cstheme="minorHAnsi"/>
          <w:sz w:val="24"/>
          <w:szCs w:val="24"/>
          <w:shd w:val="clear" w:color="auto" w:fill="FFFFFF"/>
          <w:lang w:val="en-GB"/>
        </w:rPr>
        <w:t xml:space="preserve"> can be observed.</w:t>
      </w:r>
    </w:p>
    <w:p w14:paraId="10CD6F8C" w14:textId="1CD37974" w:rsidR="003C21C4" w:rsidRPr="00F12015" w:rsidRDefault="001D2615" w:rsidP="001D2615">
      <w:pPr>
        <w:widowControl/>
        <w:textAlignment w:val="auto"/>
        <w:rPr>
          <w:rFonts w:asciiTheme="minorHAnsi" w:hAnsiTheme="minorHAnsi" w:cstheme="minorHAnsi"/>
          <w:sz w:val="24"/>
          <w:szCs w:val="24"/>
          <w:shd w:val="clear" w:color="auto" w:fill="FFFFFF"/>
          <w:lang w:val="en-GB"/>
        </w:rPr>
      </w:pPr>
      <w:r w:rsidRPr="00F12015">
        <w:rPr>
          <w:rFonts w:asciiTheme="minorHAnsi" w:hAnsiTheme="minorHAnsi" w:cstheme="minorHAnsi"/>
          <w:sz w:val="24"/>
          <w:szCs w:val="24"/>
          <w:shd w:val="clear" w:color="auto" w:fill="FFFFFF"/>
          <w:lang w:val="en-GB"/>
        </w:rPr>
        <w:br w:type="page"/>
      </w:r>
    </w:p>
    <w:p w14:paraId="4E403211" w14:textId="053FDCC2" w:rsidR="003C21C4" w:rsidRPr="00F12015" w:rsidRDefault="00E207CA">
      <w:pPr>
        <w:spacing w:after="200"/>
        <w:jc w:val="center"/>
        <w:rPr>
          <w:rFonts w:asciiTheme="minorHAnsi" w:hAnsiTheme="minorHAnsi" w:cstheme="minorHAnsi"/>
          <w:sz w:val="24"/>
          <w:szCs w:val="24"/>
        </w:rPr>
      </w:pPr>
      <w:r w:rsidRPr="00F12015">
        <w:rPr>
          <w:rFonts w:asciiTheme="minorHAnsi" w:hAnsiTheme="minorHAnsi" w:cstheme="minorHAnsi"/>
          <w:noProof/>
          <w:sz w:val="24"/>
          <w:szCs w:val="24"/>
        </w:rPr>
        <w:lastRenderedPageBreak/>
        <mc:AlternateContent>
          <mc:Choice Requires="wps">
            <w:drawing>
              <wp:anchor distT="0" distB="0" distL="0" distR="0" simplePos="0" relativeHeight="251656704" behindDoc="0" locked="0" layoutInCell="0" allowOverlap="1" wp14:anchorId="034ABF8F" wp14:editId="65A379EF">
                <wp:simplePos x="0" y="0"/>
                <wp:positionH relativeFrom="column">
                  <wp:posOffset>0</wp:posOffset>
                </wp:positionH>
                <wp:positionV relativeFrom="paragraph">
                  <wp:posOffset>635</wp:posOffset>
                </wp:positionV>
                <wp:extent cx="635635" cy="635635"/>
                <wp:effectExtent l="0" t="0" r="0" b="0"/>
                <wp:wrapNone/>
                <wp:docPr id="2" name="shapetype_ole_rId3"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xmlns:oel="http://schemas.microsoft.com/office/2019/extlst" xmlns:w16du="http://schemas.microsoft.com/office/word/2023/wordml/word16du">
            <w:pict>
              <v:rect id="shape_0" ID="shapetype_ole_rId3" path="m0,0l-2147483645,0l-2147483645,-2147483646l0,-2147483646xe" stroked="f" style="position:absolute;margin-left:0pt;margin-top:0pt;width:49.95pt;height:49.95pt;mso-wrap-style:none;v-text-anchor:middle" wp14:anchorId="0AA1E680">
                <v:fill o:detectmouseclick="t" on="false"/>
                <v:stroke color="#3465a4" joinstyle="round" endcap="flat"/>
                <w10:wrap type="none"/>
              </v:rect>
            </w:pict>
          </mc:Fallback>
        </mc:AlternateContent>
      </w:r>
      <w:r w:rsidR="00C47F36" w:rsidRPr="00F12015">
        <w:rPr>
          <w:rFonts w:asciiTheme="minorHAnsi" w:hAnsiTheme="minorHAnsi" w:cstheme="minorHAnsi"/>
          <w:sz w:val="24"/>
          <w:szCs w:val="24"/>
        </w:rPr>
        <w:pict w14:anchorId="4B89AD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type_ole_rId3" o:spid="_x0000_s1027" type="#_x0000_t75" alt="" style="position:absolute;left:0;text-align:left;margin-left:0;margin-top:0;width:50pt;height:50pt;z-index:251658752;visibility:hidden;mso-wrap-edited:f;mso-width-percent:0;mso-height-percent:0;mso-position-horizontal-relative:text;mso-position-vertical-relative:text;mso-width-percent:0;mso-height-percent:0">
            <o:lock v:ext="edit" selection="t"/>
          </v:shape>
        </w:pict>
      </w:r>
      <w:r w:rsidR="004C51E8" w:rsidRPr="00F12015">
        <w:rPr>
          <w:rFonts w:asciiTheme="minorHAnsi" w:hAnsiTheme="minorHAnsi" w:cstheme="minorHAnsi"/>
          <w:noProof/>
          <w:sz w:val="24"/>
          <w:szCs w:val="24"/>
        </w:rPr>
        <w:drawing>
          <wp:inline distT="0" distB="0" distL="0" distR="0" wp14:anchorId="7E04A97B" wp14:editId="0522681A">
            <wp:extent cx="6118658" cy="1617980"/>
            <wp:effectExtent l="0" t="0" r="0" b="127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pic:cNvPicPr/>
                  </pic:nvPicPr>
                  <pic:blipFill rotWithShape="1">
                    <a:blip r:embed="rId10" cstate="print">
                      <a:extLst>
                        <a:ext uri="{28A0092B-C50C-407E-A947-70E740481C1C}">
                          <a14:useLocalDpi xmlns:a14="http://schemas.microsoft.com/office/drawing/2010/main" val="0"/>
                        </a:ext>
                      </a:extLst>
                    </a:blip>
                    <a:srcRect t="10155"/>
                    <a:stretch/>
                  </pic:blipFill>
                  <pic:spPr bwMode="auto">
                    <a:xfrm>
                      <a:off x="0" y="0"/>
                      <a:ext cx="6120384" cy="1618436"/>
                    </a:xfrm>
                    <a:prstGeom prst="rect">
                      <a:avLst/>
                    </a:prstGeom>
                    <a:ln>
                      <a:noFill/>
                    </a:ln>
                    <a:extLst>
                      <a:ext uri="{53640926-AAD7-44D8-BBD7-CCE9431645EC}">
                        <a14:shadowObscured xmlns:a14="http://schemas.microsoft.com/office/drawing/2010/main"/>
                      </a:ext>
                    </a:extLst>
                  </pic:spPr>
                </pic:pic>
              </a:graphicData>
            </a:graphic>
          </wp:inline>
        </w:drawing>
      </w:r>
    </w:p>
    <w:p w14:paraId="1FA270DC" w14:textId="77777777" w:rsidR="001D2615" w:rsidRPr="00F12015" w:rsidRDefault="001D2615">
      <w:pPr>
        <w:spacing w:after="200" w:line="360" w:lineRule="auto"/>
        <w:jc w:val="both"/>
        <w:rPr>
          <w:rFonts w:asciiTheme="minorHAnsi" w:hAnsiTheme="minorHAnsi" w:cstheme="minorHAnsi"/>
          <w:b/>
          <w:bCs/>
          <w:sz w:val="24"/>
          <w:szCs w:val="24"/>
          <w:lang w:val="en-GB"/>
        </w:rPr>
      </w:pPr>
    </w:p>
    <w:p w14:paraId="21A0802B" w14:textId="658AF9EA" w:rsidR="003C21C4" w:rsidRPr="00F12015" w:rsidRDefault="00E207CA">
      <w:pPr>
        <w:spacing w:after="200" w:line="360" w:lineRule="auto"/>
        <w:jc w:val="both"/>
        <w:rPr>
          <w:rFonts w:asciiTheme="minorHAnsi" w:hAnsiTheme="minorHAnsi" w:cstheme="minorHAnsi"/>
          <w:sz w:val="24"/>
          <w:szCs w:val="24"/>
          <w:shd w:val="clear" w:color="auto" w:fill="FFFFFF"/>
          <w:lang w:val="en-GB"/>
        </w:rPr>
      </w:pPr>
      <w:r w:rsidRPr="00F12015">
        <w:rPr>
          <w:rFonts w:asciiTheme="minorHAnsi" w:hAnsiTheme="minorHAnsi" w:cstheme="minorHAnsi"/>
          <w:b/>
          <w:bCs/>
          <w:sz w:val="24"/>
          <w:szCs w:val="24"/>
          <w:lang w:val="en-GB"/>
        </w:rPr>
        <w:t xml:space="preserve">Figure </w:t>
      </w:r>
      <w:r w:rsidR="00830735" w:rsidRPr="00F12015">
        <w:rPr>
          <w:rFonts w:asciiTheme="minorHAnsi" w:hAnsiTheme="minorHAnsi" w:cstheme="minorHAnsi"/>
          <w:b/>
          <w:bCs/>
          <w:sz w:val="24"/>
          <w:szCs w:val="24"/>
          <w:lang w:val="en-GB"/>
        </w:rPr>
        <w:t>4</w:t>
      </w:r>
      <w:r w:rsidR="005A2FE2" w:rsidRPr="00F12015">
        <w:rPr>
          <w:rFonts w:asciiTheme="minorHAnsi" w:hAnsiTheme="minorHAnsi" w:cstheme="minorHAnsi"/>
          <w:b/>
          <w:bCs/>
          <w:sz w:val="24"/>
          <w:szCs w:val="24"/>
          <w:lang w:val="en-GB"/>
        </w:rPr>
        <w:t>S</w:t>
      </w:r>
      <w:r w:rsidRPr="00F12015">
        <w:rPr>
          <w:rFonts w:asciiTheme="minorHAnsi" w:hAnsiTheme="minorHAnsi" w:cstheme="minorHAnsi"/>
          <w:b/>
          <w:bCs/>
          <w:sz w:val="24"/>
          <w:szCs w:val="24"/>
          <w:lang w:val="en-GB"/>
        </w:rPr>
        <w:t xml:space="preserve">: SETD2 impacts on ATM, </w:t>
      </w:r>
      <w:r w:rsidR="00D60569" w:rsidRPr="00F12015">
        <w:rPr>
          <w:rFonts w:asciiTheme="minorHAnsi" w:hAnsiTheme="minorHAnsi" w:cstheme="minorHAnsi"/>
          <w:b/>
          <w:bCs/>
          <w:sz w:val="24"/>
          <w:szCs w:val="24"/>
          <w:lang w:val="en-GB"/>
        </w:rPr>
        <w:t xml:space="preserve">p95 </w:t>
      </w:r>
      <w:r w:rsidRPr="00F12015">
        <w:rPr>
          <w:rFonts w:asciiTheme="minorHAnsi" w:hAnsiTheme="minorHAnsi" w:cstheme="minorHAnsi"/>
          <w:b/>
          <w:bCs/>
          <w:sz w:val="24"/>
          <w:szCs w:val="24"/>
          <w:lang w:val="en-GB"/>
        </w:rPr>
        <w:t xml:space="preserve">and Rad51 expression after induction of DNA damage. </w:t>
      </w:r>
      <w:r w:rsidRPr="00F12015">
        <w:rPr>
          <w:rFonts w:asciiTheme="minorHAnsi" w:hAnsiTheme="minorHAnsi" w:cstheme="minorHAnsi"/>
          <w:sz w:val="24"/>
          <w:szCs w:val="24"/>
          <w:shd w:val="clear" w:color="auto" w:fill="FFFFFF"/>
          <w:lang w:val="en-GB"/>
        </w:rPr>
        <w:t>Western blotting experiments showing that SETD2 deficiency in KCL22 (and LAMA84 siSETD2 cells) impairs ATM signalling pathway; in contrast, SETD2 forced re-expression in KCL22 cells restores cell’s ability to induce ATM and p95 expression, associated with an increase in Rad51 expression, after incubation with 1 mM hydrogen peroxide for 30 min. Beta tubulin was used as loading control. It has to be noted that in KCL22 tsSETD2, after 60 min-incubation with hydrogen peroxide, cells underwent massive apoptotic cell death, thus protein degradation may be observed.</w:t>
      </w:r>
      <w:r w:rsidRPr="00F12015">
        <w:rPr>
          <w:rFonts w:asciiTheme="minorHAnsi" w:hAnsiTheme="minorHAnsi" w:cstheme="minorHAnsi"/>
          <w:sz w:val="24"/>
          <w:szCs w:val="24"/>
          <w:lang w:val="en-GB"/>
        </w:rPr>
        <w:br w:type="page"/>
      </w:r>
    </w:p>
    <w:p w14:paraId="2561B309" w14:textId="6102349C" w:rsidR="003C21C4" w:rsidRPr="00F12015" w:rsidRDefault="00FE046B">
      <w:pPr>
        <w:spacing w:after="200"/>
        <w:jc w:val="center"/>
        <w:rPr>
          <w:rFonts w:asciiTheme="minorHAnsi" w:hAnsiTheme="minorHAnsi" w:cstheme="minorHAnsi"/>
          <w:sz w:val="24"/>
          <w:szCs w:val="24"/>
          <w:lang w:val="en-GB"/>
        </w:rPr>
      </w:pPr>
      <w:r w:rsidRPr="00F12015">
        <w:rPr>
          <w:rFonts w:asciiTheme="minorHAnsi" w:hAnsiTheme="minorHAnsi" w:cstheme="minorHAnsi"/>
          <w:noProof/>
          <w:sz w:val="24"/>
          <w:szCs w:val="24"/>
          <w:lang w:val="en-GB"/>
        </w:rPr>
        <w:lastRenderedPageBreak/>
        <w:drawing>
          <wp:inline distT="0" distB="0" distL="0" distR="0" wp14:anchorId="2CA92CE6" wp14:editId="503E1BBF">
            <wp:extent cx="4678267" cy="4069919"/>
            <wp:effectExtent l="0" t="0" r="8255" b="698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pic:cNvPicPr/>
                  </pic:nvPicPr>
                  <pic:blipFill rotWithShape="1">
                    <a:blip r:embed="rId11" cstate="print">
                      <a:extLst>
                        <a:ext uri="{28A0092B-C50C-407E-A947-70E740481C1C}">
                          <a14:useLocalDpi xmlns:a14="http://schemas.microsoft.com/office/drawing/2010/main" val="0"/>
                        </a:ext>
                      </a:extLst>
                    </a:blip>
                    <a:srcRect t="5760"/>
                    <a:stretch/>
                  </pic:blipFill>
                  <pic:spPr bwMode="auto">
                    <a:xfrm>
                      <a:off x="0" y="0"/>
                      <a:ext cx="4678680" cy="4070278"/>
                    </a:xfrm>
                    <a:prstGeom prst="rect">
                      <a:avLst/>
                    </a:prstGeom>
                    <a:ln>
                      <a:noFill/>
                    </a:ln>
                    <a:extLst>
                      <a:ext uri="{53640926-AAD7-44D8-BBD7-CCE9431645EC}">
                        <a14:shadowObscured xmlns:a14="http://schemas.microsoft.com/office/drawing/2010/main"/>
                      </a:ext>
                    </a:extLst>
                  </pic:spPr>
                </pic:pic>
              </a:graphicData>
            </a:graphic>
          </wp:inline>
        </w:drawing>
      </w:r>
    </w:p>
    <w:p w14:paraId="301E29B3" w14:textId="77777777" w:rsidR="003C21C4" w:rsidRPr="00F12015" w:rsidRDefault="003C21C4">
      <w:pPr>
        <w:spacing w:after="200"/>
        <w:rPr>
          <w:rFonts w:asciiTheme="minorHAnsi" w:hAnsiTheme="minorHAnsi" w:cstheme="minorHAnsi"/>
          <w:sz w:val="24"/>
          <w:szCs w:val="24"/>
          <w:lang w:val="en-GB"/>
        </w:rPr>
      </w:pPr>
    </w:p>
    <w:p w14:paraId="7F1E42CD" w14:textId="59164E6A" w:rsidR="003C21C4" w:rsidRPr="00F12015" w:rsidRDefault="00E207CA" w:rsidP="009F37C6">
      <w:pPr>
        <w:spacing w:line="480" w:lineRule="auto"/>
        <w:jc w:val="both"/>
        <w:rPr>
          <w:rFonts w:asciiTheme="minorHAnsi" w:hAnsiTheme="minorHAnsi" w:cstheme="minorHAnsi"/>
          <w:sz w:val="24"/>
          <w:szCs w:val="24"/>
          <w:shd w:val="clear" w:color="auto" w:fill="FFFFFF"/>
          <w:lang w:val="en-GB"/>
        </w:rPr>
      </w:pPr>
      <w:r w:rsidRPr="00F12015">
        <w:rPr>
          <w:rFonts w:asciiTheme="minorHAnsi" w:hAnsiTheme="minorHAnsi" w:cstheme="minorHAnsi"/>
          <w:b/>
          <w:bCs/>
          <w:sz w:val="24"/>
          <w:szCs w:val="24"/>
          <w:lang w:val="en-GB"/>
        </w:rPr>
        <w:t xml:space="preserve">Figure </w:t>
      </w:r>
      <w:r w:rsidR="00830735" w:rsidRPr="00F12015">
        <w:rPr>
          <w:rFonts w:asciiTheme="minorHAnsi" w:hAnsiTheme="minorHAnsi" w:cstheme="minorHAnsi"/>
          <w:b/>
          <w:bCs/>
          <w:sz w:val="24"/>
          <w:szCs w:val="24"/>
          <w:lang w:val="en-GB"/>
        </w:rPr>
        <w:t>5</w:t>
      </w:r>
      <w:r w:rsidR="00CF6CF6" w:rsidRPr="00F12015">
        <w:rPr>
          <w:rFonts w:asciiTheme="minorHAnsi" w:hAnsiTheme="minorHAnsi" w:cstheme="minorHAnsi"/>
          <w:b/>
          <w:bCs/>
          <w:sz w:val="24"/>
          <w:szCs w:val="24"/>
          <w:lang w:val="en-GB"/>
        </w:rPr>
        <w:t>S</w:t>
      </w:r>
      <w:r w:rsidRPr="00F12015">
        <w:rPr>
          <w:rFonts w:asciiTheme="minorHAnsi" w:hAnsiTheme="minorHAnsi" w:cstheme="minorHAnsi"/>
          <w:b/>
          <w:bCs/>
          <w:sz w:val="24"/>
          <w:szCs w:val="24"/>
          <w:lang w:val="en-GB"/>
        </w:rPr>
        <w:t xml:space="preserve">: </w:t>
      </w:r>
      <w:r w:rsidRPr="00F12015">
        <w:rPr>
          <w:rFonts w:asciiTheme="minorHAnsi" w:hAnsiTheme="minorHAnsi" w:cstheme="minorHAnsi"/>
          <w:b/>
          <w:bCs/>
          <w:sz w:val="24"/>
          <w:szCs w:val="24"/>
          <w:shd w:val="clear" w:color="auto" w:fill="FFFFFF"/>
          <w:lang w:val="en-GB"/>
        </w:rPr>
        <w:t>Effects of SETD2 deficiency on HR activation.</w:t>
      </w:r>
      <w:r w:rsidRPr="00F12015">
        <w:rPr>
          <w:rFonts w:asciiTheme="minorHAnsi" w:hAnsiTheme="minorHAnsi" w:cstheme="minorHAnsi"/>
          <w:i/>
          <w:iCs/>
          <w:sz w:val="24"/>
          <w:szCs w:val="24"/>
          <w:shd w:val="clear" w:color="auto" w:fill="FFFFFF"/>
          <w:lang w:val="en-GB"/>
        </w:rPr>
        <w:t xml:space="preserve"> </w:t>
      </w:r>
      <w:r w:rsidRPr="00F12015">
        <w:rPr>
          <w:rFonts w:asciiTheme="minorHAnsi" w:hAnsiTheme="minorHAnsi" w:cstheme="minorHAnsi"/>
          <w:sz w:val="24"/>
          <w:szCs w:val="24"/>
          <w:shd w:val="clear" w:color="auto" w:fill="FFFFFF"/>
          <w:lang w:val="en-GB"/>
        </w:rPr>
        <w:t>Panels A, B and C show immunofluorescence analysis of phosphorylated histone 2A.X (P-H2AX(S139), green in panel A and B and red in panel C) and Rad51 (red in panel A and B and green in panel C) in SETD2 proficient-LAMA 84 cells (</w:t>
      </w:r>
      <w:r w:rsidRPr="00F12015">
        <w:rPr>
          <w:rFonts w:asciiTheme="minorHAnsi" w:hAnsiTheme="minorHAnsi" w:cstheme="minorHAnsi"/>
          <w:b/>
          <w:bCs/>
          <w:sz w:val="24"/>
          <w:szCs w:val="24"/>
          <w:shd w:val="clear" w:color="auto" w:fill="FFFFFF"/>
          <w:lang w:val="en-GB"/>
        </w:rPr>
        <w:t>A</w:t>
      </w:r>
      <w:r w:rsidRPr="00F12015">
        <w:rPr>
          <w:rFonts w:asciiTheme="minorHAnsi" w:hAnsiTheme="minorHAnsi" w:cstheme="minorHAnsi"/>
          <w:sz w:val="24"/>
          <w:szCs w:val="24"/>
          <w:shd w:val="clear" w:color="auto" w:fill="FFFFFF"/>
          <w:lang w:val="en-GB"/>
        </w:rPr>
        <w:t>) compared to LAMA 84 siRNA SETD2 cells (</w:t>
      </w:r>
      <w:r w:rsidRPr="00F12015">
        <w:rPr>
          <w:rFonts w:asciiTheme="minorHAnsi" w:hAnsiTheme="minorHAnsi" w:cstheme="minorHAnsi"/>
          <w:b/>
          <w:bCs/>
          <w:sz w:val="24"/>
          <w:szCs w:val="24"/>
          <w:shd w:val="clear" w:color="auto" w:fill="FFFFFF"/>
          <w:lang w:val="en-GB"/>
        </w:rPr>
        <w:t>B</w:t>
      </w:r>
      <w:r w:rsidRPr="00F12015">
        <w:rPr>
          <w:rFonts w:asciiTheme="minorHAnsi" w:hAnsiTheme="minorHAnsi" w:cstheme="minorHAnsi"/>
          <w:sz w:val="24"/>
          <w:szCs w:val="24"/>
          <w:shd w:val="clear" w:color="auto" w:fill="FFFFFF"/>
          <w:lang w:val="en-GB"/>
        </w:rPr>
        <w:t>), and in KCL22 SETD2-deficient cells (</w:t>
      </w:r>
      <w:r w:rsidRPr="00F12015">
        <w:rPr>
          <w:rFonts w:asciiTheme="minorHAnsi" w:hAnsiTheme="minorHAnsi" w:cstheme="minorHAnsi"/>
          <w:b/>
          <w:bCs/>
          <w:sz w:val="24"/>
          <w:szCs w:val="24"/>
          <w:shd w:val="clear" w:color="auto" w:fill="FFFFFF"/>
          <w:lang w:val="en-GB"/>
        </w:rPr>
        <w:t>C</w:t>
      </w:r>
      <w:r w:rsidRPr="00F12015">
        <w:rPr>
          <w:rFonts w:asciiTheme="minorHAnsi" w:hAnsiTheme="minorHAnsi" w:cstheme="minorHAnsi"/>
          <w:sz w:val="24"/>
          <w:szCs w:val="24"/>
          <w:shd w:val="clear" w:color="auto" w:fill="FFFFFF"/>
          <w:lang w:val="en-GB"/>
        </w:rPr>
        <w:t>) compared to KCL22 tsSETD2 cells (</w:t>
      </w:r>
      <w:r w:rsidRPr="00F12015">
        <w:rPr>
          <w:rFonts w:asciiTheme="minorHAnsi" w:hAnsiTheme="minorHAnsi" w:cstheme="minorHAnsi"/>
          <w:b/>
          <w:bCs/>
          <w:sz w:val="24"/>
          <w:szCs w:val="24"/>
          <w:shd w:val="clear" w:color="auto" w:fill="FFFFFF"/>
          <w:lang w:val="en-GB"/>
        </w:rPr>
        <w:t>D</w:t>
      </w:r>
      <w:r w:rsidRPr="00F12015">
        <w:rPr>
          <w:rFonts w:asciiTheme="minorHAnsi" w:hAnsiTheme="minorHAnsi" w:cstheme="minorHAnsi"/>
          <w:sz w:val="24"/>
          <w:szCs w:val="24"/>
          <w:shd w:val="clear" w:color="auto" w:fill="FFFFFF"/>
          <w:lang w:val="en-GB"/>
        </w:rPr>
        <w:t xml:space="preserve">) </w:t>
      </w:r>
      <w:r w:rsidRPr="00F12015">
        <w:rPr>
          <w:rFonts w:asciiTheme="minorHAnsi" w:hAnsiTheme="minorHAnsi" w:cstheme="minorHAnsi"/>
          <w:sz w:val="24"/>
          <w:szCs w:val="24"/>
          <w:lang w:val="en-GB"/>
        </w:rPr>
        <w:t>after sub-lethal DNA damage induction by UV exposure.</w:t>
      </w:r>
      <w:r w:rsidRPr="00F12015">
        <w:rPr>
          <w:rFonts w:asciiTheme="minorHAnsi" w:hAnsiTheme="minorHAnsi" w:cstheme="minorHAnsi"/>
          <w:sz w:val="24"/>
          <w:szCs w:val="24"/>
          <w:shd w:val="clear" w:color="auto" w:fill="FFFFFF"/>
          <w:lang w:val="en-GB"/>
        </w:rPr>
        <w:t xml:space="preserve"> Staining with DAPI (4’,6-Diamidino-2-Phenylindole) indicates the nuclear localization of P-H2AX(S139) and Rad51.</w:t>
      </w:r>
      <w:r w:rsidR="00C66D3A" w:rsidRPr="00F12015">
        <w:rPr>
          <w:rFonts w:asciiTheme="minorHAnsi" w:hAnsiTheme="minorHAnsi" w:cstheme="minorHAnsi"/>
          <w:sz w:val="24"/>
          <w:szCs w:val="24"/>
          <w:shd w:val="clear" w:color="auto" w:fill="FFFFFF"/>
          <w:lang w:val="en-GB"/>
        </w:rPr>
        <w:t xml:space="preserve"> </w:t>
      </w:r>
      <w:r w:rsidR="00FD1782" w:rsidRPr="00F12015">
        <w:rPr>
          <w:rFonts w:asciiTheme="minorHAnsi" w:hAnsiTheme="minorHAnsi" w:cstheme="minorHAnsi"/>
          <w:sz w:val="24"/>
          <w:szCs w:val="24"/>
          <w:shd w:val="clear" w:color="auto" w:fill="FFFFFF"/>
          <w:lang w:val="en-GB"/>
        </w:rPr>
        <w:t>Scale bar: 100 µM.</w:t>
      </w:r>
      <w:r w:rsidRPr="00F12015">
        <w:rPr>
          <w:rFonts w:asciiTheme="minorHAnsi" w:hAnsiTheme="minorHAnsi" w:cstheme="minorHAnsi"/>
          <w:sz w:val="24"/>
          <w:szCs w:val="24"/>
          <w:lang w:val="en-GB"/>
        </w:rPr>
        <w:br w:type="page"/>
      </w:r>
    </w:p>
    <w:p w14:paraId="4793F449" w14:textId="3C3FE5A6" w:rsidR="003C21C4" w:rsidRPr="00F12015" w:rsidRDefault="00E207CA">
      <w:pPr>
        <w:spacing w:after="200"/>
        <w:rPr>
          <w:rFonts w:asciiTheme="minorHAnsi" w:hAnsiTheme="minorHAnsi" w:cstheme="minorHAnsi"/>
          <w:sz w:val="24"/>
          <w:szCs w:val="24"/>
        </w:rPr>
      </w:pPr>
      <w:r w:rsidRPr="00F12015">
        <w:rPr>
          <w:rFonts w:asciiTheme="minorHAnsi" w:hAnsiTheme="minorHAnsi" w:cstheme="minorHAnsi"/>
          <w:noProof/>
          <w:sz w:val="24"/>
          <w:szCs w:val="24"/>
        </w:rPr>
        <w:lastRenderedPageBreak/>
        <mc:AlternateContent>
          <mc:Choice Requires="wps">
            <w:drawing>
              <wp:anchor distT="0" distB="0" distL="0" distR="0" simplePos="0" relativeHeight="251657728" behindDoc="0" locked="0" layoutInCell="0" allowOverlap="1" wp14:anchorId="16AE1123" wp14:editId="2ED42197">
                <wp:simplePos x="0" y="0"/>
                <wp:positionH relativeFrom="column">
                  <wp:posOffset>0</wp:posOffset>
                </wp:positionH>
                <wp:positionV relativeFrom="paragraph">
                  <wp:posOffset>635</wp:posOffset>
                </wp:positionV>
                <wp:extent cx="635635" cy="635635"/>
                <wp:effectExtent l="0" t="0" r="0" b="0"/>
                <wp:wrapNone/>
                <wp:docPr id="4" name="shapetype_ole_rId6" hidden="1"/>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xmlns:oel="http://schemas.microsoft.com/office/2019/extlst" xmlns:w16du="http://schemas.microsoft.com/office/word/2023/wordml/word16du">
            <w:pict>
              <v:rect id="shape_0" ID="shapetype_ole_rId6" path="m0,0l-2147483645,0l-2147483645,-2147483646l0,-2147483646xe" stroked="f" style="position:absolute;margin-left:0pt;margin-top:0pt;width:49.95pt;height:49.95pt;mso-wrap-style:none;v-text-anchor:middle" wp14:anchorId="1E0FEB08">
                <v:fill o:detectmouseclick="t" on="false"/>
                <v:stroke color="#3465a4" joinstyle="round" endcap="flat"/>
                <w10:wrap type="none"/>
              </v:rect>
            </w:pict>
          </mc:Fallback>
        </mc:AlternateContent>
      </w:r>
      <w:r w:rsidR="00C47F36" w:rsidRPr="00F12015">
        <w:rPr>
          <w:rFonts w:asciiTheme="minorHAnsi" w:hAnsiTheme="minorHAnsi" w:cstheme="minorHAnsi"/>
          <w:sz w:val="24"/>
          <w:szCs w:val="24"/>
        </w:rPr>
        <w:pict w14:anchorId="1B196856">
          <v:shape id="shapetype_ole_rId6" o:spid="_x0000_s1026" type="#_x0000_t75" alt="" style="position:absolute;margin-left:0;margin-top:0;width:50pt;height:50pt;z-index:251659776;visibility:hidden;mso-wrap-edited:f;mso-width-percent:0;mso-height-percent:0;mso-position-horizontal-relative:text;mso-position-vertical-relative:text;mso-width-percent:0;mso-height-percent:0">
            <o:lock v:ext="edit" selection="t"/>
          </v:shape>
        </w:pict>
      </w:r>
      <w:r w:rsidR="00550D2C" w:rsidRPr="00F12015">
        <w:rPr>
          <w:rFonts w:asciiTheme="minorHAnsi" w:hAnsiTheme="minorHAnsi" w:cstheme="minorHAnsi"/>
          <w:noProof/>
          <w:sz w:val="24"/>
          <w:szCs w:val="24"/>
        </w:rPr>
        <w:drawing>
          <wp:inline distT="0" distB="0" distL="0" distR="0" wp14:anchorId="7A59D88F" wp14:editId="615E2B67">
            <wp:extent cx="6120130" cy="230629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2" cstate="print">
                      <a:extLst>
                        <a:ext uri="{28A0092B-C50C-407E-A947-70E740481C1C}">
                          <a14:useLocalDpi xmlns:a14="http://schemas.microsoft.com/office/drawing/2010/main" val="0"/>
                        </a:ext>
                      </a:extLst>
                    </a:blip>
                    <a:srcRect t="7888"/>
                    <a:stretch/>
                  </pic:blipFill>
                  <pic:spPr bwMode="auto">
                    <a:xfrm>
                      <a:off x="0" y="0"/>
                      <a:ext cx="6120130" cy="2306295"/>
                    </a:xfrm>
                    <a:prstGeom prst="rect">
                      <a:avLst/>
                    </a:prstGeom>
                    <a:ln>
                      <a:noFill/>
                    </a:ln>
                    <a:extLst>
                      <a:ext uri="{53640926-AAD7-44D8-BBD7-CCE9431645EC}">
                        <a14:shadowObscured xmlns:a14="http://schemas.microsoft.com/office/drawing/2010/main"/>
                      </a:ext>
                    </a:extLst>
                  </pic:spPr>
                </pic:pic>
              </a:graphicData>
            </a:graphic>
          </wp:inline>
        </w:drawing>
      </w:r>
    </w:p>
    <w:p w14:paraId="120F7D0C" w14:textId="77777777" w:rsidR="003C21C4" w:rsidRPr="00F12015" w:rsidRDefault="003C21C4">
      <w:pPr>
        <w:spacing w:after="200"/>
        <w:rPr>
          <w:rFonts w:asciiTheme="minorHAnsi" w:hAnsiTheme="minorHAnsi" w:cstheme="minorHAnsi"/>
          <w:sz w:val="24"/>
          <w:szCs w:val="24"/>
        </w:rPr>
      </w:pPr>
    </w:p>
    <w:p w14:paraId="0AF3AB38" w14:textId="47CB1186" w:rsidR="003C21C4" w:rsidRPr="00F12015" w:rsidRDefault="00E207CA" w:rsidP="009F37C6">
      <w:pPr>
        <w:spacing w:line="480" w:lineRule="auto"/>
        <w:jc w:val="both"/>
        <w:rPr>
          <w:rFonts w:asciiTheme="minorHAnsi" w:hAnsiTheme="minorHAnsi" w:cstheme="minorHAnsi"/>
          <w:sz w:val="24"/>
          <w:szCs w:val="24"/>
          <w:shd w:val="clear" w:color="auto" w:fill="FFFFFF"/>
          <w:lang w:val="en-GB"/>
        </w:rPr>
      </w:pPr>
      <w:r w:rsidRPr="00F12015">
        <w:rPr>
          <w:rFonts w:asciiTheme="minorHAnsi" w:hAnsiTheme="minorHAnsi" w:cstheme="minorHAnsi"/>
          <w:b/>
          <w:bCs/>
          <w:sz w:val="24"/>
          <w:szCs w:val="24"/>
          <w:lang w:val="en-GB"/>
        </w:rPr>
        <w:t xml:space="preserve">Figure </w:t>
      </w:r>
      <w:r w:rsidR="00830735" w:rsidRPr="00F12015">
        <w:rPr>
          <w:rFonts w:asciiTheme="minorHAnsi" w:hAnsiTheme="minorHAnsi" w:cstheme="minorHAnsi"/>
          <w:b/>
          <w:bCs/>
          <w:sz w:val="24"/>
          <w:szCs w:val="24"/>
          <w:lang w:val="en-GB"/>
        </w:rPr>
        <w:t>6</w:t>
      </w:r>
      <w:r w:rsidR="00AE6EF7" w:rsidRPr="00F12015">
        <w:rPr>
          <w:rFonts w:asciiTheme="minorHAnsi" w:hAnsiTheme="minorHAnsi" w:cstheme="minorHAnsi"/>
          <w:b/>
          <w:bCs/>
          <w:sz w:val="24"/>
          <w:szCs w:val="24"/>
          <w:lang w:val="en-GB"/>
        </w:rPr>
        <w:t>S</w:t>
      </w:r>
      <w:r w:rsidRPr="00F12015">
        <w:rPr>
          <w:rFonts w:asciiTheme="minorHAnsi" w:hAnsiTheme="minorHAnsi" w:cstheme="minorHAnsi"/>
          <w:b/>
          <w:bCs/>
          <w:sz w:val="24"/>
          <w:szCs w:val="24"/>
          <w:lang w:val="en-GB"/>
        </w:rPr>
        <w:t>:</w:t>
      </w:r>
      <w:r w:rsidRPr="00F12015">
        <w:rPr>
          <w:rFonts w:asciiTheme="minorHAnsi" w:hAnsiTheme="minorHAnsi" w:cstheme="minorHAnsi"/>
          <w:sz w:val="24"/>
          <w:szCs w:val="24"/>
          <w:lang w:val="en-GB"/>
        </w:rPr>
        <w:t xml:space="preserve"> </w:t>
      </w:r>
      <w:r w:rsidRPr="00F12015">
        <w:rPr>
          <w:rFonts w:asciiTheme="minorHAnsi" w:hAnsiTheme="minorHAnsi" w:cstheme="minorHAnsi"/>
          <w:b/>
          <w:bCs/>
          <w:sz w:val="24"/>
          <w:szCs w:val="24"/>
          <w:shd w:val="clear" w:color="auto" w:fill="FFFFFF"/>
          <w:lang w:val="en-GB"/>
        </w:rPr>
        <w:t xml:space="preserve">Effects of SETD2 deficiency on the activation of </w:t>
      </w:r>
      <w:r w:rsidRPr="00F12015">
        <w:rPr>
          <w:rFonts w:asciiTheme="minorHAnsi" w:hAnsiTheme="minorHAnsi" w:cstheme="minorHAnsi"/>
          <w:b/>
          <w:bCs/>
          <w:sz w:val="24"/>
          <w:szCs w:val="24"/>
          <w:lang w:val="en-GB"/>
        </w:rPr>
        <w:t>micro-homology mediated end-joining (MMEJ)</w:t>
      </w:r>
      <w:r w:rsidRPr="00F12015">
        <w:rPr>
          <w:rFonts w:asciiTheme="minorHAnsi" w:hAnsiTheme="minorHAnsi" w:cstheme="minorHAnsi"/>
          <w:b/>
          <w:bCs/>
          <w:sz w:val="24"/>
          <w:szCs w:val="24"/>
          <w:shd w:val="clear" w:color="auto" w:fill="FFFFFF"/>
          <w:lang w:val="en-GB"/>
        </w:rPr>
        <w:t>.</w:t>
      </w:r>
      <w:r w:rsidRPr="00F12015">
        <w:rPr>
          <w:rFonts w:asciiTheme="minorHAnsi" w:hAnsiTheme="minorHAnsi" w:cstheme="minorHAnsi"/>
          <w:i/>
          <w:iCs/>
          <w:sz w:val="24"/>
          <w:szCs w:val="24"/>
          <w:shd w:val="clear" w:color="auto" w:fill="FFFFFF"/>
          <w:lang w:val="en-GB"/>
        </w:rPr>
        <w:t xml:space="preserve"> </w:t>
      </w:r>
      <w:r w:rsidRPr="00F12015">
        <w:rPr>
          <w:rFonts w:asciiTheme="minorHAnsi" w:hAnsiTheme="minorHAnsi" w:cstheme="minorHAnsi"/>
          <w:sz w:val="24"/>
          <w:szCs w:val="24"/>
          <w:shd w:val="clear" w:color="auto" w:fill="FFFFFF"/>
          <w:lang w:val="en-GB"/>
        </w:rPr>
        <w:t>Panels A, B, C and D show immunofluorescence analysis of XRCC1 (green) and cleaved-PARP (red) in SETD2-proficient LAMA 84 cells (</w:t>
      </w:r>
      <w:r w:rsidRPr="00F12015">
        <w:rPr>
          <w:rFonts w:asciiTheme="minorHAnsi" w:hAnsiTheme="minorHAnsi" w:cstheme="minorHAnsi"/>
          <w:b/>
          <w:bCs/>
          <w:sz w:val="24"/>
          <w:szCs w:val="24"/>
          <w:shd w:val="clear" w:color="auto" w:fill="FFFFFF"/>
          <w:lang w:val="en-GB"/>
        </w:rPr>
        <w:t>A</w:t>
      </w:r>
      <w:r w:rsidRPr="00F12015">
        <w:rPr>
          <w:rFonts w:asciiTheme="minorHAnsi" w:hAnsiTheme="minorHAnsi" w:cstheme="minorHAnsi"/>
          <w:sz w:val="24"/>
          <w:szCs w:val="24"/>
          <w:shd w:val="clear" w:color="auto" w:fill="FFFFFF"/>
          <w:lang w:val="en-GB"/>
        </w:rPr>
        <w:t>) compared to LAMA 84 cells silenced for SETD2 (</w:t>
      </w:r>
      <w:r w:rsidRPr="00F12015">
        <w:rPr>
          <w:rFonts w:asciiTheme="minorHAnsi" w:hAnsiTheme="minorHAnsi" w:cstheme="minorHAnsi"/>
          <w:b/>
          <w:bCs/>
          <w:sz w:val="24"/>
          <w:szCs w:val="24"/>
          <w:shd w:val="clear" w:color="auto" w:fill="FFFFFF"/>
          <w:lang w:val="en-GB"/>
        </w:rPr>
        <w:t>B</w:t>
      </w:r>
      <w:r w:rsidRPr="00F12015">
        <w:rPr>
          <w:rFonts w:asciiTheme="minorHAnsi" w:hAnsiTheme="minorHAnsi" w:cstheme="minorHAnsi"/>
          <w:sz w:val="24"/>
          <w:szCs w:val="24"/>
          <w:shd w:val="clear" w:color="auto" w:fill="FFFFFF"/>
          <w:lang w:val="en-GB"/>
        </w:rPr>
        <w:t>) and in SETD2-deficient KCL22 cells (</w:t>
      </w:r>
      <w:r w:rsidRPr="00F12015">
        <w:rPr>
          <w:rFonts w:asciiTheme="minorHAnsi" w:hAnsiTheme="minorHAnsi" w:cstheme="minorHAnsi"/>
          <w:b/>
          <w:bCs/>
          <w:sz w:val="24"/>
          <w:szCs w:val="24"/>
          <w:shd w:val="clear" w:color="auto" w:fill="FFFFFF"/>
          <w:lang w:val="en-GB"/>
        </w:rPr>
        <w:t>C</w:t>
      </w:r>
      <w:r w:rsidRPr="00F12015">
        <w:rPr>
          <w:rFonts w:asciiTheme="minorHAnsi" w:hAnsiTheme="minorHAnsi" w:cstheme="minorHAnsi"/>
          <w:sz w:val="24"/>
          <w:szCs w:val="24"/>
          <w:shd w:val="clear" w:color="auto" w:fill="FFFFFF"/>
          <w:lang w:val="en-GB"/>
        </w:rPr>
        <w:t>) compared to KCL 22 tsSETD2 cells (</w:t>
      </w:r>
      <w:r w:rsidRPr="00F12015">
        <w:rPr>
          <w:rFonts w:asciiTheme="minorHAnsi" w:hAnsiTheme="minorHAnsi" w:cstheme="minorHAnsi"/>
          <w:b/>
          <w:bCs/>
          <w:sz w:val="24"/>
          <w:szCs w:val="24"/>
          <w:shd w:val="clear" w:color="auto" w:fill="FFFFFF"/>
          <w:lang w:val="en-GB"/>
        </w:rPr>
        <w:t>D</w:t>
      </w:r>
      <w:r w:rsidRPr="00F12015">
        <w:rPr>
          <w:rFonts w:asciiTheme="minorHAnsi" w:hAnsiTheme="minorHAnsi" w:cstheme="minorHAnsi"/>
          <w:sz w:val="24"/>
          <w:szCs w:val="24"/>
          <w:shd w:val="clear" w:color="auto" w:fill="FFFFFF"/>
          <w:lang w:val="en-GB"/>
        </w:rPr>
        <w:t xml:space="preserve">) before and </w:t>
      </w:r>
      <w:r w:rsidRPr="00F12015">
        <w:rPr>
          <w:rFonts w:asciiTheme="minorHAnsi" w:hAnsiTheme="minorHAnsi" w:cstheme="minorHAnsi"/>
          <w:sz w:val="24"/>
          <w:szCs w:val="24"/>
          <w:lang w:val="en-GB"/>
        </w:rPr>
        <w:t>after sub-lethal DNA damage induction by UV-exposure.</w:t>
      </w:r>
      <w:r w:rsidRPr="00F12015">
        <w:rPr>
          <w:rFonts w:asciiTheme="minorHAnsi" w:hAnsiTheme="minorHAnsi" w:cstheme="minorHAnsi"/>
          <w:sz w:val="24"/>
          <w:szCs w:val="24"/>
          <w:shd w:val="clear" w:color="auto" w:fill="FFFFFF"/>
          <w:lang w:val="en-GB"/>
        </w:rPr>
        <w:t xml:space="preserve"> Staining with DAPI (4’,6-Diamidino-2-Phenylindole) indicates the nuclear localization of XRCC1 and cleaved-PARP.</w:t>
      </w:r>
      <w:r w:rsidR="00550D2C" w:rsidRPr="00F12015">
        <w:rPr>
          <w:rFonts w:asciiTheme="minorHAnsi" w:hAnsiTheme="minorHAnsi" w:cstheme="minorHAnsi"/>
          <w:sz w:val="24"/>
          <w:szCs w:val="24"/>
          <w:shd w:val="clear" w:color="auto" w:fill="FFFFFF"/>
          <w:lang w:val="en-GB"/>
        </w:rPr>
        <w:t xml:space="preserve"> </w:t>
      </w:r>
      <w:r w:rsidR="00790F09" w:rsidRPr="00F12015">
        <w:rPr>
          <w:rFonts w:asciiTheme="minorHAnsi" w:hAnsiTheme="minorHAnsi" w:cstheme="minorHAnsi"/>
          <w:sz w:val="24"/>
          <w:szCs w:val="24"/>
          <w:shd w:val="clear" w:color="auto" w:fill="FFFFFF"/>
          <w:lang w:val="en-GB"/>
        </w:rPr>
        <w:t>Scale bar: 100 µM.</w:t>
      </w:r>
    </w:p>
    <w:p w14:paraId="5AA33196" w14:textId="77777777" w:rsidR="00165ED7" w:rsidRPr="00F12015" w:rsidRDefault="00165ED7" w:rsidP="009F37C6">
      <w:pPr>
        <w:spacing w:line="480" w:lineRule="auto"/>
        <w:jc w:val="both"/>
        <w:rPr>
          <w:rFonts w:asciiTheme="minorHAnsi" w:hAnsiTheme="minorHAnsi" w:cstheme="minorHAnsi"/>
          <w:sz w:val="24"/>
          <w:szCs w:val="24"/>
          <w:shd w:val="clear" w:color="auto" w:fill="FFFFFF"/>
          <w:lang w:val="en-GB"/>
        </w:rPr>
      </w:pPr>
    </w:p>
    <w:p w14:paraId="40FC3014" w14:textId="77777777" w:rsidR="003C21C4" w:rsidRPr="00F12015" w:rsidRDefault="00E207CA">
      <w:pPr>
        <w:spacing w:line="360" w:lineRule="auto"/>
        <w:jc w:val="center"/>
        <w:rPr>
          <w:rFonts w:asciiTheme="minorHAnsi" w:hAnsiTheme="minorHAnsi" w:cstheme="minorHAnsi"/>
          <w:sz w:val="24"/>
          <w:szCs w:val="24"/>
          <w:lang w:val="en-US"/>
        </w:rPr>
      </w:pPr>
      <w:r w:rsidRPr="00F12015">
        <w:rPr>
          <w:rFonts w:asciiTheme="minorHAnsi" w:hAnsiTheme="minorHAnsi" w:cstheme="minorHAnsi"/>
          <w:noProof/>
          <w:sz w:val="24"/>
          <w:szCs w:val="24"/>
        </w:rPr>
        <w:drawing>
          <wp:inline distT="0" distB="0" distL="0" distR="0" wp14:anchorId="639D260B" wp14:editId="1EC96883">
            <wp:extent cx="5400040" cy="3469005"/>
            <wp:effectExtent l="0" t="0" r="0" b="0"/>
            <wp:docPr id="5" name="Picture 19"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9" descr="A screenshot of a graph&#10;&#10;Description automatically generated"/>
                    <pic:cNvPicPr>
                      <a:picLocks noChangeAspect="1" noChangeArrowheads="1"/>
                    </pic:cNvPicPr>
                  </pic:nvPicPr>
                  <pic:blipFill>
                    <a:blip r:embed="rId13"/>
                    <a:stretch>
                      <a:fillRect/>
                    </a:stretch>
                  </pic:blipFill>
                  <pic:spPr bwMode="auto">
                    <a:xfrm>
                      <a:off x="0" y="0"/>
                      <a:ext cx="5400040" cy="3469005"/>
                    </a:xfrm>
                    <a:prstGeom prst="rect">
                      <a:avLst/>
                    </a:prstGeom>
                  </pic:spPr>
                </pic:pic>
              </a:graphicData>
            </a:graphic>
          </wp:inline>
        </w:drawing>
      </w:r>
    </w:p>
    <w:p w14:paraId="4C416799" w14:textId="546C136D" w:rsidR="003C21C4" w:rsidRPr="00F12015" w:rsidRDefault="00E207CA">
      <w:pPr>
        <w:pStyle w:val="Didascalia"/>
        <w:spacing w:line="360" w:lineRule="auto"/>
        <w:jc w:val="both"/>
        <w:rPr>
          <w:rFonts w:asciiTheme="minorHAnsi" w:hAnsiTheme="minorHAnsi" w:cstheme="minorHAnsi"/>
          <w:b/>
          <w:bCs/>
          <w:i w:val="0"/>
          <w:iCs w:val="0"/>
          <w:sz w:val="24"/>
          <w:szCs w:val="24"/>
          <w:lang w:val="en-US"/>
        </w:rPr>
      </w:pPr>
      <w:bookmarkStart w:id="3" w:name="_Ref150867232"/>
      <w:bookmarkStart w:id="4" w:name="_Ref150940684"/>
      <w:r w:rsidRPr="00F12015">
        <w:rPr>
          <w:rFonts w:asciiTheme="minorHAnsi" w:hAnsiTheme="minorHAnsi" w:cstheme="minorHAnsi"/>
          <w:b/>
          <w:bCs/>
          <w:i w:val="0"/>
          <w:iCs w:val="0"/>
          <w:sz w:val="24"/>
          <w:szCs w:val="24"/>
          <w:lang w:val="en-US"/>
        </w:rPr>
        <w:lastRenderedPageBreak/>
        <w:t xml:space="preserve">Figure </w:t>
      </w:r>
      <w:bookmarkEnd w:id="3"/>
      <w:r w:rsidR="00830735" w:rsidRPr="00F12015">
        <w:rPr>
          <w:rFonts w:asciiTheme="minorHAnsi" w:hAnsiTheme="minorHAnsi" w:cstheme="minorHAnsi"/>
          <w:b/>
          <w:bCs/>
          <w:i w:val="0"/>
          <w:iCs w:val="0"/>
          <w:sz w:val="24"/>
          <w:szCs w:val="24"/>
          <w:lang w:val="en-US"/>
        </w:rPr>
        <w:t>7</w:t>
      </w:r>
      <w:r w:rsidR="005C75D1" w:rsidRPr="00F12015">
        <w:rPr>
          <w:rFonts w:asciiTheme="minorHAnsi" w:hAnsiTheme="minorHAnsi" w:cstheme="minorHAnsi"/>
          <w:b/>
          <w:bCs/>
          <w:i w:val="0"/>
          <w:iCs w:val="0"/>
          <w:sz w:val="24"/>
          <w:szCs w:val="24"/>
          <w:lang w:val="en-US"/>
        </w:rPr>
        <w:t>S</w:t>
      </w:r>
      <w:r w:rsidRPr="00F12015">
        <w:rPr>
          <w:rFonts w:asciiTheme="minorHAnsi" w:hAnsiTheme="minorHAnsi" w:cstheme="minorHAnsi"/>
          <w:b/>
          <w:bCs/>
          <w:i w:val="0"/>
          <w:iCs w:val="0"/>
          <w:sz w:val="24"/>
          <w:szCs w:val="24"/>
          <w:lang w:val="en-US"/>
        </w:rPr>
        <w:t xml:space="preserve">: Density and histogram plots obtained by using CytExpert 2.4 software showing H2AX phosphorylation status before and after DNA damage in SETD2 deficient and proficient cells. </w:t>
      </w:r>
      <w:r w:rsidRPr="00F12015">
        <w:rPr>
          <w:rFonts w:asciiTheme="minorHAnsi" w:hAnsiTheme="minorHAnsi" w:cstheme="minorHAnsi"/>
          <w:i w:val="0"/>
          <w:iCs w:val="0"/>
          <w:sz w:val="24"/>
          <w:szCs w:val="24"/>
          <w:lang w:val="en-US"/>
        </w:rPr>
        <w:t>A gate for alive cells was established and only gated cells were considered in p-H2AX(S139) positive expression analysis in KCL22 (left panels) vs KCL22 tsSETD2 (right panels) cell lines before and after H</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O</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 xml:space="preserve"> 1 mM for 60’. </w:t>
      </w:r>
      <w:bookmarkEnd w:id="4"/>
    </w:p>
    <w:p w14:paraId="04302B75" w14:textId="783A7B14" w:rsidR="003C21C4" w:rsidRPr="00F12015" w:rsidRDefault="003C21C4">
      <w:pPr>
        <w:pStyle w:val="Didascalia"/>
        <w:spacing w:line="360" w:lineRule="auto"/>
        <w:jc w:val="both"/>
        <w:rPr>
          <w:rFonts w:asciiTheme="minorHAnsi" w:hAnsiTheme="minorHAnsi" w:cstheme="minorHAnsi"/>
          <w:b/>
          <w:bCs/>
          <w:sz w:val="24"/>
          <w:szCs w:val="24"/>
          <w:lang w:val="en-US"/>
        </w:rPr>
      </w:pPr>
    </w:p>
    <w:p w14:paraId="7690A1A7" w14:textId="6E7B9475" w:rsidR="004B4A54" w:rsidRPr="00F12015" w:rsidRDefault="004B4A54">
      <w:pPr>
        <w:pStyle w:val="Didascalia"/>
        <w:spacing w:line="360" w:lineRule="auto"/>
        <w:jc w:val="both"/>
        <w:rPr>
          <w:rFonts w:asciiTheme="minorHAnsi" w:hAnsiTheme="minorHAnsi" w:cstheme="minorHAnsi"/>
          <w:b/>
          <w:bCs/>
          <w:sz w:val="24"/>
          <w:szCs w:val="24"/>
          <w:lang w:val="en-US"/>
        </w:rPr>
      </w:pPr>
      <w:r w:rsidRPr="00F12015">
        <w:rPr>
          <w:rFonts w:asciiTheme="minorHAnsi" w:hAnsiTheme="minorHAnsi" w:cstheme="minorHAnsi"/>
          <w:b/>
          <w:bCs/>
          <w:noProof/>
          <w:sz w:val="24"/>
          <w:szCs w:val="24"/>
          <w:lang w:val="en-US"/>
        </w:rPr>
        <w:drawing>
          <wp:inline distT="0" distB="0" distL="0" distR="0" wp14:anchorId="15FB394D" wp14:editId="76FCFE9E">
            <wp:extent cx="6120130" cy="46361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4636135"/>
                    </a:xfrm>
                    <a:prstGeom prst="rect">
                      <a:avLst/>
                    </a:prstGeom>
                  </pic:spPr>
                </pic:pic>
              </a:graphicData>
            </a:graphic>
          </wp:inline>
        </w:drawing>
      </w:r>
    </w:p>
    <w:p w14:paraId="46FFD6EF" w14:textId="40438082" w:rsidR="003C21C4" w:rsidRPr="00F12015" w:rsidRDefault="003C21C4">
      <w:pPr>
        <w:pStyle w:val="Didascalia"/>
        <w:keepNext/>
        <w:spacing w:line="360" w:lineRule="auto"/>
        <w:jc w:val="center"/>
        <w:rPr>
          <w:rFonts w:asciiTheme="minorHAnsi" w:hAnsiTheme="minorHAnsi" w:cstheme="minorHAnsi"/>
          <w:sz w:val="24"/>
          <w:szCs w:val="24"/>
        </w:rPr>
      </w:pPr>
    </w:p>
    <w:p w14:paraId="0743A4D8" w14:textId="57E8E150" w:rsidR="003C21C4" w:rsidRPr="00F12015" w:rsidRDefault="00E207CA" w:rsidP="009F37C6">
      <w:pPr>
        <w:pStyle w:val="Didascalia"/>
        <w:spacing w:line="360" w:lineRule="auto"/>
        <w:jc w:val="both"/>
        <w:rPr>
          <w:rFonts w:asciiTheme="minorHAnsi" w:hAnsiTheme="minorHAnsi" w:cstheme="minorHAnsi"/>
          <w:i w:val="0"/>
          <w:iCs w:val="0"/>
          <w:sz w:val="24"/>
          <w:szCs w:val="24"/>
          <w:lang w:val="en-US"/>
        </w:rPr>
      </w:pPr>
      <w:bookmarkStart w:id="5" w:name="_Ref150799754"/>
      <w:r w:rsidRPr="00F12015">
        <w:rPr>
          <w:rFonts w:asciiTheme="minorHAnsi" w:hAnsiTheme="minorHAnsi" w:cstheme="minorHAnsi"/>
          <w:b/>
          <w:bCs/>
          <w:i w:val="0"/>
          <w:iCs w:val="0"/>
          <w:sz w:val="24"/>
          <w:szCs w:val="24"/>
          <w:lang w:val="en-US"/>
        </w:rPr>
        <w:t xml:space="preserve">Figure </w:t>
      </w:r>
      <w:bookmarkEnd w:id="5"/>
      <w:r w:rsidR="00830735" w:rsidRPr="00F12015">
        <w:rPr>
          <w:rFonts w:asciiTheme="minorHAnsi" w:hAnsiTheme="minorHAnsi" w:cstheme="minorHAnsi"/>
          <w:b/>
          <w:bCs/>
          <w:i w:val="0"/>
          <w:iCs w:val="0"/>
          <w:sz w:val="24"/>
          <w:szCs w:val="24"/>
          <w:lang w:val="en-US"/>
        </w:rPr>
        <w:t>8</w:t>
      </w:r>
      <w:r w:rsidR="004738BF" w:rsidRPr="00F12015">
        <w:rPr>
          <w:rFonts w:asciiTheme="minorHAnsi" w:hAnsiTheme="minorHAnsi" w:cstheme="minorHAnsi"/>
          <w:b/>
          <w:bCs/>
          <w:i w:val="0"/>
          <w:iCs w:val="0"/>
          <w:sz w:val="24"/>
          <w:szCs w:val="24"/>
          <w:lang w:val="en-US"/>
        </w:rPr>
        <w:t>S</w:t>
      </w:r>
      <w:r w:rsidRPr="00F12015">
        <w:rPr>
          <w:rFonts w:asciiTheme="minorHAnsi" w:hAnsiTheme="minorHAnsi" w:cstheme="minorHAnsi"/>
          <w:b/>
          <w:bCs/>
          <w:i w:val="0"/>
          <w:iCs w:val="0"/>
          <w:sz w:val="24"/>
          <w:szCs w:val="24"/>
          <w:lang w:val="en-US"/>
        </w:rPr>
        <w:t>: Cytofluorimetric assessment of HR, MMR, BER and NHEJ repair in SETD2 deficient and proficient cell lines.</w:t>
      </w:r>
      <w:r w:rsidRPr="00F12015">
        <w:rPr>
          <w:rFonts w:asciiTheme="minorHAnsi" w:hAnsiTheme="minorHAnsi" w:cstheme="minorHAnsi"/>
          <w:i w:val="0"/>
          <w:iCs w:val="0"/>
          <w:sz w:val="24"/>
          <w:szCs w:val="24"/>
          <w:lang w:val="en-US"/>
        </w:rPr>
        <w:t xml:space="preserve"> A bar graph represents protein expression values: p-H2AX (S139), RAD51, MSH6, XRCC1 and cl-PARP expression in KCL22 (in steady state conditions: blue and after H</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O</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 xml:space="preserve"> damage for 60’: gray), KCL22 tsSETD2, LAMA84 and LAMA84 siRNA SETD2 cell lines evaluated in steady state condition and after H</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O</w:t>
      </w:r>
      <w:r w:rsidRPr="00F12015">
        <w:rPr>
          <w:rFonts w:asciiTheme="minorHAnsi" w:hAnsiTheme="minorHAnsi" w:cstheme="minorHAnsi"/>
          <w:i w:val="0"/>
          <w:iCs w:val="0"/>
          <w:sz w:val="24"/>
          <w:szCs w:val="24"/>
          <w:vertAlign w:val="subscript"/>
          <w:lang w:val="en-US"/>
        </w:rPr>
        <w:t>2</w:t>
      </w:r>
      <w:r w:rsidRPr="00F12015">
        <w:rPr>
          <w:rFonts w:asciiTheme="minorHAnsi" w:hAnsiTheme="minorHAnsi" w:cstheme="minorHAnsi"/>
          <w:i w:val="0"/>
          <w:iCs w:val="0"/>
          <w:sz w:val="24"/>
          <w:szCs w:val="24"/>
          <w:lang w:val="en-US"/>
        </w:rPr>
        <w:t xml:space="preserve"> damage for 60’. On the left column each control, and on the right (grey) each damaged line. Results are a mean of three independent experiments. </w:t>
      </w:r>
    </w:p>
    <w:sectPr w:rsidR="003C21C4" w:rsidRPr="00F12015" w:rsidSect="00D93ED9">
      <w:footerReference w:type="default" r:id="rId15"/>
      <w:pgSz w:w="11906" w:h="16838"/>
      <w:pgMar w:top="1417" w:right="1134" w:bottom="1134" w:left="1134" w:header="0" w:footer="0" w:gutter="0"/>
      <w:lnNumType w:countBy="1" w:restart="continuous"/>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922745" w14:textId="77777777" w:rsidR="00C47F36" w:rsidRDefault="00C47F36" w:rsidP="009D519B">
      <w:r>
        <w:separator/>
      </w:r>
    </w:p>
  </w:endnote>
  <w:endnote w:type="continuationSeparator" w:id="0">
    <w:p w14:paraId="1B9E8F1E" w14:textId="77777777" w:rsidR="00C47F36" w:rsidRDefault="00C47F36" w:rsidP="009D5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36437"/>
      <w:docPartObj>
        <w:docPartGallery w:val="Page Numbers (Bottom of Page)"/>
        <w:docPartUnique/>
      </w:docPartObj>
    </w:sdtPr>
    <w:sdtEndPr/>
    <w:sdtContent>
      <w:p w14:paraId="1D5ABD24" w14:textId="2CB03A66" w:rsidR="009D519B" w:rsidRDefault="009D519B">
        <w:pPr>
          <w:pStyle w:val="Pidipagina"/>
          <w:jc w:val="center"/>
        </w:pPr>
        <w:r>
          <w:fldChar w:fldCharType="begin"/>
        </w:r>
        <w:r>
          <w:instrText>PAGE   \* MERGEFORMAT</w:instrText>
        </w:r>
        <w:r>
          <w:fldChar w:fldCharType="separate"/>
        </w:r>
        <w:r>
          <w:t>2</w:t>
        </w:r>
        <w:r>
          <w:fldChar w:fldCharType="end"/>
        </w:r>
      </w:p>
    </w:sdtContent>
  </w:sdt>
  <w:p w14:paraId="18DCB5F2" w14:textId="77777777" w:rsidR="009D519B" w:rsidRDefault="009D519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B3C17" w14:textId="77777777" w:rsidR="00C47F36" w:rsidRDefault="00C47F36" w:rsidP="009D519B">
      <w:r>
        <w:separator/>
      </w:r>
    </w:p>
  </w:footnote>
  <w:footnote w:type="continuationSeparator" w:id="0">
    <w:p w14:paraId="5DB597C2" w14:textId="77777777" w:rsidR="00C47F36" w:rsidRDefault="00C47F36" w:rsidP="009D51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1C4"/>
    <w:rsid w:val="00007869"/>
    <w:rsid w:val="00027F61"/>
    <w:rsid w:val="00054D0F"/>
    <w:rsid w:val="00062990"/>
    <w:rsid w:val="0007755F"/>
    <w:rsid w:val="000F4A95"/>
    <w:rsid w:val="00135687"/>
    <w:rsid w:val="00160A4D"/>
    <w:rsid w:val="00165ED7"/>
    <w:rsid w:val="00167C7B"/>
    <w:rsid w:val="00193441"/>
    <w:rsid w:val="001B3BAF"/>
    <w:rsid w:val="001D2615"/>
    <w:rsid w:val="0020169F"/>
    <w:rsid w:val="00282D83"/>
    <w:rsid w:val="002C0B07"/>
    <w:rsid w:val="002C4ECD"/>
    <w:rsid w:val="002E3712"/>
    <w:rsid w:val="0030769E"/>
    <w:rsid w:val="00386DEA"/>
    <w:rsid w:val="003C21C4"/>
    <w:rsid w:val="00412C85"/>
    <w:rsid w:val="004550FF"/>
    <w:rsid w:val="004738BF"/>
    <w:rsid w:val="00490D6E"/>
    <w:rsid w:val="004B4A54"/>
    <w:rsid w:val="004C51E8"/>
    <w:rsid w:val="004E1596"/>
    <w:rsid w:val="0052181E"/>
    <w:rsid w:val="0052331F"/>
    <w:rsid w:val="00550D2C"/>
    <w:rsid w:val="005A090B"/>
    <w:rsid w:val="005A2FE2"/>
    <w:rsid w:val="005C140D"/>
    <w:rsid w:val="005C75D1"/>
    <w:rsid w:val="005E533A"/>
    <w:rsid w:val="005E5AC2"/>
    <w:rsid w:val="006E5A9B"/>
    <w:rsid w:val="007532BC"/>
    <w:rsid w:val="00790F09"/>
    <w:rsid w:val="007A08B6"/>
    <w:rsid w:val="007C6F24"/>
    <w:rsid w:val="00830735"/>
    <w:rsid w:val="00833E81"/>
    <w:rsid w:val="00851B85"/>
    <w:rsid w:val="00857FCD"/>
    <w:rsid w:val="008D4ED6"/>
    <w:rsid w:val="009261DE"/>
    <w:rsid w:val="009855DA"/>
    <w:rsid w:val="009D4A31"/>
    <w:rsid w:val="009D519B"/>
    <w:rsid w:val="009F37C6"/>
    <w:rsid w:val="00A5283F"/>
    <w:rsid w:val="00AE0D9E"/>
    <w:rsid w:val="00AE6EF7"/>
    <w:rsid w:val="00B42D79"/>
    <w:rsid w:val="00BD4CDC"/>
    <w:rsid w:val="00C1394C"/>
    <w:rsid w:val="00C47F36"/>
    <w:rsid w:val="00C66D3A"/>
    <w:rsid w:val="00C757CE"/>
    <w:rsid w:val="00CE3BB2"/>
    <w:rsid w:val="00CF6CF6"/>
    <w:rsid w:val="00D05771"/>
    <w:rsid w:val="00D070DA"/>
    <w:rsid w:val="00D46F6E"/>
    <w:rsid w:val="00D60569"/>
    <w:rsid w:val="00D71A0C"/>
    <w:rsid w:val="00D93ED9"/>
    <w:rsid w:val="00DE5C86"/>
    <w:rsid w:val="00E207CA"/>
    <w:rsid w:val="00E317D4"/>
    <w:rsid w:val="00E42865"/>
    <w:rsid w:val="00E53925"/>
    <w:rsid w:val="00E57EBD"/>
    <w:rsid w:val="00E65F50"/>
    <w:rsid w:val="00E75263"/>
    <w:rsid w:val="00E91DB5"/>
    <w:rsid w:val="00EB28AE"/>
    <w:rsid w:val="00F01661"/>
    <w:rsid w:val="00F12015"/>
    <w:rsid w:val="00F569EB"/>
    <w:rsid w:val="00FD1769"/>
    <w:rsid w:val="00FD1782"/>
    <w:rsid w:val="00FE046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E6973C6"/>
  <w15:docId w15:val="{0055DBE7-F789-44A4-94B7-8709C0B39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EastAsia" w:hAnsi="Calibri" w:cstheme="minorBidi"/>
        <w:kern w:val="2"/>
        <w:sz w:val="22"/>
        <w:szCs w:val="22"/>
        <w:lang w:val="it-IT" w:eastAsia="it-IT"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textAlignment w:val="baseline"/>
    </w:pPr>
  </w:style>
  <w:style w:type="paragraph" w:styleId="Titolo3">
    <w:name w:val="heading 3"/>
    <w:basedOn w:val="Normale"/>
    <w:next w:val="Normale"/>
    <w:qFormat/>
    <w:pPr>
      <w:keepNext/>
      <w:keepLines/>
      <w:spacing w:before="40"/>
      <w:outlineLvl w:val="2"/>
    </w:pPr>
    <w:rPr>
      <w:rFonts w:asciiTheme="majorHAnsi" w:eastAsiaTheme="majorEastAsia" w:hAnsiTheme="majorHAnsi" w:cstheme="majorBidi"/>
      <w:color w:val="1F3763" w:themeColor="accent1" w:themeShade="7F"/>
      <w:sz w:val="32"/>
      <w:szCs w:val="32"/>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qFormat/>
    <w:rsid w:val="00316D6E"/>
    <w:rPr>
      <w:sz w:val="16"/>
      <w:szCs w:val="16"/>
    </w:rPr>
  </w:style>
  <w:style w:type="character" w:customStyle="1" w:styleId="TestocommentoCarattere">
    <w:name w:val="Testo commento Carattere"/>
    <w:basedOn w:val="Carpredefinitoparagrafo"/>
    <w:link w:val="Testocommento"/>
    <w:uiPriority w:val="99"/>
    <w:semiHidden/>
    <w:qFormat/>
    <w:rsid w:val="00316D6E"/>
    <w:rPr>
      <w:sz w:val="20"/>
      <w:szCs w:val="20"/>
    </w:rPr>
  </w:style>
  <w:style w:type="character" w:customStyle="1" w:styleId="SoggettocommentoCarattere">
    <w:name w:val="Soggetto commento Carattere"/>
    <w:basedOn w:val="TestocommentoCarattere"/>
    <w:link w:val="Soggettocommento"/>
    <w:uiPriority w:val="99"/>
    <w:semiHidden/>
    <w:qFormat/>
    <w:rsid w:val="00316D6E"/>
    <w:rPr>
      <w:b/>
      <w:bCs/>
      <w:sz w:val="20"/>
      <w:szCs w:val="20"/>
    </w:rPr>
  </w:style>
  <w:style w:type="character" w:customStyle="1" w:styleId="Numerazionerighe">
    <w:name w:val="Numerazione righe"/>
  </w:style>
  <w:style w:type="character" w:customStyle="1" w:styleId="lrzxr">
    <w:name w:val="lrzxr"/>
    <w:basedOn w:val="Carpredefinitoparagrafo"/>
    <w:qFormat/>
  </w:style>
  <w:style w:type="paragraph" w:styleId="Titolo">
    <w:name w:val="Title"/>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76"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rPr>
  </w:style>
  <w:style w:type="paragraph" w:customStyle="1" w:styleId="Indice">
    <w:name w:val="Indice"/>
    <w:basedOn w:val="Normale"/>
    <w:qFormat/>
    <w:pPr>
      <w:suppressLineNumbers/>
    </w:pPr>
    <w:rPr>
      <w:rFonts w:cs="Lucida Sans"/>
    </w:rPr>
  </w:style>
  <w:style w:type="paragraph" w:styleId="Revisione">
    <w:name w:val="Revision"/>
    <w:uiPriority w:val="99"/>
    <w:semiHidden/>
    <w:qFormat/>
    <w:rsid w:val="00316D6E"/>
    <w:pPr>
      <w:suppressAutoHyphens w:val="0"/>
    </w:pPr>
  </w:style>
  <w:style w:type="paragraph" w:styleId="Testocommento">
    <w:name w:val="annotation text"/>
    <w:basedOn w:val="Normale"/>
    <w:link w:val="TestocommentoCarattere"/>
    <w:uiPriority w:val="99"/>
    <w:semiHidden/>
    <w:unhideWhenUsed/>
    <w:qFormat/>
    <w:rsid w:val="00316D6E"/>
    <w:rPr>
      <w:sz w:val="20"/>
      <w:szCs w:val="20"/>
    </w:rPr>
  </w:style>
  <w:style w:type="paragraph" w:styleId="Soggettocommento">
    <w:name w:val="annotation subject"/>
    <w:basedOn w:val="Testocommento"/>
    <w:next w:val="Testocommento"/>
    <w:link w:val="SoggettocommentoCarattere"/>
    <w:uiPriority w:val="99"/>
    <w:semiHidden/>
    <w:unhideWhenUsed/>
    <w:qFormat/>
    <w:rsid w:val="00316D6E"/>
    <w:rPr>
      <w:b/>
      <w:bCs/>
    </w:rPr>
  </w:style>
  <w:style w:type="paragraph" w:customStyle="1" w:styleId="Default">
    <w:name w:val="Default"/>
    <w:qFormat/>
    <w:pPr>
      <w:widowControl w:val="0"/>
      <w:textAlignment w:val="baseline"/>
    </w:pPr>
    <w:rPr>
      <w:rFonts w:ascii="Palatino Linotype" w:hAnsi="Palatino Linotype"/>
      <w:color w:val="000000"/>
      <w:sz w:val="24"/>
    </w:rPr>
  </w:style>
  <w:style w:type="character" w:styleId="Numeroriga">
    <w:name w:val="line number"/>
    <w:basedOn w:val="Carpredefinitoparagrafo"/>
    <w:uiPriority w:val="99"/>
    <w:semiHidden/>
    <w:unhideWhenUsed/>
    <w:rsid w:val="00A5283F"/>
  </w:style>
  <w:style w:type="paragraph" w:styleId="Intestazione">
    <w:name w:val="header"/>
    <w:basedOn w:val="Normale"/>
    <w:link w:val="IntestazioneCarattere"/>
    <w:uiPriority w:val="99"/>
    <w:unhideWhenUsed/>
    <w:rsid w:val="009D519B"/>
    <w:pPr>
      <w:tabs>
        <w:tab w:val="center" w:pos="4819"/>
        <w:tab w:val="right" w:pos="9638"/>
      </w:tabs>
    </w:pPr>
  </w:style>
  <w:style w:type="character" w:customStyle="1" w:styleId="IntestazioneCarattere">
    <w:name w:val="Intestazione Carattere"/>
    <w:basedOn w:val="Carpredefinitoparagrafo"/>
    <w:link w:val="Intestazione"/>
    <w:uiPriority w:val="99"/>
    <w:rsid w:val="009D519B"/>
  </w:style>
  <w:style w:type="paragraph" w:styleId="Pidipagina">
    <w:name w:val="footer"/>
    <w:basedOn w:val="Normale"/>
    <w:link w:val="PidipaginaCarattere"/>
    <w:uiPriority w:val="99"/>
    <w:unhideWhenUsed/>
    <w:rsid w:val="009D519B"/>
    <w:pPr>
      <w:tabs>
        <w:tab w:val="center" w:pos="4819"/>
        <w:tab w:val="right" w:pos="9638"/>
      </w:tabs>
    </w:pPr>
  </w:style>
  <w:style w:type="character" w:customStyle="1" w:styleId="PidipaginaCarattere">
    <w:name w:val="Piè di pagina Carattere"/>
    <w:basedOn w:val="Carpredefinitoparagrafo"/>
    <w:link w:val="Pidipagina"/>
    <w:uiPriority w:val="99"/>
    <w:rsid w:val="009D51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tif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image" Target="media/image8.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A2F9CD-4130-450E-85E9-9D5E1216F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1153</TotalTime>
  <Pages>11</Pages>
  <Words>1983</Words>
  <Characters>11307</Characters>
  <Application>Microsoft Office Word</Application>
  <DocSecurity>0</DocSecurity>
  <Lines>94</Lines>
  <Paragraphs>26</Paragraphs>
  <ScaleCrop>false</ScaleCrop>
  <Company/>
  <LinksUpToDate>false</LinksUpToDate>
  <CharactersWithSpaces>13264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Lonetti</dc:creator>
  <dc:description/>
  <cp:lastModifiedBy>Manuela Mancini</cp:lastModifiedBy>
  <cp:revision>13</cp:revision>
  <dcterms:created xsi:type="dcterms:W3CDTF">2024-10-15T13:33:00Z</dcterms:created>
  <dcterms:modified xsi:type="dcterms:W3CDTF">2024-11-28T14:47:00Z</dcterms:modified>
  <dc:language>it-IT</dc:language>
</cp:coreProperties>
</file>