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0D6AB0" w14:textId="53950662" w:rsidR="0035251B" w:rsidRDefault="00BD32C5">
      <w:pPr>
        <w:rPr>
          <w:rFonts w:cstheme="minorHAnsi"/>
          <w:sz w:val="24"/>
          <w:szCs w:val="24"/>
          <w:lang w:val="en-US"/>
        </w:rPr>
      </w:pPr>
      <w:r w:rsidRPr="00D7397E">
        <w:rPr>
          <w:b/>
          <w:bCs/>
          <w:sz w:val="40"/>
          <w:szCs w:val="40"/>
          <w:lang w:val="en-US"/>
        </w:rPr>
        <w:t>Su</w:t>
      </w:r>
      <w:r w:rsidR="00A04054">
        <w:rPr>
          <w:b/>
          <w:bCs/>
          <w:sz w:val="40"/>
          <w:szCs w:val="40"/>
          <w:lang w:val="en-US"/>
        </w:rPr>
        <w:t>pporting</w:t>
      </w:r>
      <w:r w:rsidRPr="00D7397E">
        <w:rPr>
          <w:b/>
          <w:bCs/>
          <w:sz w:val="40"/>
          <w:szCs w:val="40"/>
          <w:lang w:val="en-US"/>
        </w:rPr>
        <w:t xml:space="preserve"> </w:t>
      </w:r>
      <w:r w:rsidR="00D7397E" w:rsidRPr="00D7397E">
        <w:rPr>
          <w:b/>
          <w:bCs/>
          <w:sz w:val="40"/>
          <w:szCs w:val="40"/>
          <w:lang w:val="en-US"/>
        </w:rPr>
        <w:t>Informatio</w:t>
      </w:r>
      <w:r w:rsidR="000A6DF3">
        <w:rPr>
          <w:b/>
          <w:bCs/>
          <w:sz w:val="40"/>
          <w:szCs w:val="40"/>
          <w:lang w:val="en-US"/>
        </w:rPr>
        <w:t>n</w:t>
      </w:r>
    </w:p>
    <w:p w14:paraId="789499C6" w14:textId="1722BA5E" w:rsidR="00EE050B" w:rsidRPr="00C20A2C" w:rsidRDefault="00BD32C5">
      <w:pPr>
        <w:rPr>
          <w:rFonts w:cstheme="minorHAnsi"/>
          <w:sz w:val="24"/>
          <w:szCs w:val="24"/>
          <w:lang w:val="en-US"/>
        </w:rPr>
      </w:pPr>
      <w:r>
        <w:rPr>
          <w:rFonts w:cstheme="minorHAnsi"/>
          <w:sz w:val="24"/>
          <w:szCs w:val="24"/>
          <w:lang w:val="en-US"/>
        </w:rPr>
        <w:t>In this document</w:t>
      </w:r>
      <w:r w:rsidR="00EE050B" w:rsidRPr="00C20A2C">
        <w:rPr>
          <w:rFonts w:cstheme="minorHAnsi"/>
          <w:sz w:val="24"/>
          <w:szCs w:val="24"/>
          <w:lang w:val="en-US"/>
        </w:rPr>
        <w:t xml:space="preserve"> we provide additional information about:</w:t>
      </w:r>
    </w:p>
    <w:p w14:paraId="30B8C8E4" w14:textId="2A5456AE" w:rsidR="00EE050B" w:rsidRPr="00D85D09" w:rsidRDefault="00EE050B" w:rsidP="002757AE">
      <w:pPr>
        <w:pStyle w:val="Paragrafoelenco"/>
        <w:numPr>
          <w:ilvl w:val="0"/>
          <w:numId w:val="1"/>
        </w:numPr>
        <w:rPr>
          <w:rFonts w:cstheme="minorHAnsi"/>
          <w:sz w:val="24"/>
          <w:szCs w:val="24"/>
          <w:lang w:val="en-US"/>
        </w:rPr>
      </w:pPr>
      <w:r w:rsidRPr="00D85D09">
        <w:rPr>
          <w:rFonts w:cstheme="minorHAnsi"/>
          <w:b/>
          <w:bCs/>
          <w:sz w:val="24"/>
          <w:szCs w:val="24"/>
          <w:lang w:val="en-US"/>
        </w:rPr>
        <w:t xml:space="preserve">The </w:t>
      </w:r>
      <w:r w:rsidR="00BB74E0" w:rsidRPr="00D85D09">
        <w:rPr>
          <w:rFonts w:cstheme="minorHAnsi"/>
          <w:b/>
          <w:bCs/>
          <w:sz w:val="24"/>
          <w:szCs w:val="24"/>
          <w:lang w:val="en-US"/>
        </w:rPr>
        <w:t>size of the</w:t>
      </w:r>
      <w:r w:rsidRPr="00D85D09">
        <w:rPr>
          <w:rFonts w:cstheme="minorHAnsi"/>
          <w:b/>
          <w:bCs/>
          <w:sz w:val="24"/>
          <w:szCs w:val="24"/>
          <w:lang w:val="en-US"/>
        </w:rPr>
        <w:t xml:space="preserve"> operational warning areas (WAs) used by the Department of Civil Protection in Italy</w:t>
      </w:r>
      <w:r w:rsidR="002757AE" w:rsidRPr="002757AE">
        <w:rPr>
          <w:rFonts w:cstheme="minorHAnsi"/>
          <w:b/>
          <w:bCs/>
          <w:sz w:val="24"/>
          <w:szCs w:val="24"/>
          <w:lang w:val="en-US"/>
        </w:rPr>
        <w:t xml:space="preserve">. </w:t>
      </w:r>
      <w:r w:rsidR="00014B31" w:rsidRPr="00D85D09">
        <w:rPr>
          <w:rFonts w:cstheme="minorHAnsi"/>
          <w:sz w:val="24"/>
          <w:szCs w:val="24"/>
          <w:lang w:val="en-US"/>
        </w:rPr>
        <w:t>For this study, the algorithm retains only WAs with an area greater than 1,000 km², without verifying whether the excluded WAs are spatially contiguous. Of the 156 WAs covering the entire Italian territory, the majority (75%) exceed this threshold. A total of 40 WAs are smaller than 1,000 km², and their spatial distribution is shown in Figure S1. Among the 1,534 extreme precipitation events (EPEs) identified during the study period (November 1984 – October 2024), only 30 exceed the 1,000 km² threshold due to the aggregation of multiple smaller WAs. Therefore, this limitation is not expected to significantly impact our results.</w:t>
      </w:r>
    </w:p>
    <w:p w14:paraId="29438595" w14:textId="77777777" w:rsidR="00E343CA" w:rsidRPr="002757AE" w:rsidRDefault="00E343CA" w:rsidP="00D85D09">
      <w:pPr>
        <w:pStyle w:val="Paragrafoelenco"/>
        <w:rPr>
          <w:rFonts w:cstheme="minorHAnsi"/>
          <w:sz w:val="24"/>
          <w:szCs w:val="24"/>
          <w:lang w:val="en-US"/>
        </w:rPr>
      </w:pPr>
    </w:p>
    <w:p w14:paraId="20270587" w14:textId="73ED6010" w:rsidR="00A04054" w:rsidRPr="00D85D09" w:rsidRDefault="00BB74E0">
      <w:pPr>
        <w:pStyle w:val="Paragrafoelenco"/>
        <w:numPr>
          <w:ilvl w:val="0"/>
          <w:numId w:val="1"/>
        </w:numPr>
        <w:rPr>
          <w:lang w:val="en-US"/>
        </w:rPr>
      </w:pPr>
      <w:r w:rsidRPr="00D85D09">
        <w:rPr>
          <w:b/>
          <w:bCs/>
          <w:sz w:val="24"/>
          <w:szCs w:val="24"/>
          <w:lang w:val="en-US"/>
        </w:rPr>
        <w:t>Comparison of Precipitation Datasets for Extreme Precipitation Events (EPEs) over Central-Northern Italy</w:t>
      </w:r>
      <w:r w:rsidR="00EE050B" w:rsidRPr="00D85D09">
        <w:rPr>
          <w:b/>
          <w:bCs/>
          <w:sz w:val="24"/>
          <w:szCs w:val="24"/>
          <w:lang w:val="en-US"/>
        </w:rPr>
        <w:t>.</w:t>
      </w:r>
      <w:r w:rsidR="00EE050B" w:rsidRPr="00D85D09">
        <w:rPr>
          <w:sz w:val="24"/>
          <w:szCs w:val="24"/>
          <w:lang w:val="en-US"/>
        </w:rPr>
        <w:t xml:space="preserve"> </w:t>
      </w:r>
      <w:r w:rsidRPr="00D85D09">
        <w:rPr>
          <w:sz w:val="24"/>
          <w:szCs w:val="24"/>
          <w:lang w:val="en-US"/>
        </w:rPr>
        <w:t xml:space="preserve"> </w:t>
      </w:r>
      <w:r w:rsidR="00014B31" w:rsidRPr="00014B31">
        <w:rPr>
          <w:sz w:val="24"/>
          <w:szCs w:val="24"/>
          <w:lang w:val="en-US"/>
        </w:rPr>
        <w:t>We compared four precipitation datasets—</w:t>
      </w:r>
      <w:proofErr w:type="spellStart"/>
      <w:r w:rsidR="00014B31" w:rsidRPr="00014B31">
        <w:rPr>
          <w:sz w:val="24"/>
          <w:szCs w:val="24"/>
          <w:lang w:val="en-US"/>
        </w:rPr>
        <w:t>ArCIS</w:t>
      </w:r>
      <w:proofErr w:type="spellEnd"/>
      <w:r w:rsidR="00014B31" w:rsidRPr="00014B31">
        <w:rPr>
          <w:sz w:val="24"/>
          <w:szCs w:val="24"/>
          <w:lang w:val="en-US"/>
        </w:rPr>
        <w:t xml:space="preserve">, MSWEP, CERRA, and CERRA-Land—in terms of their ability to represent Extreme Precipitation Events (EPEs) over Central-Northern Italy (Figure S2, Table S1). Although CERRA-Land exhibited performance comparable to CERRA in terms of EPE detection—as indicated by similar percentages of overlapping extreme days with </w:t>
      </w:r>
      <w:proofErr w:type="spellStart"/>
      <w:r w:rsidR="00014B31" w:rsidRPr="00014B31">
        <w:rPr>
          <w:sz w:val="24"/>
          <w:szCs w:val="24"/>
          <w:lang w:val="en-US"/>
        </w:rPr>
        <w:t>ArCIS</w:t>
      </w:r>
      <w:proofErr w:type="spellEnd"/>
      <w:r w:rsidR="00014B31" w:rsidRPr="00014B31">
        <w:rPr>
          <w:sz w:val="24"/>
          <w:szCs w:val="24"/>
          <w:lang w:val="en-US"/>
        </w:rPr>
        <w:t xml:space="preserve">—it was excluded from the final analysis due to concerns related to trend reliability. In particular, the limited spatial coverage and station density within the Italian territory were found to be insufficient to robustly support the analysis of extremes. This limitation is evident in the presence of trend patterns over Northern Italy that are inconsistent with those derived from </w:t>
      </w:r>
      <w:proofErr w:type="spellStart"/>
      <w:r w:rsidR="00014B31" w:rsidRPr="00014B31">
        <w:rPr>
          <w:sz w:val="24"/>
          <w:szCs w:val="24"/>
          <w:lang w:val="en-US"/>
        </w:rPr>
        <w:t>ArCIS</w:t>
      </w:r>
      <w:proofErr w:type="spellEnd"/>
      <w:r w:rsidR="00014B31" w:rsidRPr="00014B31">
        <w:rPr>
          <w:sz w:val="24"/>
          <w:szCs w:val="24"/>
          <w:lang w:val="en-US"/>
        </w:rPr>
        <w:t>. Based on these considerations, we selected CERRA for the extended analysis across the entire Italian territory. Additionally, the composite map of Z500 and mean sea level pressure (</w:t>
      </w:r>
      <w:proofErr w:type="spellStart"/>
      <w:r w:rsidR="00014B31" w:rsidRPr="00014B31">
        <w:rPr>
          <w:sz w:val="24"/>
          <w:szCs w:val="24"/>
          <w:lang w:val="en-US"/>
        </w:rPr>
        <w:t>mSLP</w:t>
      </w:r>
      <w:proofErr w:type="spellEnd"/>
      <w:r w:rsidR="00014B31" w:rsidRPr="00014B31">
        <w:rPr>
          <w:sz w:val="24"/>
          <w:szCs w:val="24"/>
          <w:lang w:val="en-US"/>
        </w:rPr>
        <w:t xml:space="preserve">) from the 2x2 self-organizing map (SOM) clustering for </w:t>
      </w:r>
      <w:proofErr w:type="spellStart"/>
      <w:r w:rsidR="00014B31" w:rsidRPr="00014B31">
        <w:rPr>
          <w:sz w:val="24"/>
          <w:szCs w:val="24"/>
          <w:lang w:val="en-US"/>
        </w:rPr>
        <w:t>ArCIS</w:t>
      </w:r>
      <w:proofErr w:type="spellEnd"/>
      <w:r w:rsidR="00014B31" w:rsidRPr="00014B31">
        <w:rPr>
          <w:sz w:val="24"/>
          <w:szCs w:val="24"/>
          <w:lang w:val="en-US"/>
        </w:rPr>
        <w:t xml:space="preserve"> over Central-Northern Italy is shown in Figure S3.</w:t>
      </w:r>
    </w:p>
    <w:p w14:paraId="18F8331D" w14:textId="77777777" w:rsidR="00E343CA" w:rsidRPr="00D85D09" w:rsidRDefault="00E343CA" w:rsidP="00D85D09">
      <w:pPr>
        <w:pStyle w:val="Paragrafoelenco"/>
        <w:ind w:left="502"/>
        <w:rPr>
          <w:lang w:val="en-US"/>
        </w:rPr>
      </w:pPr>
    </w:p>
    <w:p w14:paraId="6BFC1310" w14:textId="4FEE4CA2" w:rsidR="0016222C" w:rsidRPr="00405C82" w:rsidRDefault="00254257" w:rsidP="00405C82">
      <w:pPr>
        <w:pStyle w:val="Paragrafoelenco"/>
        <w:numPr>
          <w:ilvl w:val="0"/>
          <w:numId w:val="1"/>
        </w:numPr>
        <w:rPr>
          <w:lang w:val="en-US"/>
        </w:rPr>
      </w:pPr>
      <w:bookmarkStart w:id="0" w:name="_Hlk205201762"/>
      <w:r w:rsidRPr="00D85D09">
        <w:rPr>
          <w:b/>
          <w:bCs/>
          <w:sz w:val="24"/>
          <w:szCs w:val="24"/>
          <w:lang w:val="en-US"/>
        </w:rPr>
        <w:t>Robustness of WTs patterns</w:t>
      </w:r>
      <w:bookmarkEnd w:id="0"/>
      <w:r w:rsidR="00EB2E0E" w:rsidRPr="00D85D09">
        <w:rPr>
          <w:b/>
          <w:bCs/>
          <w:sz w:val="24"/>
          <w:szCs w:val="24"/>
          <w:lang w:val="en-US"/>
        </w:rPr>
        <w:t>.</w:t>
      </w:r>
      <w:r w:rsidR="00EB2E0E" w:rsidRPr="00D85D09">
        <w:rPr>
          <w:sz w:val="24"/>
          <w:szCs w:val="24"/>
          <w:lang w:val="en-US"/>
        </w:rPr>
        <w:t xml:space="preserve"> </w:t>
      </w:r>
      <w:r w:rsidR="00405C82" w:rsidRPr="00D85D09">
        <w:rPr>
          <w:sz w:val="24"/>
          <w:szCs w:val="24"/>
          <w:lang w:val="en-US"/>
        </w:rPr>
        <w:t>To evaluate the robustness of the SOM algorithm in identifying coherent atmospheric patterns, we construct signal-to-noise (S2N) maps (Figure S4). These maps are generated by computing the composite anomalies of Z500 and mean sea level pressure (</w:t>
      </w:r>
      <w:proofErr w:type="spellStart"/>
      <w:r w:rsidR="00405C82" w:rsidRPr="00D85D09">
        <w:rPr>
          <w:sz w:val="24"/>
          <w:szCs w:val="24"/>
          <w:lang w:val="en-US"/>
        </w:rPr>
        <w:t>mSLP</w:t>
      </w:r>
      <w:proofErr w:type="spellEnd"/>
      <w:r w:rsidR="00405C82" w:rsidRPr="00D85D09">
        <w:rPr>
          <w:sz w:val="24"/>
          <w:szCs w:val="24"/>
          <w:lang w:val="en-US"/>
        </w:rPr>
        <w:t>) for each node and dividing them by the corresponding intra-node standard deviation. Higher absolute S2N values indicate stronger agreement among the individual anomaly maps associated with a given node, thereby highlighting regions of increased pattern consistency.</w:t>
      </w:r>
    </w:p>
    <w:p w14:paraId="0B46B1B6" w14:textId="77777777" w:rsidR="0016222C" w:rsidRPr="00EC76C7" w:rsidRDefault="0016222C" w:rsidP="00D85D09">
      <w:pPr>
        <w:pStyle w:val="Paragrafoelenco"/>
        <w:rPr>
          <w:lang w:val="en-US"/>
        </w:rPr>
      </w:pPr>
    </w:p>
    <w:p w14:paraId="08D23A18" w14:textId="75FB58FA" w:rsidR="00A04054" w:rsidRPr="00D85D09" w:rsidRDefault="0016222C" w:rsidP="0016222C">
      <w:pPr>
        <w:pStyle w:val="Paragrafoelenco"/>
        <w:numPr>
          <w:ilvl w:val="0"/>
          <w:numId w:val="1"/>
        </w:numPr>
        <w:rPr>
          <w:rFonts w:cstheme="minorHAnsi"/>
          <w:color w:val="000000"/>
          <w:sz w:val="24"/>
          <w:szCs w:val="24"/>
          <w:lang w:val="en-US"/>
        </w:rPr>
      </w:pPr>
      <w:r>
        <w:rPr>
          <w:b/>
          <w:bCs/>
          <w:sz w:val="24"/>
          <w:szCs w:val="24"/>
          <w:lang w:val="en-US"/>
        </w:rPr>
        <w:t xml:space="preserve">Seasonal decomposition of </w:t>
      </w:r>
      <w:r w:rsidR="00FF7402">
        <w:rPr>
          <w:b/>
          <w:bCs/>
          <w:sz w:val="24"/>
          <w:szCs w:val="24"/>
          <w:lang w:val="en-US"/>
        </w:rPr>
        <w:t>EPEs</w:t>
      </w:r>
      <w:r>
        <w:rPr>
          <w:b/>
          <w:bCs/>
          <w:sz w:val="24"/>
          <w:szCs w:val="24"/>
          <w:lang w:val="en-US"/>
        </w:rPr>
        <w:t xml:space="preserve"> trend</w:t>
      </w:r>
      <w:r w:rsidR="00FF7402">
        <w:rPr>
          <w:b/>
          <w:bCs/>
          <w:sz w:val="24"/>
          <w:szCs w:val="24"/>
          <w:lang w:val="en-US"/>
        </w:rPr>
        <w:t xml:space="preserve"> analysis</w:t>
      </w:r>
      <w:r>
        <w:rPr>
          <w:b/>
          <w:bCs/>
          <w:sz w:val="24"/>
          <w:szCs w:val="24"/>
          <w:lang w:val="en-US"/>
        </w:rPr>
        <w:t xml:space="preserve">.  </w:t>
      </w:r>
      <w:r w:rsidR="00A04054" w:rsidRPr="00D85D09">
        <w:rPr>
          <w:sz w:val="24"/>
          <w:szCs w:val="24"/>
          <w:lang w:val="en-US"/>
        </w:rPr>
        <w:t>To evaluate the presence of seasonal trends, we compute the seasonal decomposition of EPE occurrences by dividing the annual number of events into the four climatological seasons (DJF, MAM, JJA, SON) and calculating linear trends over the complete study period (1985–2023).</w:t>
      </w:r>
      <w:r w:rsidR="00A04054">
        <w:rPr>
          <w:sz w:val="24"/>
          <w:szCs w:val="24"/>
          <w:lang w:val="en-US"/>
        </w:rPr>
        <w:t xml:space="preserve"> </w:t>
      </w:r>
      <w:r w:rsidR="00A04054" w:rsidRPr="00D85D09">
        <w:rPr>
          <w:sz w:val="24"/>
          <w:szCs w:val="24"/>
          <w:lang w:val="en-US"/>
        </w:rPr>
        <w:t>Here, we present results for WT4 (Figure S5) and WT6 (Figure S6) only, as WT4 exhibited a statistically significant annual trend, while WT6 is the only weather type displaying a statistically significant seasonal trend (p-value &lt; 0.05).</w:t>
      </w:r>
    </w:p>
    <w:p w14:paraId="29246CC1" w14:textId="77777777" w:rsidR="00E343CA" w:rsidRPr="00D85D09" w:rsidRDefault="00E343CA" w:rsidP="00D85D09">
      <w:pPr>
        <w:pStyle w:val="Paragrafoelenco"/>
        <w:rPr>
          <w:lang w:val="en-US"/>
        </w:rPr>
      </w:pPr>
    </w:p>
    <w:p w14:paraId="18EE6396" w14:textId="130DDA25" w:rsidR="00254257" w:rsidRPr="00D85D09" w:rsidRDefault="00BC3031" w:rsidP="00B3481D">
      <w:pPr>
        <w:pStyle w:val="Paragrafoelenco"/>
        <w:numPr>
          <w:ilvl w:val="0"/>
          <w:numId w:val="1"/>
        </w:numPr>
        <w:rPr>
          <w:rFonts w:cstheme="minorHAnsi"/>
          <w:color w:val="000000"/>
          <w:sz w:val="24"/>
          <w:szCs w:val="24"/>
          <w:lang w:val="en-US"/>
        </w:rPr>
      </w:pPr>
      <w:bookmarkStart w:id="1" w:name="_Hlk204960903"/>
      <w:r w:rsidRPr="00D85D09">
        <w:rPr>
          <w:b/>
          <w:bCs/>
          <w:sz w:val="24"/>
          <w:szCs w:val="24"/>
          <w:lang w:val="en-US"/>
        </w:rPr>
        <w:lastRenderedPageBreak/>
        <w:t>Trend analysis</w:t>
      </w:r>
      <w:bookmarkEnd w:id="1"/>
      <w:r w:rsidRPr="00D85D09">
        <w:rPr>
          <w:b/>
          <w:bCs/>
          <w:sz w:val="24"/>
          <w:szCs w:val="24"/>
          <w:lang w:val="en-US"/>
        </w:rPr>
        <w:t xml:space="preserve"> of the number </w:t>
      </w:r>
      <w:r w:rsidR="00B53CB3">
        <w:rPr>
          <w:b/>
          <w:bCs/>
          <w:sz w:val="24"/>
          <w:szCs w:val="24"/>
          <w:lang w:val="en-US"/>
        </w:rPr>
        <w:t xml:space="preserve">of days with atmospheric flow analog to </w:t>
      </w:r>
      <w:r w:rsidRPr="00D85D09">
        <w:rPr>
          <w:b/>
          <w:bCs/>
          <w:sz w:val="24"/>
          <w:szCs w:val="24"/>
          <w:lang w:val="en-US"/>
        </w:rPr>
        <w:t>WTs</w:t>
      </w:r>
      <w:r w:rsidR="005A0F45">
        <w:rPr>
          <w:b/>
          <w:bCs/>
          <w:sz w:val="24"/>
          <w:szCs w:val="24"/>
          <w:lang w:val="en-US"/>
        </w:rPr>
        <w:t xml:space="preserve">. </w:t>
      </w:r>
      <w:r w:rsidR="005A0F45">
        <w:rPr>
          <w:rFonts w:cstheme="minorHAnsi"/>
          <w:color w:val="000000"/>
          <w:sz w:val="24"/>
          <w:szCs w:val="24"/>
          <w:lang w:val="en-US"/>
        </w:rPr>
        <w:t>W</w:t>
      </w:r>
      <w:r w:rsidR="005A0F45" w:rsidRPr="00D85D09">
        <w:rPr>
          <w:rFonts w:cstheme="minorHAnsi"/>
          <w:color w:val="000000"/>
          <w:sz w:val="24"/>
          <w:szCs w:val="24"/>
          <w:lang w:val="en-US"/>
        </w:rPr>
        <w:t xml:space="preserve">e apply the SOM, previously trained on extreme days, to the full set of daily data. </w:t>
      </w:r>
      <w:r w:rsidR="00B53CB3">
        <w:rPr>
          <w:rFonts w:cstheme="minorHAnsi"/>
          <w:color w:val="000000"/>
          <w:sz w:val="24"/>
          <w:szCs w:val="24"/>
          <w:lang w:val="en-US"/>
        </w:rPr>
        <w:t>This means that f</w:t>
      </w:r>
      <w:r w:rsidR="005A0F45" w:rsidRPr="00D85D09">
        <w:rPr>
          <w:rFonts w:cstheme="minorHAnsi"/>
          <w:color w:val="000000"/>
          <w:sz w:val="24"/>
          <w:szCs w:val="24"/>
          <w:lang w:val="en-US"/>
        </w:rPr>
        <w:t>or each extreme WT category, we compute the maximum Euclidean distance (radius) from the SOM node across all associated EPEs. We then define the 25th percentile of these distances as a threshold, representing the maximum acceptable radius for associating a given synoptic configuration with a specific WT. The use of a relatively small threshold is motivated by the aim of selecting days that closely resemble the composite circulation structure of each WT. Only days falling within this 25th percentile radius are retained for the trend analysis.</w:t>
      </w:r>
      <w:r w:rsidR="00C53C1D">
        <w:rPr>
          <w:rFonts w:cstheme="minorHAnsi"/>
          <w:color w:val="000000"/>
          <w:sz w:val="24"/>
          <w:szCs w:val="24"/>
          <w:lang w:val="en-US"/>
        </w:rPr>
        <w:t xml:space="preserve"> </w:t>
      </w:r>
      <w:r w:rsidR="00B3481D" w:rsidRPr="00D85D09">
        <w:rPr>
          <w:rFonts w:cstheme="minorHAnsi"/>
          <w:color w:val="000000"/>
          <w:sz w:val="24"/>
          <w:szCs w:val="24"/>
          <w:lang w:val="en-US"/>
        </w:rPr>
        <w:t xml:space="preserve">In practice, a day is considered an analogue to a given WT if the root </w:t>
      </w:r>
      <w:proofErr w:type="gramStart"/>
      <w:r w:rsidR="00B3481D" w:rsidRPr="00D85D09">
        <w:rPr>
          <w:rFonts w:cstheme="minorHAnsi"/>
          <w:color w:val="000000"/>
          <w:sz w:val="24"/>
          <w:szCs w:val="24"/>
          <w:lang w:val="en-US"/>
        </w:rPr>
        <w:t>mean</w:t>
      </w:r>
      <w:proofErr w:type="gramEnd"/>
      <w:r w:rsidR="00B3481D" w:rsidRPr="00D85D09">
        <w:rPr>
          <w:rFonts w:cstheme="minorHAnsi"/>
          <w:color w:val="000000"/>
          <w:sz w:val="24"/>
          <w:szCs w:val="24"/>
          <w:lang w:val="en-US"/>
        </w:rPr>
        <w:t xml:space="preserve"> square error (i.e., Euclidean distance) between the combined MSLP and Z500 anomalies of that day and those of the SOM node is </w:t>
      </w:r>
      <w:r w:rsidR="00B3481D">
        <w:rPr>
          <w:rFonts w:cstheme="minorHAnsi"/>
          <w:color w:val="000000"/>
          <w:sz w:val="24"/>
          <w:szCs w:val="24"/>
          <w:lang w:val="en-US"/>
        </w:rPr>
        <w:t>smaller than a given</w:t>
      </w:r>
      <w:r w:rsidR="00B3481D" w:rsidRPr="00D85D09">
        <w:rPr>
          <w:rFonts w:cstheme="minorHAnsi"/>
          <w:color w:val="000000"/>
          <w:sz w:val="24"/>
          <w:szCs w:val="24"/>
          <w:lang w:val="en-US"/>
        </w:rPr>
        <w:t xml:space="preserve"> threshold. This threshold is set as the </w:t>
      </w:r>
      <w:r w:rsidR="00B3481D" w:rsidRPr="00B3481D">
        <w:rPr>
          <w:rFonts w:cstheme="minorHAnsi"/>
          <w:color w:val="000000"/>
          <w:sz w:val="24"/>
          <w:szCs w:val="24"/>
          <w:lang w:val="en-US"/>
        </w:rPr>
        <w:t>25</w:t>
      </w:r>
      <w:r w:rsidR="00B3481D" w:rsidRPr="00D85D09">
        <w:rPr>
          <w:rFonts w:cstheme="minorHAnsi"/>
          <w:color w:val="000000"/>
          <w:sz w:val="24"/>
          <w:szCs w:val="24"/>
          <w:vertAlign w:val="superscript"/>
          <w:lang w:val="en-US"/>
        </w:rPr>
        <w:t>th</w:t>
      </w:r>
      <w:r w:rsidR="00B3481D" w:rsidRPr="00D85D09">
        <w:rPr>
          <w:rFonts w:cstheme="minorHAnsi"/>
          <w:color w:val="000000"/>
          <w:sz w:val="24"/>
          <w:szCs w:val="24"/>
          <w:lang w:val="en-US"/>
        </w:rPr>
        <w:t xml:space="preserve"> percentile of the Euclidean distances computed for all EPE days assigned to that node by the SOM. If a day is found to be similar to more than one WT, it is assigned to the one with the smallest Euclidean distance.</w:t>
      </w:r>
      <w:r w:rsidR="00B3481D">
        <w:rPr>
          <w:rFonts w:cstheme="minorHAnsi"/>
          <w:color w:val="000000"/>
          <w:sz w:val="24"/>
          <w:szCs w:val="24"/>
          <w:lang w:val="en-US"/>
        </w:rPr>
        <w:t xml:space="preserve"> </w:t>
      </w:r>
      <w:r w:rsidR="00B3481D" w:rsidRPr="00D85D09">
        <w:rPr>
          <w:rFonts w:cstheme="minorHAnsi"/>
          <w:color w:val="000000"/>
          <w:sz w:val="24"/>
          <w:szCs w:val="24"/>
          <w:lang w:val="en-US"/>
        </w:rPr>
        <w:t>The choice of a low percentile threshold is motivated by the aim of selecting only those days that closely resemble the average characteristics of the node.</w:t>
      </w:r>
      <w:r w:rsidR="00B3481D">
        <w:rPr>
          <w:rFonts w:cstheme="minorHAnsi"/>
          <w:color w:val="000000"/>
          <w:sz w:val="24"/>
          <w:szCs w:val="24"/>
          <w:lang w:val="en-US"/>
        </w:rPr>
        <w:t xml:space="preserve"> </w:t>
      </w:r>
      <w:r w:rsidR="00C53C1D" w:rsidRPr="00D85D09">
        <w:rPr>
          <w:rFonts w:cstheme="minorHAnsi"/>
          <w:color w:val="000000"/>
          <w:sz w:val="24"/>
          <w:szCs w:val="24"/>
          <w:lang w:val="en-US"/>
        </w:rPr>
        <w:t>Results of the trend analysis is shown in Figure S</w:t>
      </w:r>
      <w:r w:rsidR="0016222C" w:rsidRPr="00D85D09">
        <w:rPr>
          <w:rFonts w:cstheme="minorHAnsi"/>
          <w:color w:val="000000"/>
          <w:sz w:val="24"/>
          <w:szCs w:val="24"/>
          <w:lang w:val="en-US"/>
        </w:rPr>
        <w:t>7</w:t>
      </w:r>
      <w:r w:rsidR="00C53C1D" w:rsidRPr="00D85D09">
        <w:rPr>
          <w:rFonts w:cstheme="minorHAnsi"/>
          <w:color w:val="000000"/>
          <w:sz w:val="24"/>
          <w:szCs w:val="24"/>
          <w:lang w:val="en-US"/>
        </w:rPr>
        <w:t>-S</w:t>
      </w:r>
      <w:r w:rsidR="0016222C" w:rsidRPr="00D85D09">
        <w:rPr>
          <w:rFonts w:cstheme="minorHAnsi"/>
          <w:color w:val="000000"/>
          <w:sz w:val="24"/>
          <w:szCs w:val="24"/>
          <w:lang w:val="en-US"/>
        </w:rPr>
        <w:t>8</w:t>
      </w:r>
      <w:r w:rsidR="00C53C1D" w:rsidRPr="00D85D09">
        <w:rPr>
          <w:rFonts w:cstheme="minorHAnsi"/>
          <w:color w:val="000000"/>
          <w:sz w:val="24"/>
          <w:szCs w:val="24"/>
          <w:lang w:val="en-US"/>
        </w:rPr>
        <w:t>.</w:t>
      </w:r>
    </w:p>
    <w:p w14:paraId="2D29D72F" w14:textId="77777777" w:rsidR="007D4F8F" w:rsidRDefault="007D4F8F" w:rsidP="00D85D09">
      <w:pPr>
        <w:pStyle w:val="Paragrafoelenco"/>
        <w:rPr>
          <w:rFonts w:cstheme="minorHAnsi"/>
          <w:color w:val="000000"/>
          <w:sz w:val="24"/>
          <w:szCs w:val="24"/>
          <w:lang w:val="en-US"/>
        </w:rPr>
      </w:pPr>
    </w:p>
    <w:p w14:paraId="309712F1" w14:textId="18AA9521" w:rsidR="00F6201A" w:rsidRPr="00D85D09" w:rsidRDefault="00F6201A" w:rsidP="00F6201A">
      <w:pPr>
        <w:rPr>
          <w:b/>
          <w:bCs/>
          <w:sz w:val="28"/>
          <w:szCs w:val="28"/>
          <w:lang w:val="en-US"/>
        </w:rPr>
      </w:pPr>
      <w:r w:rsidRPr="00D85D09">
        <w:rPr>
          <w:b/>
          <w:bCs/>
          <w:sz w:val="28"/>
          <w:szCs w:val="28"/>
          <w:lang w:val="en-US"/>
        </w:rPr>
        <w:t xml:space="preserve">Operational warning Areas </w:t>
      </w:r>
    </w:p>
    <w:p w14:paraId="19F18101" w14:textId="77777777" w:rsidR="002A466F" w:rsidRDefault="002A466F" w:rsidP="002A466F">
      <w:pPr>
        <w:keepNext/>
      </w:pPr>
      <w:r>
        <w:rPr>
          <w:noProof/>
          <w:lang w:val="en-US"/>
        </w:rPr>
        <w:drawing>
          <wp:inline distT="0" distB="0" distL="0" distR="0" wp14:anchorId="43E2E582" wp14:editId="707109AF">
            <wp:extent cx="4114800" cy="4486274"/>
            <wp:effectExtent l="0" t="0" r="0" b="0"/>
            <wp:docPr id="9898871"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9751" t="11307" r="15560" b="7261"/>
                    <a:stretch>
                      <a:fillRect/>
                    </a:stretch>
                  </pic:blipFill>
                  <pic:spPr bwMode="auto">
                    <a:xfrm>
                      <a:off x="0" y="0"/>
                      <a:ext cx="4144171" cy="4518297"/>
                    </a:xfrm>
                    <a:prstGeom prst="rect">
                      <a:avLst/>
                    </a:prstGeom>
                    <a:noFill/>
                    <a:ln>
                      <a:noFill/>
                    </a:ln>
                    <a:extLst>
                      <a:ext uri="{53640926-AAD7-44D8-BBD7-CCE9431645EC}">
                        <a14:shadowObscured xmlns:a14="http://schemas.microsoft.com/office/drawing/2010/main"/>
                      </a:ext>
                    </a:extLst>
                  </pic:spPr>
                </pic:pic>
              </a:graphicData>
            </a:graphic>
          </wp:inline>
        </w:drawing>
      </w:r>
    </w:p>
    <w:p w14:paraId="6A715C5E" w14:textId="68F97744" w:rsidR="002A466F" w:rsidRDefault="002A466F" w:rsidP="002A466F">
      <w:pPr>
        <w:pStyle w:val="Didascalia"/>
        <w:rPr>
          <w:lang w:val="en-US"/>
        </w:rPr>
      </w:pPr>
      <w:bookmarkStart w:id="2" w:name="_Hlk205408537"/>
      <w:r w:rsidRPr="0072001D">
        <w:rPr>
          <w:lang w:val="en-US"/>
        </w:rPr>
        <w:t>Figure S</w:t>
      </w:r>
      <w:r>
        <w:rPr>
          <w:lang w:val="en-US"/>
        </w:rPr>
        <w:t>1</w:t>
      </w:r>
      <w:r w:rsidRPr="0072001D">
        <w:rPr>
          <w:lang w:val="en-US"/>
        </w:rPr>
        <w:t xml:space="preserve"> – </w:t>
      </w:r>
      <w:r>
        <w:rPr>
          <w:lang w:val="en-US"/>
        </w:rPr>
        <w:t>T</w:t>
      </w:r>
      <w:r w:rsidRPr="00F51205">
        <w:rPr>
          <w:lang w:val="en-US"/>
        </w:rPr>
        <w:t>he 156 operational Warning Areas (WAs) across the entire Italian territory. The areas colored in blue represent those with a surface area smaller than 1,000 km².</w:t>
      </w:r>
    </w:p>
    <w:bookmarkEnd w:id="2"/>
    <w:p w14:paraId="6AD314AF" w14:textId="2D4D51DA" w:rsidR="00F6201A" w:rsidRPr="00D85D09" w:rsidRDefault="00F6201A" w:rsidP="00D85D09">
      <w:pPr>
        <w:rPr>
          <w:b/>
          <w:bCs/>
          <w:sz w:val="28"/>
          <w:szCs w:val="28"/>
          <w:lang w:val="en-US"/>
        </w:rPr>
      </w:pPr>
      <w:r w:rsidRPr="00D85D09">
        <w:rPr>
          <w:b/>
          <w:bCs/>
          <w:sz w:val="28"/>
          <w:szCs w:val="28"/>
          <w:lang w:val="en-US"/>
        </w:rPr>
        <w:lastRenderedPageBreak/>
        <w:t>Comparison of Precipitation Datasets</w:t>
      </w:r>
    </w:p>
    <w:p w14:paraId="58DB88C4" w14:textId="77777777" w:rsidR="004E060C" w:rsidRDefault="004E060C" w:rsidP="004E060C">
      <w:pPr>
        <w:keepNext/>
      </w:pPr>
      <w:r>
        <w:rPr>
          <w:noProof/>
        </w:rPr>
        <w:drawing>
          <wp:inline distT="0" distB="0" distL="0" distR="0" wp14:anchorId="63E62B84" wp14:editId="675285DE">
            <wp:extent cx="6552288" cy="2013995"/>
            <wp:effectExtent l="0" t="0" r="1270" b="5715"/>
            <wp:docPr id="614308138"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569534" cy="2019296"/>
                    </a:xfrm>
                    <a:prstGeom prst="rect">
                      <a:avLst/>
                    </a:prstGeom>
                    <a:noFill/>
                    <a:ln>
                      <a:noFill/>
                    </a:ln>
                  </pic:spPr>
                </pic:pic>
              </a:graphicData>
            </a:graphic>
          </wp:inline>
        </w:drawing>
      </w:r>
    </w:p>
    <w:p w14:paraId="74A383FE" w14:textId="0E732DF8" w:rsidR="00E343CA" w:rsidRPr="00E343CA" w:rsidRDefault="004E060C" w:rsidP="004E4B24">
      <w:pPr>
        <w:pStyle w:val="Didascalia"/>
        <w:rPr>
          <w:lang w:val="en-US"/>
        </w:rPr>
      </w:pPr>
      <w:r w:rsidRPr="001F1F53">
        <w:rPr>
          <w:lang w:val="en-US"/>
        </w:rPr>
        <w:t>Figure S</w:t>
      </w:r>
      <w:r w:rsidR="00DA36A1">
        <w:rPr>
          <w:lang w:val="en-US"/>
        </w:rPr>
        <w:t>2</w:t>
      </w:r>
      <w:r w:rsidRPr="001F1F53">
        <w:rPr>
          <w:lang w:val="en-US"/>
        </w:rPr>
        <w:t xml:space="preserve"> </w:t>
      </w:r>
      <w:r w:rsidR="001F1F53">
        <w:rPr>
          <w:lang w:val="en-US"/>
        </w:rPr>
        <w:t>–</w:t>
      </w:r>
      <w:r w:rsidRPr="001F1F53">
        <w:rPr>
          <w:lang w:val="en-US"/>
        </w:rPr>
        <w:t xml:space="preserve"> </w:t>
      </w:r>
      <w:bookmarkStart w:id="3" w:name="_Hlk205408819"/>
      <w:r w:rsidR="001F1F53">
        <w:rPr>
          <w:lang w:val="en-US"/>
        </w:rPr>
        <w:t>Comparison of a</w:t>
      </w:r>
      <w:r w:rsidR="001F1F53" w:rsidRPr="001F1F53">
        <w:rPr>
          <w:lang w:val="en-US"/>
        </w:rPr>
        <w:t>nnu</w:t>
      </w:r>
      <w:r w:rsidR="001F1F53">
        <w:rPr>
          <w:lang w:val="en-US"/>
        </w:rPr>
        <w:t xml:space="preserve">al cumulative of EPEs in the 1985 – 2019 period for </w:t>
      </w:r>
      <w:proofErr w:type="spellStart"/>
      <w:r w:rsidR="001F1F53">
        <w:rPr>
          <w:lang w:val="en-US"/>
        </w:rPr>
        <w:t>ArCIS</w:t>
      </w:r>
      <w:proofErr w:type="spellEnd"/>
      <w:r w:rsidR="001F1F53">
        <w:rPr>
          <w:lang w:val="en-US"/>
        </w:rPr>
        <w:t xml:space="preserve"> (in blue), MSWEP (in orange), CERRA Land (in green) and CERRA (in red) for North-Central Italy domain.  </w:t>
      </w:r>
      <w:bookmarkEnd w:id="3"/>
    </w:p>
    <w:p w14:paraId="07B5C154" w14:textId="645F32BE" w:rsidR="004E060C" w:rsidRPr="001F1F53" w:rsidRDefault="004E060C" w:rsidP="004E060C">
      <w:pPr>
        <w:pStyle w:val="Didascalia"/>
        <w:keepNext/>
        <w:rPr>
          <w:lang w:val="en-US"/>
        </w:rPr>
      </w:pPr>
      <w:r w:rsidRPr="001F1F53">
        <w:rPr>
          <w:lang w:val="en-US"/>
        </w:rPr>
        <w:t>Table S</w:t>
      </w:r>
      <w:r>
        <w:fldChar w:fldCharType="begin"/>
      </w:r>
      <w:r w:rsidRPr="001F1F53">
        <w:rPr>
          <w:lang w:val="en-US"/>
        </w:rPr>
        <w:instrText xml:space="preserve"> SEQ Tabella \* ARABIC </w:instrText>
      </w:r>
      <w:r>
        <w:fldChar w:fldCharType="separate"/>
      </w:r>
      <w:r w:rsidR="00740B52">
        <w:rPr>
          <w:noProof/>
          <w:lang w:val="en-US"/>
        </w:rPr>
        <w:t>1</w:t>
      </w:r>
      <w:r>
        <w:fldChar w:fldCharType="end"/>
      </w:r>
      <w:r w:rsidRPr="001F1F53">
        <w:rPr>
          <w:lang w:val="en-US"/>
        </w:rPr>
        <w:t xml:space="preserve"> </w:t>
      </w:r>
      <w:r w:rsidR="001F1F53">
        <w:rPr>
          <w:lang w:val="en-US"/>
        </w:rPr>
        <w:t>–</w:t>
      </w:r>
      <w:r w:rsidRPr="001F1F53">
        <w:rPr>
          <w:lang w:val="en-US"/>
        </w:rPr>
        <w:t xml:space="preserve"> </w:t>
      </w:r>
      <w:bookmarkStart w:id="4" w:name="_Hlk205408759"/>
      <w:r w:rsidR="001F1F53">
        <w:rPr>
          <w:lang w:val="en-US"/>
        </w:rPr>
        <w:t xml:space="preserve">Number of EPEs in in the 1985 – 2019 period for </w:t>
      </w:r>
      <w:proofErr w:type="spellStart"/>
      <w:r w:rsidR="001F1F53">
        <w:rPr>
          <w:lang w:val="en-US"/>
        </w:rPr>
        <w:t>ArCIS</w:t>
      </w:r>
      <w:proofErr w:type="spellEnd"/>
      <w:r w:rsidR="001F1F53">
        <w:rPr>
          <w:lang w:val="en-US"/>
        </w:rPr>
        <w:t xml:space="preserve">, MSWEP, CERRA Land and CERRA for North-Central Italy domain. The overlap with </w:t>
      </w:r>
      <w:proofErr w:type="spellStart"/>
      <w:r w:rsidR="001F1F53">
        <w:rPr>
          <w:lang w:val="en-US"/>
        </w:rPr>
        <w:t>ArCIS</w:t>
      </w:r>
      <w:proofErr w:type="spellEnd"/>
      <w:r w:rsidR="001F1F53">
        <w:rPr>
          <w:lang w:val="en-US"/>
        </w:rPr>
        <w:t xml:space="preserve"> and the correspondent correlation coefficient is also </w:t>
      </w:r>
      <w:r w:rsidR="003E644A">
        <w:rPr>
          <w:lang w:val="en-US"/>
        </w:rPr>
        <w:t>given</w:t>
      </w:r>
      <w:r w:rsidR="001F1F53">
        <w:rPr>
          <w:lang w:val="en-US"/>
        </w:rPr>
        <w:t xml:space="preserve">. </w:t>
      </w:r>
      <w:bookmarkEnd w:id="4"/>
    </w:p>
    <w:tbl>
      <w:tblPr>
        <w:tblStyle w:val="Tabellagriglia1chiara-colore5"/>
        <w:tblW w:w="0" w:type="auto"/>
        <w:tblLook w:val="04A0" w:firstRow="1" w:lastRow="0" w:firstColumn="1" w:lastColumn="0" w:noHBand="0" w:noVBand="1"/>
      </w:tblPr>
      <w:tblGrid>
        <w:gridCol w:w="1555"/>
        <w:gridCol w:w="1559"/>
        <w:gridCol w:w="1984"/>
        <w:gridCol w:w="2552"/>
      </w:tblGrid>
      <w:tr w:rsidR="004E060C" w14:paraId="6432C5D7" w14:textId="77777777" w:rsidTr="00D93A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Pr>
          <w:p w14:paraId="228483F3" w14:textId="77777777" w:rsidR="004E060C" w:rsidRPr="001E5E9F" w:rsidRDefault="004E060C" w:rsidP="00D93ACF">
            <w:pPr>
              <w:rPr>
                <w:color w:val="44546A" w:themeColor="text2"/>
                <w:lang w:val="en-US"/>
              </w:rPr>
            </w:pPr>
            <w:r w:rsidRPr="001E5E9F">
              <w:rPr>
                <w:color w:val="44546A" w:themeColor="text2"/>
                <w:lang w:val="en-US"/>
              </w:rPr>
              <w:t>Dataset</w:t>
            </w:r>
          </w:p>
        </w:tc>
        <w:tc>
          <w:tcPr>
            <w:tcW w:w="1559" w:type="dxa"/>
          </w:tcPr>
          <w:p w14:paraId="50C6CA55" w14:textId="77777777" w:rsidR="004E060C" w:rsidRPr="001E5E9F" w:rsidRDefault="004E060C" w:rsidP="00D93ACF">
            <w:pPr>
              <w:cnfStyle w:val="100000000000" w:firstRow="1" w:lastRow="0" w:firstColumn="0" w:lastColumn="0" w:oddVBand="0" w:evenVBand="0" w:oddHBand="0" w:evenHBand="0" w:firstRowFirstColumn="0" w:firstRowLastColumn="0" w:lastRowFirstColumn="0" w:lastRowLastColumn="0"/>
              <w:rPr>
                <w:color w:val="44546A" w:themeColor="text2"/>
                <w:lang w:val="en-US"/>
              </w:rPr>
            </w:pPr>
            <w:r>
              <w:rPr>
                <w:color w:val="44546A" w:themeColor="text2"/>
                <w:lang w:val="en-US"/>
              </w:rPr>
              <w:t>N° Extremes</w:t>
            </w:r>
          </w:p>
        </w:tc>
        <w:tc>
          <w:tcPr>
            <w:tcW w:w="1984" w:type="dxa"/>
          </w:tcPr>
          <w:p w14:paraId="754CFC89" w14:textId="77777777" w:rsidR="004E060C" w:rsidRPr="001E5E9F" w:rsidRDefault="004E060C" w:rsidP="00D93ACF">
            <w:pPr>
              <w:cnfStyle w:val="100000000000" w:firstRow="1" w:lastRow="0" w:firstColumn="0" w:lastColumn="0" w:oddVBand="0" w:evenVBand="0" w:oddHBand="0" w:evenHBand="0" w:firstRowFirstColumn="0" w:firstRowLastColumn="0" w:lastRowFirstColumn="0" w:lastRowLastColumn="0"/>
              <w:rPr>
                <w:color w:val="44546A" w:themeColor="text2"/>
                <w:lang w:val="en-US"/>
              </w:rPr>
            </w:pPr>
            <w:r>
              <w:rPr>
                <w:color w:val="44546A" w:themeColor="text2"/>
                <w:lang w:val="en-US"/>
              </w:rPr>
              <w:t xml:space="preserve">Overlap with </w:t>
            </w:r>
            <w:proofErr w:type="spellStart"/>
            <w:r>
              <w:rPr>
                <w:color w:val="44546A" w:themeColor="text2"/>
                <w:lang w:val="en-US"/>
              </w:rPr>
              <w:t>ArCIS</w:t>
            </w:r>
            <w:proofErr w:type="spellEnd"/>
          </w:p>
        </w:tc>
        <w:tc>
          <w:tcPr>
            <w:tcW w:w="2552" w:type="dxa"/>
          </w:tcPr>
          <w:p w14:paraId="258115EC" w14:textId="77777777" w:rsidR="004E060C" w:rsidRPr="001E5E9F" w:rsidRDefault="004E060C" w:rsidP="00D93ACF">
            <w:pPr>
              <w:cnfStyle w:val="100000000000" w:firstRow="1" w:lastRow="0" w:firstColumn="0" w:lastColumn="0" w:oddVBand="0" w:evenVBand="0" w:oddHBand="0" w:evenHBand="0" w:firstRowFirstColumn="0" w:firstRowLastColumn="0" w:lastRowFirstColumn="0" w:lastRowLastColumn="0"/>
              <w:rPr>
                <w:color w:val="44546A" w:themeColor="text2"/>
                <w:lang w:val="en-US"/>
              </w:rPr>
            </w:pPr>
            <w:r>
              <w:rPr>
                <w:color w:val="44546A" w:themeColor="text2"/>
                <w:lang w:val="en-US"/>
              </w:rPr>
              <w:t>Correlation (R Pearson)</w:t>
            </w:r>
          </w:p>
        </w:tc>
      </w:tr>
      <w:tr w:rsidR="004E060C" w:rsidRPr="001E5E9F" w14:paraId="4A87127C" w14:textId="77777777" w:rsidTr="00D93ACF">
        <w:tc>
          <w:tcPr>
            <w:cnfStyle w:val="001000000000" w:firstRow="0" w:lastRow="0" w:firstColumn="1" w:lastColumn="0" w:oddVBand="0" w:evenVBand="0" w:oddHBand="0" w:evenHBand="0" w:firstRowFirstColumn="0" w:firstRowLastColumn="0" w:lastRowFirstColumn="0" w:lastRowLastColumn="0"/>
            <w:tcW w:w="1555" w:type="dxa"/>
          </w:tcPr>
          <w:p w14:paraId="0ADCB169" w14:textId="77777777" w:rsidR="004E060C" w:rsidRPr="001E5E9F" w:rsidRDefault="004E060C" w:rsidP="00D93ACF">
            <w:pPr>
              <w:rPr>
                <w:color w:val="44546A" w:themeColor="text2"/>
                <w:lang w:val="en-US"/>
              </w:rPr>
            </w:pPr>
            <w:proofErr w:type="spellStart"/>
            <w:r>
              <w:rPr>
                <w:color w:val="44546A" w:themeColor="text2"/>
                <w:lang w:val="en-US"/>
              </w:rPr>
              <w:t>ArCIS</w:t>
            </w:r>
            <w:proofErr w:type="spellEnd"/>
          </w:p>
        </w:tc>
        <w:tc>
          <w:tcPr>
            <w:tcW w:w="1559" w:type="dxa"/>
          </w:tcPr>
          <w:p w14:paraId="4F8EB6A0"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r>
              <w:rPr>
                <w:color w:val="44546A" w:themeColor="text2"/>
                <w:lang w:val="en-US"/>
              </w:rPr>
              <w:t>674</w:t>
            </w:r>
          </w:p>
        </w:tc>
        <w:tc>
          <w:tcPr>
            <w:tcW w:w="1984" w:type="dxa"/>
          </w:tcPr>
          <w:p w14:paraId="3100FBC8"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p>
        </w:tc>
        <w:tc>
          <w:tcPr>
            <w:tcW w:w="2552" w:type="dxa"/>
          </w:tcPr>
          <w:p w14:paraId="0DC7F177"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p>
        </w:tc>
      </w:tr>
      <w:tr w:rsidR="004E060C" w:rsidRPr="001E5E9F" w14:paraId="1D34BC99" w14:textId="77777777" w:rsidTr="00D93ACF">
        <w:tc>
          <w:tcPr>
            <w:cnfStyle w:val="001000000000" w:firstRow="0" w:lastRow="0" w:firstColumn="1" w:lastColumn="0" w:oddVBand="0" w:evenVBand="0" w:oddHBand="0" w:evenHBand="0" w:firstRowFirstColumn="0" w:firstRowLastColumn="0" w:lastRowFirstColumn="0" w:lastRowLastColumn="0"/>
            <w:tcW w:w="1555" w:type="dxa"/>
          </w:tcPr>
          <w:p w14:paraId="3ADCF7FD" w14:textId="77777777" w:rsidR="004E060C" w:rsidRPr="001E5E9F" w:rsidRDefault="004E060C" w:rsidP="00D93ACF">
            <w:pPr>
              <w:rPr>
                <w:color w:val="44546A" w:themeColor="text2"/>
                <w:lang w:val="en-US"/>
              </w:rPr>
            </w:pPr>
            <w:r w:rsidRPr="001E5E9F">
              <w:rPr>
                <w:color w:val="44546A" w:themeColor="text2"/>
              </w:rPr>
              <w:t xml:space="preserve">MSWEP       </w:t>
            </w:r>
          </w:p>
        </w:tc>
        <w:tc>
          <w:tcPr>
            <w:tcW w:w="1559" w:type="dxa"/>
          </w:tcPr>
          <w:p w14:paraId="4A226FB0"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r w:rsidRPr="001E5E9F">
              <w:rPr>
                <w:color w:val="44546A" w:themeColor="text2"/>
              </w:rPr>
              <w:t xml:space="preserve">731  </w:t>
            </w:r>
          </w:p>
        </w:tc>
        <w:tc>
          <w:tcPr>
            <w:tcW w:w="1984" w:type="dxa"/>
          </w:tcPr>
          <w:p w14:paraId="2623976B"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r w:rsidRPr="001E5E9F">
              <w:rPr>
                <w:color w:val="44546A" w:themeColor="text2"/>
              </w:rPr>
              <w:t xml:space="preserve">391 </w:t>
            </w:r>
            <w:r>
              <w:rPr>
                <w:color w:val="44546A" w:themeColor="text2"/>
              </w:rPr>
              <w:t>(58%)</w:t>
            </w:r>
            <w:r w:rsidRPr="001E5E9F">
              <w:rPr>
                <w:color w:val="44546A" w:themeColor="text2"/>
              </w:rPr>
              <w:t xml:space="preserve">  </w:t>
            </w:r>
          </w:p>
        </w:tc>
        <w:tc>
          <w:tcPr>
            <w:tcW w:w="2552" w:type="dxa"/>
          </w:tcPr>
          <w:p w14:paraId="3E74AD9A"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r w:rsidRPr="001E5E9F">
              <w:rPr>
                <w:color w:val="44546A" w:themeColor="text2"/>
              </w:rPr>
              <w:t>0.66</w:t>
            </w:r>
          </w:p>
        </w:tc>
      </w:tr>
      <w:tr w:rsidR="004E060C" w:rsidRPr="001E5E9F" w14:paraId="587E0DCF" w14:textId="77777777" w:rsidTr="00D93ACF">
        <w:trPr>
          <w:trHeight w:val="206"/>
        </w:trPr>
        <w:tc>
          <w:tcPr>
            <w:cnfStyle w:val="001000000000" w:firstRow="0" w:lastRow="0" w:firstColumn="1" w:lastColumn="0" w:oddVBand="0" w:evenVBand="0" w:oddHBand="0" w:evenHBand="0" w:firstRowFirstColumn="0" w:firstRowLastColumn="0" w:lastRowFirstColumn="0" w:lastRowLastColumn="0"/>
            <w:tcW w:w="1555" w:type="dxa"/>
          </w:tcPr>
          <w:p w14:paraId="0B33F049" w14:textId="77777777" w:rsidR="004E060C" w:rsidRPr="001E5E9F" w:rsidRDefault="004E060C" w:rsidP="00D93ACF">
            <w:pPr>
              <w:rPr>
                <w:color w:val="44546A" w:themeColor="text2"/>
                <w:lang w:val="en-US"/>
              </w:rPr>
            </w:pPr>
            <w:r w:rsidRPr="001E5E9F">
              <w:rPr>
                <w:color w:val="44546A" w:themeColor="text2"/>
              </w:rPr>
              <w:t>CERRA LAND</w:t>
            </w:r>
          </w:p>
        </w:tc>
        <w:tc>
          <w:tcPr>
            <w:tcW w:w="1559" w:type="dxa"/>
          </w:tcPr>
          <w:p w14:paraId="6295C48F"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r w:rsidRPr="001E5E9F">
              <w:rPr>
                <w:color w:val="44546A" w:themeColor="text2"/>
              </w:rPr>
              <w:t>806</w:t>
            </w:r>
          </w:p>
        </w:tc>
        <w:tc>
          <w:tcPr>
            <w:tcW w:w="1984" w:type="dxa"/>
          </w:tcPr>
          <w:p w14:paraId="26A289F4"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r w:rsidRPr="001E5E9F">
              <w:rPr>
                <w:color w:val="44546A" w:themeColor="text2"/>
              </w:rPr>
              <w:t>495</w:t>
            </w:r>
            <w:r>
              <w:rPr>
                <w:color w:val="44546A" w:themeColor="text2"/>
              </w:rPr>
              <w:t xml:space="preserve"> (73%)</w:t>
            </w:r>
          </w:p>
        </w:tc>
        <w:tc>
          <w:tcPr>
            <w:tcW w:w="2552" w:type="dxa"/>
          </w:tcPr>
          <w:p w14:paraId="44930D9D"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rPr>
            </w:pPr>
            <w:r>
              <w:rPr>
                <w:color w:val="44546A" w:themeColor="text2"/>
              </w:rPr>
              <w:t>0.74</w:t>
            </w:r>
          </w:p>
        </w:tc>
      </w:tr>
      <w:tr w:rsidR="004E060C" w:rsidRPr="001E5E9F" w14:paraId="530A5571" w14:textId="77777777" w:rsidTr="00D93ACF">
        <w:tc>
          <w:tcPr>
            <w:cnfStyle w:val="001000000000" w:firstRow="0" w:lastRow="0" w:firstColumn="1" w:lastColumn="0" w:oddVBand="0" w:evenVBand="0" w:oddHBand="0" w:evenHBand="0" w:firstRowFirstColumn="0" w:firstRowLastColumn="0" w:lastRowFirstColumn="0" w:lastRowLastColumn="0"/>
            <w:tcW w:w="1555" w:type="dxa"/>
          </w:tcPr>
          <w:p w14:paraId="76E4ACDE" w14:textId="27FC14E1" w:rsidR="004E060C" w:rsidRPr="001E5E9F" w:rsidRDefault="004E060C" w:rsidP="00D93ACF">
            <w:pPr>
              <w:rPr>
                <w:color w:val="44546A" w:themeColor="text2"/>
                <w:lang w:val="en-US"/>
              </w:rPr>
            </w:pPr>
            <w:r w:rsidRPr="001E5E9F">
              <w:rPr>
                <w:color w:val="44546A" w:themeColor="text2"/>
              </w:rPr>
              <w:t xml:space="preserve">CERRA       </w:t>
            </w:r>
          </w:p>
        </w:tc>
        <w:tc>
          <w:tcPr>
            <w:tcW w:w="1559" w:type="dxa"/>
          </w:tcPr>
          <w:p w14:paraId="3DC8A55A"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r w:rsidRPr="001E5E9F">
              <w:rPr>
                <w:color w:val="44546A" w:themeColor="text2"/>
              </w:rPr>
              <w:t xml:space="preserve">813      </w:t>
            </w:r>
          </w:p>
        </w:tc>
        <w:tc>
          <w:tcPr>
            <w:tcW w:w="1984" w:type="dxa"/>
          </w:tcPr>
          <w:p w14:paraId="557C4C54"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r w:rsidRPr="001E5E9F">
              <w:rPr>
                <w:color w:val="44546A" w:themeColor="text2"/>
              </w:rPr>
              <w:t xml:space="preserve">494 </w:t>
            </w:r>
            <w:r>
              <w:rPr>
                <w:color w:val="44546A" w:themeColor="text2"/>
              </w:rPr>
              <w:t>(73%)</w:t>
            </w:r>
          </w:p>
        </w:tc>
        <w:tc>
          <w:tcPr>
            <w:tcW w:w="2552" w:type="dxa"/>
          </w:tcPr>
          <w:p w14:paraId="1C891C2B" w14:textId="77777777" w:rsidR="004E060C" w:rsidRPr="001E5E9F" w:rsidRDefault="004E060C" w:rsidP="00D93ACF">
            <w:pPr>
              <w:cnfStyle w:val="000000000000" w:firstRow="0" w:lastRow="0" w:firstColumn="0" w:lastColumn="0" w:oddVBand="0" w:evenVBand="0" w:oddHBand="0" w:evenHBand="0" w:firstRowFirstColumn="0" w:firstRowLastColumn="0" w:lastRowFirstColumn="0" w:lastRowLastColumn="0"/>
              <w:rPr>
                <w:color w:val="44546A" w:themeColor="text2"/>
                <w:lang w:val="en-US"/>
              </w:rPr>
            </w:pPr>
            <w:r w:rsidRPr="001E5E9F">
              <w:rPr>
                <w:color w:val="44546A" w:themeColor="text2"/>
              </w:rPr>
              <w:t>0.86</w:t>
            </w:r>
          </w:p>
        </w:tc>
      </w:tr>
    </w:tbl>
    <w:p w14:paraId="10C688D7" w14:textId="77777777" w:rsidR="00B3481D" w:rsidRDefault="00B3481D" w:rsidP="001635D9">
      <w:pPr>
        <w:keepNext/>
      </w:pPr>
    </w:p>
    <w:p w14:paraId="1BD067B0" w14:textId="77777777" w:rsidR="00A04054" w:rsidRDefault="00A04054" w:rsidP="001635D9">
      <w:pPr>
        <w:keepNext/>
      </w:pPr>
    </w:p>
    <w:p w14:paraId="6DB8EBDC" w14:textId="0390EFC4" w:rsidR="001635D9" w:rsidRDefault="001635D9" w:rsidP="001635D9">
      <w:pPr>
        <w:keepNext/>
      </w:pPr>
      <w:r>
        <w:rPr>
          <w:noProof/>
          <w:lang w:val="en-US"/>
        </w:rPr>
        <w:drawing>
          <wp:inline distT="0" distB="0" distL="0" distR="0" wp14:anchorId="4B6FD8F6" wp14:editId="715FBCE8">
            <wp:extent cx="6115050" cy="3702050"/>
            <wp:effectExtent l="0" t="0" r="0" b="0"/>
            <wp:docPr id="171075797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15050" cy="3702050"/>
                    </a:xfrm>
                    <a:prstGeom prst="rect">
                      <a:avLst/>
                    </a:prstGeom>
                    <a:noFill/>
                    <a:ln>
                      <a:noFill/>
                    </a:ln>
                  </pic:spPr>
                </pic:pic>
              </a:graphicData>
            </a:graphic>
          </wp:inline>
        </w:drawing>
      </w:r>
    </w:p>
    <w:p w14:paraId="0EBF4C7B" w14:textId="0D35E0C4" w:rsidR="001635D9" w:rsidRPr="00D85D09" w:rsidRDefault="001635D9" w:rsidP="00D85D09">
      <w:pPr>
        <w:pStyle w:val="Didascalia"/>
        <w:rPr>
          <w:lang w:val="en-US"/>
        </w:rPr>
      </w:pPr>
      <w:r w:rsidRPr="002A466F">
        <w:rPr>
          <w:lang w:val="en-US"/>
        </w:rPr>
        <w:t>Figure S</w:t>
      </w:r>
      <w:r>
        <w:rPr>
          <w:lang w:val="en-US"/>
        </w:rPr>
        <w:t>3</w:t>
      </w:r>
      <w:r w:rsidRPr="002A466F">
        <w:rPr>
          <w:lang w:val="en-US"/>
        </w:rPr>
        <w:t xml:space="preserve"> – Composites of geopotential height</w:t>
      </w:r>
      <w:r>
        <w:rPr>
          <w:lang w:val="en-US"/>
        </w:rPr>
        <w:t xml:space="preserve"> at </w:t>
      </w:r>
      <w:r w:rsidRPr="002A466F">
        <w:rPr>
          <w:lang w:val="en-US"/>
        </w:rPr>
        <w:t xml:space="preserve">500 </w:t>
      </w:r>
      <w:proofErr w:type="spellStart"/>
      <w:r w:rsidRPr="002A466F">
        <w:rPr>
          <w:lang w:val="en-US"/>
        </w:rPr>
        <w:t>hPa</w:t>
      </w:r>
      <w:proofErr w:type="spellEnd"/>
      <w:r w:rsidRPr="002A466F">
        <w:rPr>
          <w:lang w:val="en-US"/>
        </w:rPr>
        <w:t xml:space="preserve"> (Z500) and mean sea-level pressure (</w:t>
      </w:r>
      <w:proofErr w:type="spellStart"/>
      <w:r w:rsidRPr="002A466F">
        <w:rPr>
          <w:lang w:val="en-US"/>
        </w:rPr>
        <w:t>mSLP</w:t>
      </w:r>
      <w:proofErr w:type="spellEnd"/>
      <w:r w:rsidRPr="002A466F">
        <w:rPr>
          <w:lang w:val="en-US"/>
        </w:rPr>
        <w:t>) associated with the</w:t>
      </w:r>
      <w:r>
        <w:rPr>
          <w:lang w:val="en-US"/>
        </w:rPr>
        <w:t xml:space="preserve"> four</w:t>
      </w:r>
      <w:r w:rsidRPr="002A466F">
        <w:rPr>
          <w:lang w:val="en-US"/>
        </w:rPr>
        <w:t xml:space="preserve"> patterns identified by the SOM applied to </w:t>
      </w:r>
      <w:proofErr w:type="spellStart"/>
      <w:r w:rsidRPr="002A466F">
        <w:rPr>
          <w:lang w:val="en-US"/>
        </w:rPr>
        <w:t>ArCIS</w:t>
      </w:r>
      <w:proofErr w:type="spellEnd"/>
      <w:r w:rsidRPr="002A466F">
        <w:rPr>
          <w:lang w:val="en-US"/>
        </w:rPr>
        <w:t xml:space="preserve"> over North-Central Italy.</w:t>
      </w:r>
    </w:p>
    <w:p w14:paraId="4CB6F59D" w14:textId="6C72729A" w:rsidR="00F62E56" w:rsidRPr="00D85D09" w:rsidRDefault="00FF7402" w:rsidP="00F62E56">
      <w:pPr>
        <w:keepNext/>
        <w:rPr>
          <w:lang w:val="en-US"/>
        </w:rPr>
      </w:pPr>
      <w:r w:rsidRPr="00FF7402">
        <w:rPr>
          <w:b/>
          <w:bCs/>
          <w:sz w:val="28"/>
          <w:szCs w:val="28"/>
          <w:lang w:val="en-US"/>
        </w:rPr>
        <w:lastRenderedPageBreak/>
        <w:t>Robustness of WTs patterns</w:t>
      </w:r>
      <w:r w:rsidR="008A6DB0">
        <w:rPr>
          <w:noProof/>
        </w:rPr>
        <w:drawing>
          <wp:inline distT="0" distB="0" distL="0" distR="0" wp14:anchorId="38493031" wp14:editId="4C3F45A0">
            <wp:extent cx="6483350" cy="3548866"/>
            <wp:effectExtent l="0" t="0" r="0" b="0"/>
            <wp:docPr id="733021208"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87905" cy="3551359"/>
                    </a:xfrm>
                    <a:prstGeom prst="rect">
                      <a:avLst/>
                    </a:prstGeom>
                    <a:noFill/>
                    <a:ln>
                      <a:noFill/>
                    </a:ln>
                  </pic:spPr>
                </pic:pic>
              </a:graphicData>
            </a:graphic>
          </wp:inline>
        </w:drawing>
      </w:r>
    </w:p>
    <w:p w14:paraId="15D80497" w14:textId="01FAC368" w:rsidR="00DA36A1" w:rsidRPr="00D85D09" w:rsidRDefault="00F62E56" w:rsidP="00D85D09">
      <w:pPr>
        <w:pStyle w:val="Didascalia"/>
        <w:rPr>
          <w:lang w:val="en-US"/>
        </w:rPr>
      </w:pPr>
      <w:bookmarkStart w:id="5" w:name="_Hlk205408571"/>
      <w:r w:rsidRPr="00D85D09">
        <w:rPr>
          <w:lang w:val="en-US"/>
        </w:rPr>
        <w:t>Figure S</w:t>
      </w:r>
      <w:r w:rsidR="00B53CB3">
        <w:rPr>
          <w:lang w:val="en-US"/>
        </w:rPr>
        <w:t>4</w:t>
      </w:r>
      <w:r w:rsidR="00EC76C7">
        <w:rPr>
          <w:lang w:val="en-US"/>
        </w:rPr>
        <w:t xml:space="preserve"> – </w:t>
      </w:r>
      <w:r w:rsidR="00EC76C7" w:rsidRPr="00D85D09">
        <w:rPr>
          <w:lang w:val="en-US"/>
        </w:rPr>
        <w:t>Signal-to-noise (S2N) maps computed using CERRA data for Italian EPEs over the study period (November 1985 – October 2024). Higher absolute S2N values (both positive and negative) indicate greater agreement among the individual anomaly maps assigned to each SOM node, thereby highlighting regions of enhanced pattern consistency.</w:t>
      </w:r>
    </w:p>
    <w:bookmarkEnd w:id="5"/>
    <w:p w14:paraId="335ABF80" w14:textId="77777777" w:rsidR="0016222C" w:rsidRDefault="0016222C" w:rsidP="0016222C">
      <w:pPr>
        <w:rPr>
          <w:b/>
          <w:bCs/>
          <w:noProof/>
          <w:sz w:val="24"/>
          <w:szCs w:val="24"/>
          <w:lang w:val="en-US"/>
        </w:rPr>
      </w:pPr>
    </w:p>
    <w:p w14:paraId="086C4313" w14:textId="7B84593A" w:rsidR="0016222C" w:rsidRPr="00D85D09" w:rsidRDefault="0016222C" w:rsidP="00D85D09">
      <w:pPr>
        <w:rPr>
          <w:b/>
          <w:bCs/>
          <w:noProof/>
          <w:sz w:val="28"/>
          <w:szCs w:val="28"/>
          <w:lang w:val="en-US"/>
        </w:rPr>
      </w:pPr>
      <w:r w:rsidRPr="00D96C11">
        <w:rPr>
          <w:b/>
          <w:bCs/>
          <w:noProof/>
          <w:sz w:val="28"/>
          <w:szCs w:val="28"/>
          <w:lang w:val="en-US"/>
        </w:rPr>
        <w:t>Seasonal decomposition of EPEs’ trend analysis</w:t>
      </w:r>
      <w:r>
        <w:rPr>
          <w:i/>
          <w:iCs/>
          <w:noProof/>
          <w:color w:val="44546A" w:themeColor="text2"/>
          <w:sz w:val="18"/>
          <w:szCs w:val="18"/>
        </w:rPr>
        <w:drawing>
          <wp:inline distT="0" distB="0" distL="0" distR="0" wp14:anchorId="6482AF63" wp14:editId="7331F737">
            <wp:extent cx="6407150" cy="3179608"/>
            <wp:effectExtent l="0" t="0" r="0" b="1905"/>
            <wp:docPr id="1040596803" name="Immagine 4"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596803" name="Immagine 4" descr="A graph with numbers and lines&#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10348" cy="3181195"/>
                    </a:xfrm>
                    <a:prstGeom prst="rect">
                      <a:avLst/>
                    </a:prstGeom>
                    <a:noFill/>
                    <a:ln>
                      <a:noFill/>
                    </a:ln>
                  </pic:spPr>
                </pic:pic>
              </a:graphicData>
            </a:graphic>
          </wp:inline>
        </w:drawing>
      </w:r>
    </w:p>
    <w:p w14:paraId="47AFFE83" w14:textId="3421CBE5" w:rsidR="0016222C" w:rsidRPr="00D96C11" w:rsidRDefault="0016222C" w:rsidP="0016222C">
      <w:pPr>
        <w:pStyle w:val="Didascalia"/>
        <w:rPr>
          <w:lang w:val="en-US"/>
        </w:rPr>
      </w:pPr>
      <w:r w:rsidRPr="00DC3606">
        <w:rPr>
          <w:lang w:val="en-US"/>
        </w:rPr>
        <w:t>Figure S</w:t>
      </w:r>
      <w:r>
        <w:rPr>
          <w:lang w:val="en-US"/>
        </w:rPr>
        <w:t>5</w:t>
      </w:r>
      <w:r w:rsidRPr="00DC3606">
        <w:rPr>
          <w:lang w:val="en-US"/>
        </w:rPr>
        <w:t xml:space="preserve"> – Seasonal decomposition (DJF, MAM, JJA, SON) of the number</w:t>
      </w:r>
      <w:r w:rsidR="00945EB2">
        <w:rPr>
          <w:lang w:val="en-US"/>
        </w:rPr>
        <w:t xml:space="preserve"> of</w:t>
      </w:r>
      <w:r w:rsidRPr="00DC3606">
        <w:rPr>
          <w:lang w:val="en-US"/>
        </w:rPr>
        <w:t xml:space="preserve"> </w:t>
      </w:r>
      <w:r>
        <w:rPr>
          <w:lang w:val="en-US"/>
        </w:rPr>
        <w:t>EPEs for CERRA during the study period (November 1984 – October 2024) occurring during WT4</w:t>
      </w:r>
      <w:r w:rsidRPr="00DC3606">
        <w:rPr>
          <w:lang w:val="en-US"/>
        </w:rPr>
        <w:t>.</w:t>
      </w:r>
      <w:r>
        <w:rPr>
          <w:lang w:val="en-US"/>
        </w:rPr>
        <w:t xml:space="preserve"> </w:t>
      </w:r>
      <w:r w:rsidRPr="00BD32C5">
        <w:rPr>
          <w:lang w:val="en-US"/>
        </w:rPr>
        <w:t>The trend line is</w:t>
      </w:r>
      <w:r>
        <w:rPr>
          <w:lang w:val="en-US"/>
        </w:rPr>
        <w:t xml:space="preserve"> </w:t>
      </w:r>
      <w:r w:rsidRPr="00BD32C5">
        <w:rPr>
          <w:lang w:val="en-US"/>
        </w:rPr>
        <w:t>computed only on complete years (1985‐2023) and overplotted. The</w:t>
      </w:r>
      <w:r>
        <w:rPr>
          <w:lang w:val="en-US"/>
        </w:rPr>
        <w:t xml:space="preserve"> </w:t>
      </w:r>
      <w:r w:rsidRPr="00BD32C5">
        <w:rPr>
          <w:lang w:val="en-US"/>
        </w:rPr>
        <w:t>year 1984 is not displayed, while 2024 is included as a hollow circle</w:t>
      </w:r>
      <w:r>
        <w:rPr>
          <w:lang w:val="en-US"/>
        </w:rPr>
        <w:t xml:space="preserve"> </w:t>
      </w:r>
      <w:r w:rsidRPr="00BD32C5">
        <w:rPr>
          <w:lang w:val="en-US"/>
        </w:rPr>
        <w:t>to indicate its incompleteness</w:t>
      </w:r>
      <w:r w:rsidRPr="005C77BF">
        <w:rPr>
          <w:lang w:val="en-US"/>
        </w:rPr>
        <w:t>. Trends' significance has been assessed through the Mann-</w:t>
      </w:r>
      <w:proofErr w:type="spellStart"/>
      <w:r w:rsidRPr="005C77BF">
        <w:rPr>
          <w:lang w:val="en-US"/>
        </w:rPr>
        <w:t>Kandall</w:t>
      </w:r>
      <w:proofErr w:type="spellEnd"/>
      <w:r w:rsidRPr="005C77BF">
        <w:rPr>
          <w:lang w:val="en-US"/>
        </w:rPr>
        <w:t xml:space="preserve"> test</w:t>
      </w:r>
      <w:r>
        <w:rPr>
          <w:lang w:val="en-US"/>
        </w:rPr>
        <w:t>; n</w:t>
      </w:r>
      <w:r w:rsidRPr="00DC3606">
        <w:rPr>
          <w:lang w:val="en-US"/>
        </w:rPr>
        <w:t>o statistically significant trend w</w:t>
      </w:r>
      <w:r>
        <w:rPr>
          <w:lang w:val="en-US"/>
        </w:rPr>
        <w:t>as</w:t>
      </w:r>
      <w:r w:rsidRPr="00DC3606">
        <w:rPr>
          <w:lang w:val="en-US"/>
        </w:rPr>
        <w:t xml:space="preserve"> </w:t>
      </w:r>
      <w:r>
        <w:rPr>
          <w:lang w:val="en-US"/>
        </w:rPr>
        <w:t>d</w:t>
      </w:r>
      <w:r w:rsidRPr="00DC3606">
        <w:rPr>
          <w:lang w:val="en-US"/>
        </w:rPr>
        <w:t>etected</w:t>
      </w:r>
      <w:r>
        <w:rPr>
          <w:lang w:val="en-US"/>
        </w:rPr>
        <w:t xml:space="preserve"> (dashed lines).</w:t>
      </w:r>
    </w:p>
    <w:p w14:paraId="45C3BCA2" w14:textId="77777777" w:rsidR="0016222C" w:rsidRDefault="0016222C" w:rsidP="0016222C">
      <w:pPr>
        <w:keepNext/>
      </w:pPr>
      <w:r>
        <w:rPr>
          <w:i/>
          <w:iCs/>
          <w:noProof/>
          <w:color w:val="44546A" w:themeColor="text2"/>
          <w:sz w:val="18"/>
          <w:szCs w:val="18"/>
        </w:rPr>
        <w:lastRenderedPageBreak/>
        <w:drawing>
          <wp:inline distT="0" distB="0" distL="0" distR="0" wp14:anchorId="094A3042" wp14:editId="5A635A17">
            <wp:extent cx="6474639" cy="3213100"/>
            <wp:effectExtent l="0" t="0" r="2540" b="6350"/>
            <wp:docPr id="968995902" name="Immagine 3" descr="A graph with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995902" name="Immagine 3" descr="A graph with different colored lines&#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79302" cy="3215414"/>
                    </a:xfrm>
                    <a:prstGeom prst="rect">
                      <a:avLst/>
                    </a:prstGeom>
                    <a:noFill/>
                    <a:ln>
                      <a:noFill/>
                    </a:ln>
                  </pic:spPr>
                </pic:pic>
              </a:graphicData>
            </a:graphic>
          </wp:inline>
        </w:drawing>
      </w:r>
    </w:p>
    <w:p w14:paraId="6FD23A6E" w14:textId="70D1D991" w:rsidR="0016222C" w:rsidRPr="00D85D09" w:rsidRDefault="0016222C" w:rsidP="00D85D09">
      <w:pPr>
        <w:pStyle w:val="Didascalia"/>
        <w:rPr>
          <w:lang w:val="en-US"/>
        </w:rPr>
      </w:pPr>
      <w:r w:rsidRPr="00991635">
        <w:rPr>
          <w:lang w:val="en-US"/>
        </w:rPr>
        <w:t>Figure S</w:t>
      </w:r>
      <w:r>
        <w:rPr>
          <w:lang w:val="en-US"/>
        </w:rPr>
        <w:t>6</w:t>
      </w:r>
      <w:r w:rsidRPr="00991635">
        <w:rPr>
          <w:lang w:val="en-US"/>
        </w:rPr>
        <w:t xml:space="preserve"> - </w:t>
      </w:r>
      <w:r w:rsidRPr="00DC3606">
        <w:rPr>
          <w:lang w:val="en-US"/>
        </w:rPr>
        <w:t xml:space="preserve">Same as Figure S3 but </w:t>
      </w:r>
      <w:r>
        <w:rPr>
          <w:lang w:val="en-US"/>
        </w:rPr>
        <w:t xml:space="preserve">for WT6. </w:t>
      </w:r>
      <w:r w:rsidRPr="00EA20C2">
        <w:rPr>
          <w:lang w:val="en-US"/>
        </w:rPr>
        <w:t xml:space="preserve">Only </w:t>
      </w:r>
      <w:r>
        <w:rPr>
          <w:lang w:val="en-US"/>
        </w:rPr>
        <w:t>MAM</w:t>
      </w:r>
      <w:r w:rsidRPr="00EA20C2">
        <w:rPr>
          <w:lang w:val="en-US"/>
        </w:rPr>
        <w:t xml:space="preserve"> annual frequencies exhibit a statistically significant</w:t>
      </w:r>
      <w:r>
        <w:rPr>
          <w:lang w:val="en-US"/>
        </w:rPr>
        <w:t xml:space="preserve"> increasing</w:t>
      </w:r>
      <w:r w:rsidRPr="00EA20C2">
        <w:rPr>
          <w:lang w:val="en-US"/>
        </w:rPr>
        <w:t xml:space="preserve"> trend </w:t>
      </w:r>
      <w:r>
        <w:rPr>
          <w:lang w:val="en-US"/>
        </w:rPr>
        <w:t xml:space="preserve">(solid line) </w:t>
      </w:r>
      <w:r w:rsidRPr="00EA20C2">
        <w:rPr>
          <w:lang w:val="en-US"/>
        </w:rPr>
        <w:t>according to the Mann‐Kend</w:t>
      </w:r>
      <w:r>
        <w:rPr>
          <w:lang w:val="en-US"/>
        </w:rPr>
        <w:t>a</w:t>
      </w:r>
      <w:r w:rsidRPr="00EA20C2">
        <w:rPr>
          <w:lang w:val="en-US"/>
        </w:rPr>
        <w:t>ll test with p‐value</w:t>
      </w:r>
      <w:r>
        <w:rPr>
          <w:lang w:val="en-US"/>
        </w:rPr>
        <w:t xml:space="preserve"> &lt; 0.05.</w:t>
      </w:r>
    </w:p>
    <w:p w14:paraId="1DB51C46" w14:textId="77777777" w:rsidR="00BE3D2A" w:rsidRDefault="00BE3D2A" w:rsidP="004E060C">
      <w:pPr>
        <w:keepNext/>
        <w:rPr>
          <w:b/>
          <w:bCs/>
          <w:sz w:val="28"/>
          <w:szCs w:val="28"/>
          <w:lang w:val="en-US"/>
        </w:rPr>
      </w:pPr>
    </w:p>
    <w:p w14:paraId="25EDC4C7" w14:textId="3858CC17" w:rsidR="0016222C" w:rsidRDefault="00FF7402" w:rsidP="004E060C">
      <w:pPr>
        <w:keepNext/>
        <w:rPr>
          <w:noProof/>
          <w:sz w:val="28"/>
          <w:szCs w:val="28"/>
          <w:lang w:val="en-US"/>
        </w:rPr>
      </w:pPr>
      <w:r w:rsidRPr="00FF7402">
        <w:rPr>
          <w:b/>
          <w:bCs/>
          <w:sz w:val="28"/>
          <w:szCs w:val="28"/>
          <w:lang w:val="en-US"/>
        </w:rPr>
        <w:t>Trend analysis of the number of days with atmospheric flow</w:t>
      </w:r>
      <w:r w:rsidR="00945EB2">
        <w:rPr>
          <w:b/>
          <w:bCs/>
          <w:sz w:val="28"/>
          <w:szCs w:val="28"/>
          <w:lang w:val="en-US"/>
        </w:rPr>
        <w:t>s</w:t>
      </w:r>
      <w:r w:rsidRPr="00FF7402">
        <w:rPr>
          <w:b/>
          <w:bCs/>
          <w:sz w:val="28"/>
          <w:szCs w:val="28"/>
          <w:lang w:val="en-US"/>
        </w:rPr>
        <w:t xml:space="preserve"> analog to</w:t>
      </w:r>
      <w:r w:rsidR="00945EB2">
        <w:rPr>
          <w:b/>
          <w:bCs/>
          <w:sz w:val="28"/>
          <w:szCs w:val="28"/>
          <w:lang w:val="en-US"/>
        </w:rPr>
        <w:t xml:space="preserve"> the</w:t>
      </w:r>
      <w:r w:rsidRPr="00FF7402">
        <w:rPr>
          <w:b/>
          <w:bCs/>
          <w:sz w:val="28"/>
          <w:szCs w:val="28"/>
          <w:lang w:val="en-US"/>
        </w:rPr>
        <w:t xml:space="preserve"> WTs </w:t>
      </w:r>
    </w:p>
    <w:p w14:paraId="033E4D69" w14:textId="77777777" w:rsidR="0016222C" w:rsidRPr="00D96C11" w:rsidRDefault="0016222C" w:rsidP="0016222C">
      <w:pPr>
        <w:pStyle w:val="Didascalia"/>
        <w:keepNext/>
        <w:rPr>
          <w:lang w:val="en-US"/>
        </w:rPr>
      </w:pPr>
      <w:r w:rsidRPr="009A47D4">
        <w:rPr>
          <w:noProof/>
        </w:rPr>
        <w:drawing>
          <wp:inline distT="0" distB="0" distL="0" distR="0" wp14:anchorId="2A745069" wp14:editId="258198B8">
            <wp:extent cx="6308755" cy="3143250"/>
            <wp:effectExtent l="0" t="0" r="0" b="0"/>
            <wp:docPr id="1627918040" name="Immagine 1" descr="A graph with blue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918040" name="Immagine 1" descr="A graph with blue lines and numbers&#10;&#10;AI-generated content may be incorrect."/>
                    <pic:cNvPicPr/>
                  </pic:nvPicPr>
                  <pic:blipFill>
                    <a:blip r:embed="rId12"/>
                    <a:stretch>
                      <a:fillRect/>
                    </a:stretch>
                  </pic:blipFill>
                  <pic:spPr>
                    <a:xfrm>
                      <a:off x="0" y="0"/>
                      <a:ext cx="6313803" cy="3145765"/>
                    </a:xfrm>
                    <a:prstGeom prst="rect">
                      <a:avLst/>
                    </a:prstGeom>
                  </pic:spPr>
                </pic:pic>
              </a:graphicData>
            </a:graphic>
          </wp:inline>
        </w:drawing>
      </w:r>
    </w:p>
    <w:p w14:paraId="542CB85F" w14:textId="5FC7F33D" w:rsidR="004E060C" w:rsidRPr="008E2FB7" w:rsidRDefault="0016222C" w:rsidP="00D85D09">
      <w:pPr>
        <w:pStyle w:val="Didascalia"/>
        <w:rPr>
          <w:lang w:val="en-US"/>
        </w:rPr>
      </w:pPr>
      <w:bookmarkStart w:id="6" w:name="_Hlk205408689"/>
      <w:r w:rsidRPr="005C77BF">
        <w:rPr>
          <w:lang w:val="en-US"/>
        </w:rPr>
        <w:t xml:space="preserve">Figure </w:t>
      </w:r>
      <w:r>
        <w:rPr>
          <w:lang w:val="en-US"/>
        </w:rPr>
        <w:t>S7</w:t>
      </w:r>
      <w:r w:rsidRPr="005C77BF">
        <w:rPr>
          <w:lang w:val="en-US"/>
        </w:rPr>
        <w:t xml:space="preserve"> </w:t>
      </w:r>
      <w:r>
        <w:rPr>
          <w:lang w:val="en-US"/>
        </w:rPr>
        <w:t>- Number</w:t>
      </w:r>
      <w:r w:rsidRPr="005C77BF">
        <w:rPr>
          <w:lang w:val="en-US"/>
        </w:rPr>
        <w:t xml:space="preserve"> of </w:t>
      </w:r>
      <w:r w:rsidR="00945EB2">
        <w:rPr>
          <w:lang w:val="en-US"/>
        </w:rPr>
        <w:t>days</w:t>
      </w:r>
      <w:r>
        <w:rPr>
          <w:lang w:val="en-US"/>
        </w:rPr>
        <w:t xml:space="preserve"> </w:t>
      </w:r>
      <w:r w:rsidR="00945EB2">
        <w:rPr>
          <w:lang w:val="en-US"/>
        </w:rPr>
        <w:t>in</w:t>
      </w:r>
      <w:r>
        <w:rPr>
          <w:lang w:val="en-US"/>
        </w:rPr>
        <w:t xml:space="preserve"> CERRA </w:t>
      </w:r>
      <w:r w:rsidRPr="00735F9F">
        <w:rPr>
          <w:lang w:val="en-US"/>
        </w:rPr>
        <w:t xml:space="preserve">during the study period </w:t>
      </w:r>
      <w:r>
        <w:rPr>
          <w:lang w:val="en-US"/>
        </w:rPr>
        <w:t>(November 1984 – October 2025)</w:t>
      </w:r>
      <w:r w:rsidRPr="005C77BF">
        <w:rPr>
          <w:lang w:val="en-US"/>
        </w:rPr>
        <w:t xml:space="preserve"> </w:t>
      </w:r>
      <w:r w:rsidR="00945EB2">
        <w:rPr>
          <w:lang w:val="en-US"/>
        </w:rPr>
        <w:t>with a Z500 and MSLP anomaly pattern similar to the WTs</w:t>
      </w:r>
      <w:r>
        <w:rPr>
          <w:lang w:val="en-US"/>
        </w:rPr>
        <w:t xml:space="preserve">. </w:t>
      </w:r>
      <w:r w:rsidRPr="00BD32C5">
        <w:rPr>
          <w:lang w:val="en-US"/>
        </w:rPr>
        <w:t>The trend line is</w:t>
      </w:r>
      <w:r>
        <w:rPr>
          <w:lang w:val="en-US"/>
        </w:rPr>
        <w:t xml:space="preserve"> </w:t>
      </w:r>
      <w:r w:rsidRPr="00BD32C5">
        <w:rPr>
          <w:lang w:val="en-US"/>
        </w:rPr>
        <w:t>computed only on complete years (1985‐2023) and overplotted. The</w:t>
      </w:r>
      <w:r>
        <w:rPr>
          <w:lang w:val="en-US"/>
        </w:rPr>
        <w:t xml:space="preserve"> </w:t>
      </w:r>
      <w:r w:rsidRPr="00BD32C5">
        <w:rPr>
          <w:lang w:val="en-US"/>
        </w:rPr>
        <w:t>year 1984 is not displayed, while 2024 is included as a hollow circle</w:t>
      </w:r>
      <w:r>
        <w:rPr>
          <w:lang w:val="en-US"/>
        </w:rPr>
        <w:t xml:space="preserve"> </w:t>
      </w:r>
      <w:r w:rsidRPr="00BD32C5">
        <w:rPr>
          <w:lang w:val="en-US"/>
        </w:rPr>
        <w:t>to indicate its incompleteness</w:t>
      </w:r>
      <w:r w:rsidRPr="005C77BF">
        <w:rPr>
          <w:lang w:val="en-US"/>
        </w:rPr>
        <w:t>. Trends' significance has been assessed through the Mann-</w:t>
      </w:r>
      <w:proofErr w:type="spellStart"/>
      <w:r w:rsidRPr="005C77BF">
        <w:rPr>
          <w:lang w:val="en-US"/>
        </w:rPr>
        <w:t>Kandall</w:t>
      </w:r>
      <w:proofErr w:type="spellEnd"/>
      <w:r w:rsidRPr="005C77BF">
        <w:rPr>
          <w:lang w:val="en-US"/>
        </w:rPr>
        <w:t xml:space="preserve"> test</w:t>
      </w:r>
      <w:r>
        <w:rPr>
          <w:lang w:val="en-US"/>
        </w:rPr>
        <w:t xml:space="preserve">; </w:t>
      </w:r>
      <w:r w:rsidRPr="00DC3606">
        <w:rPr>
          <w:lang w:val="en-US"/>
        </w:rPr>
        <w:t xml:space="preserve">no statistically significant trends were </w:t>
      </w:r>
      <w:r>
        <w:rPr>
          <w:lang w:val="en-US"/>
        </w:rPr>
        <w:t>d</w:t>
      </w:r>
      <w:r w:rsidRPr="00DC3606">
        <w:rPr>
          <w:lang w:val="en-US"/>
        </w:rPr>
        <w:t>etected.</w:t>
      </w:r>
      <w:bookmarkEnd w:id="6"/>
    </w:p>
    <w:p w14:paraId="5DD077A5" w14:textId="14CB6572" w:rsidR="00D7397E" w:rsidRDefault="00F62E56" w:rsidP="00D7397E">
      <w:pPr>
        <w:keepNext/>
      </w:pPr>
      <w:r w:rsidRPr="00D85D09">
        <w:rPr>
          <w:lang w:val="en-US"/>
        </w:rPr>
        <w:lastRenderedPageBreak/>
        <w:t xml:space="preserve"> </w:t>
      </w:r>
      <w:r>
        <w:rPr>
          <w:noProof/>
        </w:rPr>
        <w:drawing>
          <wp:inline distT="0" distB="0" distL="0" distR="0" wp14:anchorId="0E8EC654" wp14:editId="37105A6C">
            <wp:extent cx="6453618" cy="2654300"/>
            <wp:effectExtent l="0" t="0" r="4445" b="0"/>
            <wp:docPr id="141098192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457628" cy="2655949"/>
                    </a:xfrm>
                    <a:prstGeom prst="rect">
                      <a:avLst/>
                    </a:prstGeom>
                    <a:noFill/>
                    <a:ln>
                      <a:noFill/>
                    </a:ln>
                  </pic:spPr>
                </pic:pic>
              </a:graphicData>
            </a:graphic>
          </wp:inline>
        </w:drawing>
      </w:r>
    </w:p>
    <w:p w14:paraId="002DDA78" w14:textId="1514DB97" w:rsidR="005C77BF" w:rsidRDefault="00D7397E" w:rsidP="005C77BF">
      <w:pPr>
        <w:pStyle w:val="Didascalia"/>
        <w:rPr>
          <w:lang w:val="en-US"/>
        </w:rPr>
      </w:pPr>
      <w:bookmarkStart w:id="7" w:name="_Hlk205408714"/>
      <w:r w:rsidRPr="005C77BF">
        <w:rPr>
          <w:lang w:val="en-US"/>
        </w:rPr>
        <w:t xml:space="preserve">Figure </w:t>
      </w:r>
      <w:r w:rsidR="00DC3606">
        <w:rPr>
          <w:lang w:val="en-US"/>
        </w:rPr>
        <w:t>S</w:t>
      </w:r>
      <w:r w:rsidR="0015040C">
        <w:rPr>
          <w:lang w:val="en-US"/>
        </w:rPr>
        <w:t>8</w:t>
      </w:r>
      <w:r w:rsidRPr="005C77BF">
        <w:rPr>
          <w:lang w:val="en-US"/>
        </w:rPr>
        <w:t xml:space="preserve"> - </w:t>
      </w:r>
      <w:r w:rsidR="005C77BF" w:rsidRPr="005C77BF">
        <w:rPr>
          <w:lang w:val="en-US"/>
        </w:rPr>
        <w:t xml:space="preserve">Number of </w:t>
      </w:r>
      <w:r w:rsidR="00945EB2">
        <w:rPr>
          <w:lang w:val="en-US"/>
        </w:rPr>
        <w:t>days</w:t>
      </w:r>
      <w:r w:rsidR="00945EB2" w:rsidRPr="005C77BF">
        <w:rPr>
          <w:lang w:val="en-US"/>
        </w:rPr>
        <w:t xml:space="preserve"> </w:t>
      </w:r>
      <w:r w:rsidR="00945EB2">
        <w:rPr>
          <w:lang w:val="en-US"/>
        </w:rPr>
        <w:t>in</w:t>
      </w:r>
      <w:r w:rsidR="00F6201A">
        <w:rPr>
          <w:lang w:val="en-US"/>
        </w:rPr>
        <w:t xml:space="preserve"> CERRA </w:t>
      </w:r>
      <w:r w:rsidR="00F6201A" w:rsidRPr="00D85D09">
        <w:rPr>
          <w:lang w:val="en-US"/>
        </w:rPr>
        <w:t xml:space="preserve">during the study period </w:t>
      </w:r>
      <w:r w:rsidR="00F6201A">
        <w:rPr>
          <w:lang w:val="en-US"/>
        </w:rPr>
        <w:t xml:space="preserve">(November 1984 – October 2025) </w:t>
      </w:r>
      <w:r w:rsidR="005C77BF" w:rsidRPr="005C77BF">
        <w:rPr>
          <w:lang w:val="en-US"/>
        </w:rPr>
        <w:t xml:space="preserve">for all </w:t>
      </w:r>
      <w:r w:rsidR="00945EB2">
        <w:rPr>
          <w:lang w:val="en-US"/>
        </w:rPr>
        <w:t>days similar to each</w:t>
      </w:r>
      <w:r w:rsidR="005C77BF" w:rsidRPr="005C77BF">
        <w:rPr>
          <w:lang w:val="en-US"/>
        </w:rPr>
        <w:t xml:space="preserve"> weather type: (a) </w:t>
      </w:r>
      <w:r w:rsidR="00E25CE2">
        <w:rPr>
          <w:lang w:val="en-US"/>
        </w:rPr>
        <w:t xml:space="preserve">days similar to </w:t>
      </w:r>
      <w:r w:rsidR="005C77BF" w:rsidRPr="005C77BF">
        <w:rPr>
          <w:lang w:val="en-US"/>
        </w:rPr>
        <w:t xml:space="preserve">WT1, (b) WT2, (c) WT3, (d) WT4, (e) WT5, and (f) WT6. </w:t>
      </w:r>
      <w:r w:rsidR="00F6201A" w:rsidRPr="00D85D09">
        <w:rPr>
          <w:lang w:val="en-US"/>
        </w:rPr>
        <w:t>Trend lines, computed using only complete years (1985–2023), are overplotted.</w:t>
      </w:r>
      <w:r w:rsidR="0058450E">
        <w:rPr>
          <w:lang w:val="en-US"/>
        </w:rPr>
        <w:t xml:space="preserve"> </w:t>
      </w:r>
      <w:r w:rsidR="005C77BF" w:rsidRPr="005C77BF">
        <w:rPr>
          <w:lang w:val="en-US"/>
        </w:rPr>
        <w:t>Trends' significance has been assessed through the Mann-</w:t>
      </w:r>
      <w:proofErr w:type="spellStart"/>
      <w:r w:rsidR="005C77BF" w:rsidRPr="005C77BF">
        <w:rPr>
          <w:lang w:val="en-US"/>
        </w:rPr>
        <w:t>Kandall</w:t>
      </w:r>
      <w:proofErr w:type="spellEnd"/>
      <w:r w:rsidR="005C77BF" w:rsidRPr="005C77BF">
        <w:rPr>
          <w:lang w:val="en-US"/>
        </w:rPr>
        <w:t xml:space="preserve"> test. None of the weather types exhibits a statistically significant trend.</w:t>
      </w:r>
      <w:r w:rsidR="005C77BF">
        <w:rPr>
          <w:lang w:val="en-US"/>
        </w:rPr>
        <w:t xml:space="preserve"> </w:t>
      </w:r>
    </w:p>
    <w:bookmarkEnd w:id="7"/>
    <w:p w14:paraId="73F809BD" w14:textId="6C88D6B9" w:rsidR="00D77D8F" w:rsidRPr="0058450E" w:rsidRDefault="009A47D4" w:rsidP="00FF7402">
      <w:pPr>
        <w:pStyle w:val="Didascalia"/>
        <w:rPr>
          <w:u w:val="single"/>
          <w:lang w:val="en-US"/>
        </w:rPr>
      </w:pPr>
      <w:r w:rsidRPr="00D85D09">
        <w:rPr>
          <w:i w:val="0"/>
          <w:iCs w:val="0"/>
          <w:noProof/>
          <w:lang w:val="en-US"/>
        </w:rPr>
        <w:t xml:space="preserve"> </w:t>
      </w:r>
    </w:p>
    <w:sectPr w:rsidR="00D77D8F" w:rsidRPr="0058450E" w:rsidSect="008D082C">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A63CF0"/>
    <w:multiLevelType w:val="hybridMultilevel"/>
    <w:tmpl w:val="313ADA4C"/>
    <w:lvl w:ilvl="0" w:tplc="1CB6B64C">
      <w:start w:val="1"/>
      <w:numFmt w:val="decimal"/>
      <w:lvlText w:val="%1."/>
      <w:lvlJc w:val="left"/>
      <w:pPr>
        <w:ind w:left="502" w:hanging="360"/>
      </w:pPr>
      <w:rPr>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532ADF"/>
    <w:multiLevelType w:val="hybridMultilevel"/>
    <w:tmpl w:val="1E726DA4"/>
    <w:lvl w:ilvl="0" w:tplc="8C621178">
      <w:start w:val="1"/>
      <w:numFmt w:val="decimal"/>
      <w:lvlText w:val="%1."/>
      <w:lvlJc w:val="left"/>
      <w:pPr>
        <w:ind w:left="720" w:hanging="360"/>
      </w:pPr>
      <w:rPr>
        <w:rFonts w:hint="default"/>
        <w:b/>
        <w:bCs w:val="0"/>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74F53843"/>
    <w:multiLevelType w:val="hybridMultilevel"/>
    <w:tmpl w:val="EA2EA6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111271660">
    <w:abstractNumId w:val="0"/>
  </w:num>
  <w:num w:numId="2" w16cid:durableId="1924220885">
    <w:abstractNumId w:val="2"/>
  </w:num>
  <w:num w:numId="3" w16cid:durableId="2818881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4D06"/>
    <w:rsid w:val="000006D2"/>
    <w:rsid w:val="00014B31"/>
    <w:rsid w:val="000533E4"/>
    <w:rsid w:val="00057315"/>
    <w:rsid w:val="00094A57"/>
    <w:rsid w:val="000A6DF3"/>
    <w:rsid w:val="000E4D06"/>
    <w:rsid w:val="000E6EE1"/>
    <w:rsid w:val="000F2318"/>
    <w:rsid w:val="0015040C"/>
    <w:rsid w:val="0016222C"/>
    <w:rsid w:val="001635D9"/>
    <w:rsid w:val="001F1F53"/>
    <w:rsid w:val="002530A7"/>
    <w:rsid w:val="00254257"/>
    <w:rsid w:val="00257286"/>
    <w:rsid w:val="002757AE"/>
    <w:rsid w:val="00296DC1"/>
    <w:rsid w:val="002A466F"/>
    <w:rsid w:val="002A7F85"/>
    <w:rsid w:val="00314A3D"/>
    <w:rsid w:val="00337080"/>
    <w:rsid w:val="00350492"/>
    <w:rsid w:val="00351204"/>
    <w:rsid w:val="0035251B"/>
    <w:rsid w:val="00391C0B"/>
    <w:rsid w:val="003A14BD"/>
    <w:rsid w:val="003A37A3"/>
    <w:rsid w:val="003E644A"/>
    <w:rsid w:val="00405C82"/>
    <w:rsid w:val="004E060C"/>
    <w:rsid w:val="004E4B24"/>
    <w:rsid w:val="0051590B"/>
    <w:rsid w:val="00530E4D"/>
    <w:rsid w:val="0058450E"/>
    <w:rsid w:val="005A0F45"/>
    <w:rsid w:val="005C35AA"/>
    <w:rsid w:val="005C49AD"/>
    <w:rsid w:val="005C77BF"/>
    <w:rsid w:val="005E28AA"/>
    <w:rsid w:val="005F59B6"/>
    <w:rsid w:val="0063448D"/>
    <w:rsid w:val="00636487"/>
    <w:rsid w:val="006A34A0"/>
    <w:rsid w:val="0072001D"/>
    <w:rsid w:val="00740B52"/>
    <w:rsid w:val="00756041"/>
    <w:rsid w:val="007D202C"/>
    <w:rsid w:val="007D4F8F"/>
    <w:rsid w:val="008A6DB0"/>
    <w:rsid w:val="008B6BE0"/>
    <w:rsid w:val="008D082C"/>
    <w:rsid w:val="008E2FB7"/>
    <w:rsid w:val="00924707"/>
    <w:rsid w:val="00945EB2"/>
    <w:rsid w:val="00991635"/>
    <w:rsid w:val="009A47D4"/>
    <w:rsid w:val="009B43BC"/>
    <w:rsid w:val="00A04054"/>
    <w:rsid w:val="00A372CD"/>
    <w:rsid w:val="00A86522"/>
    <w:rsid w:val="00A872CA"/>
    <w:rsid w:val="00A93BFE"/>
    <w:rsid w:val="00AC20CA"/>
    <w:rsid w:val="00B3481D"/>
    <w:rsid w:val="00B36B2D"/>
    <w:rsid w:val="00B53CB3"/>
    <w:rsid w:val="00B95861"/>
    <w:rsid w:val="00BA6905"/>
    <w:rsid w:val="00BB74E0"/>
    <w:rsid w:val="00BC3031"/>
    <w:rsid w:val="00BD32C5"/>
    <w:rsid w:val="00BE3D2A"/>
    <w:rsid w:val="00C20A2C"/>
    <w:rsid w:val="00C324AB"/>
    <w:rsid w:val="00C53C1D"/>
    <w:rsid w:val="00C641FB"/>
    <w:rsid w:val="00C820D9"/>
    <w:rsid w:val="00C96F18"/>
    <w:rsid w:val="00CA63D3"/>
    <w:rsid w:val="00CC37DF"/>
    <w:rsid w:val="00D7397E"/>
    <w:rsid w:val="00D7605C"/>
    <w:rsid w:val="00D77D8F"/>
    <w:rsid w:val="00D85D09"/>
    <w:rsid w:val="00DA36A1"/>
    <w:rsid w:val="00DB21C3"/>
    <w:rsid w:val="00DC3606"/>
    <w:rsid w:val="00E10D8D"/>
    <w:rsid w:val="00E25CE2"/>
    <w:rsid w:val="00E343CA"/>
    <w:rsid w:val="00E83C95"/>
    <w:rsid w:val="00E9324C"/>
    <w:rsid w:val="00EA20C2"/>
    <w:rsid w:val="00EB2E0E"/>
    <w:rsid w:val="00EC76C7"/>
    <w:rsid w:val="00EE050B"/>
    <w:rsid w:val="00EF1E05"/>
    <w:rsid w:val="00F12382"/>
    <w:rsid w:val="00F51205"/>
    <w:rsid w:val="00F6201A"/>
    <w:rsid w:val="00F62E56"/>
    <w:rsid w:val="00FF74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FD35E1"/>
  <w15:chartTrackingRefBased/>
  <w15:docId w15:val="{D89343A1-9950-42BA-8241-ED3BE774D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0E4D0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unhideWhenUsed/>
    <w:qFormat/>
    <w:rsid w:val="000E4D0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0E4D0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0E4D0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0E4D0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0E4D0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E4D0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E4D0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E4D0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E4D0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rsid w:val="000E4D0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0E4D0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0E4D0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0E4D0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0E4D0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E4D0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E4D0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E4D06"/>
    <w:rPr>
      <w:rFonts w:eastAsiaTheme="majorEastAsia" w:cstheme="majorBidi"/>
      <w:color w:val="272727" w:themeColor="text1" w:themeTint="D8"/>
    </w:rPr>
  </w:style>
  <w:style w:type="paragraph" w:styleId="Titolo">
    <w:name w:val="Title"/>
    <w:basedOn w:val="Normale"/>
    <w:next w:val="Normale"/>
    <w:link w:val="TitoloCarattere"/>
    <w:uiPriority w:val="10"/>
    <w:qFormat/>
    <w:rsid w:val="000E4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E4D0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E4D0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E4D0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E4D0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E4D06"/>
    <w:rPr>
      <w:i/>
      <w:iCs/>
      <w:color w:val="404040" w:themeColor="text1" w:themeTint="BF"/>
    </w:rPr>
  </w:style>
  <w:style w:type="paragraph" w:styleId="Paragrafoelenco">
    <w:name w:val="List Paragraph"/>
    <w:basedOn w:val="Normale"/>
    <w:uiPriority w:val="34"/>
    <w:qFormat/>
    <w:rsid w:val="000E4D06"/>
    <w:pPr>
      <w:ind w:left="720"/>
      <w:contextualSpacing/>
    </w:pPr>
  </w:style>
  <w:style w:type="character" w:styleId="Enfasiintensa">
    <w:name w:val="Intense Emphasis"/>
    <w:basedOn w:val="Carpredefinitoparagrafo"/>
    <w:uiPriority w:val="21"/>
    <w:qFormat/>
    <w:rsid w:val="000E4D06"/>
    <w:rPr>
      <w:i/>
      <w:iCs/>
      <w:color w:val="2F5496" w:themeColor="accent1" w:themeShade="BF"/>
    </w:rPr>
  </w:style>
  <w:style w:type="paragraph" w:styleId="Citazioneintensa">
    <w:name w:val="Intense Quote"/>
    <w:basedOn w:val="Normale"/>
    <w:next w:val="Normale"/>
    <w:link w:val="CitazioneintensaCarattere"/>
    <w:uiPriority w:val="30"/>
    <w:qFormat/>
    <w:rsid w:val="000E4D0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0E4D06"/>
    <w:rPr>
      <w:i/>
      <w:iCs/>
      <w:color w:val="2F5496" w:themeColor="accent1" w:themeShade="BF"/>
    </w:rPr>
  </w:style>
  <w:style w:type="character" w:styleId="Riferimentointenso">
    <w:name w:val="Intense Reference"/>
    <w:basedOn w:val="Carpredefinitoparagrafo"/>
    <w:uiPriority w:val="32"/>
    <w:qFormat/>
    <w:rsid w:val="000E4D06"/>
    <w:rPr>
      <w:b/>
      <w:bCs/>
      <w:smallCaps/>
      <w:color w:val="2F5496" w:themeColor="accent1" w:themeShade="BF"/>
      <w:spacing w:val="5"/>
    </w:rPr>
  </w:style>
  <w:style w:type="paragraph" w:styleId="Didascalia">
    <w:name w:val="caption"/>
    <w:basedOn w:val="Normale"/>
    <w:next w:val="Normale"/>
    <w:uiPriority w:val="35"/>
    <w:unhideWhenUsed/>
    <w:qFormat/>
    <w:rsid w:val="00D7397E"/>
    <w:pPr>
      <w:spacing w:after="200" w:line="240" w:lineRule="auto"/>
    </w:pPr>
    <w:rPr>
      <w:i/>
      <w:iCs/>
      <w:color w:val="44546A" w:themeColor="text2"/>
      <w:sz w:val="18"/>
      <w:szCs w:val="18"/>
    </w:rPr>
  </w:style>
  <w:style w:type="table" w:styleId="Tabellagriglia1chiara-colore5">
    <w:name w:val="Grid Table 1 Light Accent 5"/>
    <w:basedOn w:val="Tabellanormale"/>
    <w:uiPriority w:val="46"/>
    <w:rsid w:val="004E060C"/>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styleId="Rimandocommento">
    <w:name w:val="annotation reference"/>
    <w:basedOn w:val="Carpredefinitoparagrafo"/>
    <w:uiPriority w:val="99"/>
    <w:semiHidden/>
    <w:unhideWhenUsed/>
    <w:rsid w:val="00B36B2D"/>
    <w:rPr>
      <w:sz w:val="16"/>
      <w:szCs w:val="16"/>
    </w:rPr>
  </w:style>
  <w:style w:type="paragraph" w:styleId="Testocommento">
    <w:name w:val="annotation text"/>
    <w:basedOn w:val="Normale"/>
    <w:link w:val="TestocommentoCarattere"/>
    <w:uiPriority w:val="99"/>
    <w:semiHidden/>
    <w:unhideWhenUsed/>
    <w:rsid w:val="00B36B2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36B2D"/>
    <w:rPr>
      <w:sz w:val="20"/>
      <w:szCs w:val="20"/>
    </w:rPr>
  </w:style>
  <w:style w:type="paragraph" w:styleId="Soggettocommento">
    <w:name w:val="annotation subject"/>
    <w:basedOn w:val="Testocommento"/>
    <w:next w:val="Testocommento"/>
    <w:link w:val="SoggettocommentoCarattere"/>
    <w:uiPriority w:val="99"/>
    <w:semiHidden/>
    <w:unhideWhenUsed/>
    <w:rsid w:val="00B36B2D"/>
    <w:rPr>
      <w:b/>
      <w:bCs/>
    </w:rPr>
  </w:style>
  <w:style w:type="character" w:customStyle="1" w:styleId="SoggettocommentoCarattere">
    <w:name w:val="Soggetto commento Carattere"/>
    <w:basedOn w:val="TestocommentoCarattere"/>
    <w:link w:val="Soggettocommento"/>
    <w:uiPriority w:val="99"/>
    <w:semiHidden/>
    <w:rsid w:val="00B36B2D"/>
    <w:rPr>
      <w:b/>
      <w:bCs/>
      <w:sz w:val="20"/>
      <w:szCs w:val="20"/>
    </w:rPr>
  </w:style>
  <w:style w:type="paragraph" w:styleId="Revisione">
    <w:name w:val="Revision"/>
    <w:hidden/>
    <w:uiPriority w:val="99"/>
    <w:semiHidden/>
    <w:rsid w:val="00B36B2D"/>
    <w:pPr>
      <w:spacing w:after="0" w:line="240" w:lineRule="auto"/>
    </w:pPr>
  </w:style>
  <w:style w:type="paragraph" w:styleId="NormaleWeb">
    <w:name w:val="Normal (Web)"/>
    <w:basedOn w:val="Normale"/>
    <w:uiPriority w:val="99"/>
    <w:semiHidden/>
    <w:unhideWhenUsed/>
    <w:rsid w:val="00BB74E0"/>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character" w:styleId="Numeroriga">
    <w:name w:val="line number"/>
    <w:basedOn w:val="Carpredefinitoparagrafo"/>
    <w:uiPriority w:val="99"/>
    <w:semiHidden/>
    <w:unhideWhenUsed/>
    <w:rsid w:val="00BE3D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879024">
      <w:bodyDiv w:val="1"/>
      <w:marLeft w:val="0"/>
      <w:marRight w:val="0"/>
      <w:marTop w:val="0"/>
      <w:marBottom w:val="0"/>
      <w:divBdr>
        <w:top w:val="none" w:sz="0" w:space="0" w:color="auto"/>
        <w:left w:val="none" w:sz="0" w:space="0" w:color="auto"/>
        <w:bottom w:val="none" w:sz="0" w:space="0" w:color="auto"/>
        <w:right w:val="none" w:sz="0" w:space="0" w:color="auto"/>
      </w:divBdr>
    </w:div>
    <w:div w:id="888105898">
      <w:bodyDiv w:val="1"/>
      <w:marLeft w:val="0"/>
      <w:marRight w:val="0"/>
      <w:marTop w:val="0"/>
      <w:marBottom w:val="0"/>
      <w:divBdr>
        <w:top w:val="none" w:sz="0" w:space="0" w:color="auto"/>
        <w:left w:val="none" w:sz="0" w:space="0" w:color="auto"/>
        <w:bottom w:val="none" w:sz="0" w:space="0" w:color="auto"/>
        <w:right w:val="none" w:sz="0" w:space="0" w:color="auto"/>
      </w:divBdr>
    </w:div>
    <w:div w:id="1727290357">
      <w:bodyDiv w:val="1"/>
      <w:marLeft w:val="0"/>
      <w:marRight w:val="0"/>
      <w:marTop w:val="0"/>
      <w:marBottom w:val="0"/>
      <w:divBdr>
        <w:top w:val="none" w:sz="0" w:space="0" w:color="auto"/>
        <w:left w:val="none" w:sz="0" w:space="0" w:color="auto"/>
        <w:bottom w:val="none" w:sz="0" w:space="0" w:color="auto"/>
        <w:right w:val="none" w:sz="0" w:space="0" w:color="auto"/>
      </w:divBdr>
    </w:div>
    <w:div w:id="1863128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7A5391-5E6C-4F32-B1BF-2DE8271CE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Pages>
  <Words>1138</Words>
  <Characters>6493</Characters>
  <Application>Microsoft Office Word</Application>
  <DocSecurity>0</DocSecurity>
  <Lines>54</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Cristina Iacomino</dc:creator>
  <cp:keywords/>
  <dc:description/>
  <cp:lastModifiedBy>Cristina Iacomino</cp:lastModifiedBy>
  <cp:revision>5</cp:revision>
  <cp:lastPrinted>2025-09-03T13:41:00Z</cp:lastPrinted>
  <dcterms:created xsi:type="dcterms:W3CDTF">2025-09-02T15:34:00Z</dcterms:created>
  <dcterms:modified xsi:type="dcterms:W3CDTF">2025-09-03T13:45:00Z</dcterms:modified>
</cp:coreProperties>
</file>