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CBC490" w14:textId="77777777" w:rsidR="001F38FE" w:rsidRPr="003853E3" w:rsidRDefault="001F38FE" w:rsidP="001F38FE">
      <w:pPr>
        <w:spacing w:line="480" w:lineRule="auto"/>
        <w:ind w:firstLine="709"/>
        <w:jc w:val="center"/>
        <w:rPr>
          <w:rFonts w:ascii="Arial" w:hAnsi="Arial" w:cs="Arial"/>
          <w:b/>
          <w:bCs/>
          <w:sz w:val="24"/>
          <w:szCs w:val="24"/>
        </w:rPr>
      </w:pPr>
      <w:r w:rsidRPr="003853E3">
        <w:rPr>
          <w:rFonts w:ascii="Arial" w:hAnsi="Arial" w:cs="Arial"/>
          <w:b/>
          <w:bCs/>
          <w:sz w:val="24"/>
          <w:szCs w:val="24"/>
        </w:rPr>
        <w:t>Supplementary material</w:t>
      </w:r>
    </w:p>
    <w:p w14:paraId="3F409D48" w14:textId="77777777" w:rsidR="001F38FE" w:rsidRPr="003853E3" w:rsidRDefault="001F38FE" w:rsidP="001F38FE">
      <w:pPr>
        <w:spacing w:line="480" w:lineRule="auto"/>
        <w:jc w:val="both"/>
        <w:rPr>
          <w:rFonts w:ascii="Arial" w:hAnsi="Arial" w:cs="Arial"/>
          <w:b/>
          <w:bCs/>
          <w:sz w:val="24"/>
          <w:szCs w:val="24"/>
        </w:rPr>
      </w:pPr>
      <w:r w:rsidRPr="003853E3">
        <w:rPr>
          <w:rFonts w:ascii="Arial" w:hAnsi="Arial" w:cs="Arial"/>
          <w:b/>
          <w:bCs/>
          <w:noProof/>
          <w:sz w:val="24"/>
          <w:szCs w:val="24"/>
          <w14:ligatures w14:val="standardContextual"/>
        </w:rPr>
        <w:drawing>
          <wp:inline distT="0" distB="0" distL="0" distR="0" wp14:anchorId="76114397" wp14:editId="0F5AF4D7">
            <wp:extent cx="5579842" cy="3947911"/>
            <wp:effectExtent l="0" t="0" r="0" b="1905"/>
            <wp:docPr id="1586813426"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6813426" name="Immagine 1586813426"/>
                    <pic:cNvPicPr/>
                  </pic:nvPicPr>
                  <pic:blipFill>
                    <a:blip r:embed="rId4"/>
                    <a:stretch>
                      <a:fillRect/>
                    </a:stretch>
                  </pic:blipFill>
                  <pic:spPr>
                    <a:xfrm>
                      <a:off x="0" y="0"/>
                      <a:ext cx="5583812" cy="3950720"/>
                    </a:xfrm>
                    <a:prstGeom prst="rect">
                      <a:avLst/>
                    </a:prstGeom>
                  </pic:spPr>
                </pic:pic>
              </a:graphicData>
            </a:graphic>
          </wp:inline>
        </w:drawing>
      </w:r>
    </w:p>
    <w:p w14:paraId="2CDEAC3F" w14:textId="16C6F30F" w:rsidR="001F38FE" w:rsidRPr="00175B23" w:rsidRDefault="001F38FE" w:rsidP="001F38FE">
      <w:pPr>
        <w:spacing w:line="480" w:lineRule="auto"/>
        <w:jc w:val="both"/>
        <w:rPr>
          <w:rFonts w:ascii="Arial" w:hAnsi="Arial" w:cs="Arial"/>
          <w:sz w:val="24"/>
          <w:szCs w:val="24"/>
        </w:rPr>
      </w:pPr>
      <w:r w:rsidRPr="003853E3">
        <w:rPr>
          <w:rFonts w:ascii="Arial" w:hAnsi="Arial" w:cs="Arial"/>
          <w:b/>
          <w:bCs/>
          <w:sz w:val="24"/>
          <w:szCs w:val="24"/>
        </w:rPr>
        <w:t>Figure S1. Temporal trends of nutrient</w:t>
      </w:r>
      <w:r w:rsidR="009A217A" w:rsidRPr="003853E3">
        <w:rPr>
          <w:rFonts w:ascii="Arial" w:hAnsi="Arial" w:cs="Arial"/>
          <w:b/>
          <w:bCs/>
          <w:sz w:val="24"/>
          <w:szCs w:val="24"/>
        </w:rPr>
        <w:t xml:space="preserve"> </w:t>
      </w:r>
      <w:r w:rsidR="00A148AF" w:rsidRPr="003853E3">
        <w:rPr>
          <w:rFonts w:ascii="Arial" w:hAnsi="Arial" w:cs="Arial"/>
          <w:b/>
          <w:bCs/>
          <w:sz w:val="24"/>
          <w:szCs w:val="24"/>
        </w:rPr>
        <w:t xml:space="preserve">water </w:t>
      </w:r>
      <w:r w:rsidR="009A217A" w:rsidRPr="003853E3">
        <w:rPr>
          <w:rFonts w:ascii="Arial" w:hAnsi="Arial" w:cs="Arial"/>
          <w:b/>
          <w:bCs/>
          <w:sz w:val="24"/>
          <w:szCs w:val="24"/>
        </w:rPr>
        <w:t>concentrations</w:t>
      </w:r>
      <w:r w:rsidRPr="003853E3">
        <w:rPr>
          <w:rFonts w:ascii="Arial" w:hAnsi="Arial" w:cs="Arial"/>
          <w:b/>
          <w:bCs/>
          <w:sz w:val="24"/>
          <w:szCs w:val="24"/>
        </w:rPr>
        <w:t xml:space="preserve"> at the sampling location</w:t>
      </w:r>
      <w:r w:rsidR="00A148AF" w:rsidRPr="003853E3">
        <w:rPr>
          <w:b/>
          <w:bCs/>
          <w:sz w:val="24"/>
          <w:szCs w:val="24"/>
        </w:rPr>
        <w:t xml:space="preserve"> </w:t>
      </w:r>
      <w:r w:rsidR="00A148AF" w:rsidRPr="003853E3">
        <w:rPr>
          <w:rFonts w:ascii="Arial" w:hAnsi="Arial" w:cs="Arial"/>
          <w:b/>
          <w:bCs/>
          <w:sz w:val="24"/>
          <w:szCs w:val="24"/>
        </w:rPr>
        <w:t>retrieved from the Copernicus web portal</w:t>
      </w:r>
      <w:r w:rsidRPr="003853E3">
        <w:rPr>
          <w:rFonts w:ascii="Arial" w:hAnsi="Arial" w:cs="Arial"/>
          <w:b/>
          <w:bCs/>
          <w:sz w:val="24"/>
          <w:szCs w:val="24"/>
        </w:rPr>
        <w:t>.</w:t>
      </w:r>
      <w:r w:rsidRPr="003853E3">
        <w:rPr>
          <w:rFonts w:ascii="Arial" w:hAnsi="Arial" w:cs="Arial"/>
          <w:sz w:val="24"/>
          <w:szCs w:val="24"/>
        </w:rPr>
        <w:t xml:space="preserve"> Ridges plots are colored according to the month and show the fluctuations of the parameters for each month (lines within ridges indicate median, 25</w:t>
      </w:r>
      <w:r w:rsidRPr="003853E3">
        <w:rPr>
          <w:rFonts w:ascii="Arial" w:hAnsi="Arial" w:cs="Arial"/>
          <w:sz w:val="24"/>
          <w:szCs w:val="24"/>
          <w:vertAlign w:val="superscript"/>
        </w:rPr>
        <w:t>th</w:t>
      </w:r>
      <w:r w:rsidRPr="003853E3">
        <w:rPr>
          <w:rFonts w:ascii="Arial" w:hAnsi="Arial" w:cs="Arial"/>
          <w:sz w:val="24"/>
          <w:szCs w:val="24"/>
        </w:rPr>
        <w:t xml:space="preserve"> and 75</w:t>
      </w:r>
      <w:r w:rsidRPr="003853E3">
        <w:rPr>
          <w:rFonts w:ascii="Arial" w:hAnsi="Arial" w:cs="Arial"/>
          <w:sz w:val="24"/>
          <w:szCs w:val="24"/>
          <w:vertAlign w:val="superscript"/>
        </w:rPr>
        <w:t>th</w:t>
      </w:r>
      <w:r w:rsidRPr="003853E3">
        <w:rPr>
          <w:rFonts w:ascii="Arial" w:hAnsi="Arial" w:cs="Arial"/>
          <w:sz w:val="24"/>
          <w:szCs w:val="24"/>
        </w:rPr>
        <w:t xml:space="preserve"> percentiles).</w:t>
      </w:r>
    </w:p>
    <w:p w14:paraId="16DFB2A1" w14:textId="77777777" w:rsidR="001F38FE" w:rsidRDefault="001F38FE" w:rsidP="00752DFB">
      <w:pPr>
        <w:spacing w:line="480" w:lineRule="auto"/>
        <w:rPr>
          <w:rFonts w:ascii="Arial" w:hAnsi="Arial" w:cs="Arial"/>
          <w:b/>
          <w:bCs/>
          <w:sz w:val="24"/>
          <w:szCs w:val="24"/>
        </w:rPr>
      </w:pPr>
    </w:p>
    <w:p w14:paraId="79E8D6F2" w14:textId="748AF348" w:rsidR="00752DFB" w:rsidRDefault="00752DFB">
      <w:pPr>
        <w:spacing w:line="278" w:lineRule="auto"/>
        <w:rPr>
          <w:rFonts w:ascii="Arial" w:hAnsi="Arial" w:cs="Arial"/>
          <w:b/>
          <w:bCs/>
          <w:sz w:val="24"/>
          <w:szCs w:val="24"/>
        </w:rPr>
      </w:pPr>
      <w:r>
        <w:rPr>
          <w:rFonts w:ascii="Arial" w:hAnsi="Arial" w:cs="Arial"/>
          <w:b/>
          <w:bCs/>
          <w:sz w:val="24"/>
          <w:szCs w:val="24"/>
        </w:rPr>
        <w:br w:type="page"/>
      </w:r>
    </w:p>
    <w:p w14:paraId="4B8AC44A" w14:textId="4C811C01" w:rsidR="00175B23" w:rsidRDefault="007A09BE" w:rsidP="007B6410">
      <w:pPr>
        <w:spacing w:line="480" w:lineRule="auto"/>
        <w:rPr>
          <w:rFonts w:ascii="Arial" w:hAnsi="Arial" w:cs="Arial"/>
          <w:b/>
          <w:bCs/>
          <w:sz w:val="24"/>
          <w:szCs w:val="24"/>
        </w:rPr>
      </w:pPr>
      <w:r>
        <w:rPr>
          <w:rFonts w:ascii="Arial" w:hAnsi="Arial" w:cs="Arial"/>
          <w:b/>
          <w:bCs/>
          <w:noProof/>
          <w:sz w:val="24"/>
          <w:szCs w:val="24"/>
          <w14:ligatures w14:val="standardContextual"/>
        </w:rPr>
        <w:lastRenderedPageBreak/>
        <w:drawing>
          <wp:anchor distT="0" distB="0" distL="114300" distR="114300" simplePos="0" relativeHeight="251658241" behindDoc="1" locked="0" layoutInCell="1" allowOverlap="1" wp14:anchorId="101C3F03" wp14:editId="0086BF4E">
            <wp:simplePos x="0" y="0"/>
            <wp:positionH relativeFrom="column">
              <wp:posOffset>0</wp:posOffset>
            </wp:positionH>
            <wp:positionV relativeFrom="paragraph">
              <wp:posOffset>245745</wp:posOffset>
            </wp:positionV>
            <wp:extent cx="5401945" cy="4051935"/>
            <wp:effectExtent l="0" t="0" r="0" b="0"/>
            <wp:wrapTight wrapText="bothSides">
              <wp:wrapPolygon edited="0">
                <wp:start x="0" y="0"/>
                <wp:lineTo x="0" y="21529"/>
                <wp:lineTo x="21531" y="21529"/>
                <wp:lineTo x="21531" y="0"/>
                <wp:lineTo x="0" y="0"/>
              </wp:wrapPolygon>
            </wp:wrapTight>
            <wp:docPr id="13444087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4408722" name="Picture 1344408722"/>
                    <pic:cNvPicPr/>
                  </pic:nvPicPr>
                  <pic:blipFill>
                    <a:blip r:embed="rId5"/>
                    <a:stretch>
                      <a:fillRect/>
                    </a:stretch>
                  </pic:blipFill>
                  <pic:spPr>
                    <a:xfrm>
                      <a:off x="0" y="0"/>
                      <a:ext cx="5401945" cy="4051935"/>
                    </a:xfrm>
                    <a:prstGeom prst="rect">
                      <a:avLst/>
                    </a:prstGeom>
                  </pic:spPr>
                </pic:pic>
              </a:graphicData>
            </a:graphic>
            <wp14:sizeRelH relativeFrom="page">
              <wp14:pctWidth>0</wp14:pctWidth>
            </wp14:sizeRelH>
            <wp14:sizeRelV relativeFrom="page">
              <wp14:pctHeight>0</wp14:pctHeight>
            </wp14:sizeRelV>
          </wp:anchor>
        </w:drawing>
      </w:r>
    </w:p>
    <w:p w14:paraId="408894F6" w14:textId="51D753CC" w:rsidR="007B6410" w:rsidRDefault="00752DFB" w:rsidP="00175B23">
      <w:pPr>
        <w:spacing w:line="480" w:lineRule="auto"/>
        <w:jc w:val="both"/>
        <w:rPr>
          <w:rFonts w:ascii="Arial" w:hAnsi="Arial" w:cs="Arial"/>
          <w:sz w:val="24"/>
          <w:szCs w:val="24"/>
        </w:rPr>
      </w:pPr>
      <w:r w:rsidRPr="007B6410">
        <w:rPr>
          <w:rFonts w:ascii="Arial" w:hAnsi="Arial" w:cs="Arial"/>
          <w:b/>
          <w:bCs/>
          <w:sz w:val="24"/>
          <w:szCs w:val="24"/>
        </w:rPr>
        <w:t xml:space="preserve">Figure S2. Biometric parameters </w:t>
      </w:r>
      <w:r w:rsidR="007B6410">
        <w:rPr>
          <w:rFonts w:ascii="Arial" w:hAnsi="Arial" w:cs="Arial"/>
          <w:b/>
          <w:bCs/>
          <w:sz w:val="24"/>
          <w:szCs w:val="24"/>
        </w:rPr>
        <w:t xml:space="preserve">assessed in </w:t>
      </w:r>
      <w:r w:rsidR="007B6410" w:rsidRPr="007B29CC">
        <w:rPr>
          <w:rFonts w:ascii="Arial" w:hAnsi="Arial" w:cs="Arial"/>
          <w:b/>
          <w:bCs/>
          <w:i/>
          <w:iCs/>
          <w:sz w:val="24"/>
          <w:szCs w:val="24"/>
        </w:rPr>
        <w:t xml:space="preserve">M. </w:t>
      </w:r>
      <w:proofErr w:type="spellStart"/>
      <w:r w:rsidR="007B6410" w:rsidRPr="007B29CC">
        <w:rPr>
          <w:rFonts w:ascii="Arial" w:hAnsi="Arial" w:cs="Arial"/>
          <w:b/>
          <w:bCs/>
          <w:i/>
          <w:iCs/>
          <w:sz w:val="24"/>
          <w:szCs w:val="24"/>
        </w:rPr>
        <w:t>galloprovincialis</w:t>
      </w:r>
      <w:proofErr w:type="spellEnd"/>
      <w:r w:rsidR="007B6410" w:rsidRPr="007B29CC">
        <w:rPr>
          <w:rFonts w:ascii="Arial" w:hAnsi="Arial" w:cs="Arial"/>
          <w:b/>
          <w:bCs/>
          <w:sz w:val="24"/>
          <w:szCs w:val="24"/>
        </w:rPr>
        <w:t xml:space="preserve"> </w:t>
      </w:r>
      <w:r w:rsidR="007B6410">
        <w:rPr>
          <w:rFonts w:ascii="Arial" w:hAnsi="Arial" w:cs="Arial"/>
          <w:b/>
          <w:bCs/>
          <w:sz w:val="24"/>
          <w:szCs w:val="24"/>
        </w:rPr>
        <w:t>digestive glands during the 2022 MHW in the NW Adriatic Sea</w:t>
      </w:r>
      <w:r w:rsidR="007B6410" w:rsidRPr="007B29CC">
        <w:rPr>
          <w:rFonts w:ascii="Arial" w:hAnsi="Arial" w:cs="Arial"/>
          <w:sz w:val="24"/>
          <w:szCs w:val="24"/>
        </w:rPr>
        <w:t>.</w:t>
      </w:r>
      <w:r w:rsidR="009D361A">
        <w:rPr>
          <w:rFonts w:ascii="Arial" w:hAnsi="Arial" w:cs="Arial"/>
          <w:sz w:val="24"/>
          <w:szCs w:val="24"/>
        </w:rPr>
        <w:t xml:space="preserve"> </w:t>
      </w:r>
      <w:r w:rsidR="009D361A" w:rsidRPr="009B1F8E">
        <w:rPr>
          <w:rFonts w:ascii="Arial" w:hAnsi="Arial" w:cs="Arial"/>
          <w:sz w:val="24"/>
          <w:szCs w:val="24"/>
        </w:rPr>
        <w:t xml:space="preserve">Box plots (median, upper and lower quartiles; N = 10) show variations of mussel </w:t>
      </w:r>
      <w:r w:rsidR="00991602">
        <w:rPr>
          <w:rFonts w:ascii="Arial" w:hAnsi="Arial" w:cs="Arial"/>
          <w:sz w:val="24"/>
          <w:szCs w:val="24"/>
        </w:rPr>
        <w:t xml:space="preserve">shell and soft tissue parameters </w:t>
      </w:r>
      <w:r w:rsidR="009D361A" w:rsidRPr="009B1F8E">
        <w:rPr>
          <w:rFonts w:ascii="Arial" w:hAnsi="Arial" w:cs="Arial"/>
          <w:sz w:val="24"/>
          <w:szCs w:val="24"/>
        </w:rPr>
        <w:t xml:space="preserve">across the sampling period. Different letters indicate statistical differences between sampling months (p &lt; 0.05, </w:t>
      </w:r>
      <w:r w:rsidR="009D361A" w:rsidRPr="007B29CC">
        <w:rPr>
          <w:rFonts w:ascii="Arial" w:hAnsi="Arial" w:cs="Arial"/>
          <w:sz w:val="24"/>
          <w:szCs w:val="24"/>
        </w:rPr>
        <w:t>Mann-Whitney U-test</w:t>
      </w:r>
      <w:r w:rsidR="00175B23">
        <w:rPr>
          <w:rFonts w:ascii="Arial" w:hAnsi="Arial" w:cs="Arial"/>
          <w:sz w:val="24"/>
          <w:szCs w:val="24"/>
        </w:rPr>
        <w:t>; N = 10</w:t>
      </w:r>
      <w:r w:rsidR="009D361A" w:rsidRPr="009B1F8E">
        <w:rPr>
          <w:rFonts w:ascii="Arial" w:hAnsi="Arial" w:cs="Arial"/>
          <w:sz w:val="24"/>
          <w:szCs w:val="24"/>
        </w:rPr>
        <w:t>).</w:t>
      </w:r>
    </w:p>
    <w:p w14:paraId="0DBECC8C" w14:textId="189679D0" w:rsidR="001F38FE" w:rsidRDefault="001F38FE" w:rsidP="007B6410">
      <w:pPr>
        <w:spacing w:line="480" w:lineRule="auto"/>
        <w:rPr>
          <w:rFonts w:ascii="Arial" w:hAnsi="Arial" w:cs="Arial"/>
          <w:sz w:val="20"/>
          <w:szCs w:val="20"/>
        </w:rPr>
      </w:pPr>
      <w:r>
        <w:rPr>
          <w:rFonts w:ascii="Arial" w:hAnsi="Arial" w:cs="Arial"/>
          <w:sz w:val="20"/>
          <w:szCs w:val="20"/>
        </w:rPr>
        <w:br w:type="page"/>
      </w:r>
    </w:p>
    <w:p w14:paraId="660426AE" w14:textId="1136DEDD" w:rsidR="00523D0D" w:rsidRPr="00523D0D" w:rsidRDefault="00523D0D" w:rsidP="00523D0D">
      <w:pPr>
        <w:spacing w:line="480" w:lineRule="auto"/>
        <w:jc w:val="both"/>
        <w:rPr>
          <w:rFonts w:ascii="Arial" w:hAnsi="Arial" w:cs="Arial"/>
          <w:b/>
          <w:bCs/>
          <w:sz w:val="20"/>
          <w:szCs w:val="20"/>
        </w:rPr>
      </w:pPr>
      <w:r w:rsidRPr="00175B23">
        <w:rPr>
          <w:rFonts w:ascii="Arial" w:hAnsi="Arial" w:cs="Arial"/>
          <w:b/>
          <w:bCs/>
          <w:sz w:val="20"/>
          <w:szCs w:val="20"/>
        </w:rPr>
        <w:lastRenderedPageBreak/>
        <w:t xml:space="preserve">Table S1. </w:t>
      </w:r>
      <w:r>
        <w:rPr>
          <w:rFonts w:ascii="Arial" w:hAnsi="Arial" w:cs="Arial"/>
          <w:b/>
          <w:bCs/>
          <w:sz w:val="20"/>
          <w:szCs w:val="20"/>
        </w:rPr>
        <w:t xml:space="preserve">Gene </w:t>
      </w:r>
      <w:r w:rsidR="00E73B14">
        <w:rPr>
          <w:rFonts w:ascii="Arial" w:hAnsi="Arial" w:cs="Arial"/>
          <w:b/>
          <w:bCs/>
          <w:sz w:val="20"/>
          <w:szCs w:val="20"/>
        </w:rPr>
        <w:t>transcript names and functions, p</w:t>
      </w:r>
      <w:r w:rsidRPr="00175B23">
        <w:rPr>
          <w:rFonts w:ascii="Arial" w:hAnsi="Arial" w:cs="Arial"/>
          <w:b/>
          <w:bCs/>
          <w:sz w:val="20"/>
          <w:szCs w:val="20"/>
        </w:rPr>
        <w:t>rimer sequences and qPCR performances.</w:t>
      </w:r>
    </w:p>
    <w:tbl>
      <w:tblPr>
        <w:tblStyle w:val="Grigliatabella"/>
        <w:tblW w:w="0" w:type="auto"/>
        <w:tblLayout w:type="fixed"/>
        <w:tblLook w:val="04A0" w:firstRow="1" w:lastRow="0" w:firstColumn="1" w:lastColumn="0" w:noHBand="0" w:noVBand="1"/>
      </w:tblPr>
      <w:tblGrid>
        <w:gridCol w:w="1515"/>
        <w:gridCol w:w="8"/>
        <w:gridCol w:w="1770"/>
        <w:gridCol w:w="2946"/>
        <w:gridCol w:w="46"/>
        <w:gridCol w:w="1251"/>
        <w:gridCol w:w="9"/>
        <w:gridCol w:w="1471"/>
      </w:tblGrid>
      <w:tr w:rsidR="002B072C" w:rsidRPr="001423E5" w14:paraId="18956D97" w14:textId="77777777" w:rsidTr="00352840">
        <w:tc>
          <w:tcPr>
            <w:tcW w:w="1523" w:type="dxa"/>
            <w:gridSpan w:val="2"/>
          </w:tcPr>
          <w:p w14:paraId="0D4FD87A" w14:textId="77777777" w:rsidR="002B072C" w:rsidRPr="001F38FE" w:rsidRDefault="002B072C" w:rsidP="00ED34C7">
            <w:pPr>
              <w:rPr>
                <w:rFonts w:ascii="Arial" w:hAnsi="Arial" w:cs="Arial"/>
                <w:b/>
                <w:bCs/>
                <w:sz w:val="16"/>
                <w:szCs w:val="16"/>
              </w:rPr>
            </w:pPr>
            <w:r w:rsidRPr="001F38FE">
              <w:rPr>
                <w:rFonts w:ascii="Arial" w:hAnsi="Arial" w:cs="Arial"/>
                <w:b/>
                <w:bCs/>
                <w:sz w:val="16"/>
                <w:szCs w:val="16"/>
              </w:rPr>
              <w:t>Transcript name (</w:t>
            </w:r>
            <w:r>
              <w:rPr>
                <w:rFonts w:ascii="Arial" w:hAnsi="Arial" w:cs="Arial"/>
                <w:b/>
                <w:bCs/>
                <w:sz w:val="16"/>
                <w:szCs w:val="16"/>
              </w:rPr>
              <w:t>A</w:t>
            </w:r>
            <w:r w:rsidRPr="001F38FE">
              <w:rPr>
                <w:rFonts w:ascii="Arial" w:hAnsi="Arial" w:cs="Arial"/>
                <w:b/>
                <w:bCs/>
                <w:sz w:val="16"/>
                <w:szCs w:val="16"/>
              </w:rPr>
              <w:t>cronym)</w:t>
            </w:r>
          </w:p>
        </w:tc>
        <w:tc>
          <w:tcPr>
            <w:tcW w:w="1770" w:type="dxa"/>
          </w:tcPr>
          <w:p w14:paraId="6E8C394A" w14:textId="13632519" w:rsidR="002B072C" w:rsidRPr="001F38FE" w:rsidRDefault="007E6207" w:rsidP="00ED34C7">
            <w:pPr>
              <w:jc w:val="center"/>
              <w:rPr>
                <w:rFonts w:ascii="Arial" w:hAnsi="Arial" w:cs="Arial"/>
                <w:b/>
                <w:bCs/>
                <w:sz w:val="16"/>
                <w:szCs w:val="16"/>
              </w:rPr>
            </w:pPr>
            <w:r>
              <w:rPr>
                <w:rFonts w:ascii="Arial" w:hAnsi="Arial" w:cs="Arial"/>
                <w:b/>
                <w:bCs/>
                <w:sz w:val="16"/>
                <w:szCs w:val="16"/>
              </w:rPr>
              <w:t>Function</w:t>
            </w:r>
          </w:p>
        </w:tc>
        <w:tc>
          <w:tcPr>
            <w:tcW w:w="2946" w:type="dxa"/>
          </w:tcPr>
          <w:p w14:paraId="4B30699B" w14:textId="5595CAA7" w:rsidR="002B072C" w:rsidRPr="001F38FE" w:rsidRDefault="002B072C" w:rsidP="00ED34C7">
            <w:pPr>
              <w:jc w:val="center"/>
              <w:rPr>
                <w:rFonts w:ascii="Arial" w:hAnsi="Arial" w:cs="Arial"/>
                <w:b/>
                <w:bCs/>
                <w:sz w:val="16"/>
                <w:szCs w:val="16"/>
              </w:rPr>
            </w:pPr>
            <w:r w:rsidRPr="001F38FE">
              <w:rPr>
                <w:rFonts w:ascii="Arial" w:hAnsi="Arial" w:cs="Arial"/>
                <w:b/>
                <w:bCs/>
                <w:sz w:val="16"/>
                <w:szCs w:val="16"/>
              </w:rPr>
              <w:t>Primers</w:t>
            </w:r>
          </w:p>
          <w:p w14:paraId="1B503C5F" w14:textId="77777777" w:rsidR="002B072C" w:rsidRPr="001F38FE" w:rsidRDefault="002B072C" w:rsidP="00ED34C7">
            <w:pPr>
              <w:jc w:val="center"/>
              <w:rPr>
                <w:rFonts w:ascii="Arial" w:hAnsi="Arial" w:cs="Arial"/>
                <w:b/>
                <w:bCs/>
                <w:sz w:val="16"/>
                <w:szCs w:val="16"/>
              </w:rPr>
            </w:pPr>
            <w:r w:rsidRPr="001F38FE">
              <w:rPr>
                <w:rFonts w:ascii="Arial" w:hAnsi="Arial" w:cs="Arial"/>
                <w:b/>
                <w:bCs/>
                <w:sz w:val="16"/>
                <w:szCs w:val="16"/>
              </w:rPr>
              <w:t>(5’-3’)</w:t>
            </w:r>
          </w:p>
        </w:tc>
        <w:tc>
          <w:tcPr>
            <w:tcW w:w="1297" w:type="dxa"/>
            <w:gridSpan w:val="2"/>
          </w:tcPr>
          <w:p w14:paraId="7028D2EA" w14:textId="77777777" w:rsidR="002B072C" w:rsidRPr="001F38FE" w:rsidRDefault="002B072C" w:rsidP="00ED34C7">
            <w:pPr>
              <w:jc w:val="center"/>
              <w:rPr>
                <w:rFonts w:ascii="Arial" w:hAnsi="Arial" w:cs="Arial"/>
                <w:b/>
                <w:bCs/>
                <w:sz w:val="16"/>
                <w:szCs w:val="16"/>
              </w:rPr>
            </w:pPr>
            <w:r w:rsidRPr="001F38FE">
              <w:rPr>
                <w:rFonts w:ascii="Arial" w:hAnsi="Arial" w:cs="Arial"/>
                <w:b/>
                <w:bCs/>
                <w:sz w:val="16"/>
                <w:szCs w:val="16"/>
              </w:rPr>
              <w:t>Amplification efficiency (%)</w:t>
            </w:r>
          </w:p>
        </w:tc>
        <w:tc>
          <w:tcPr>
            <w:tcW w:w="1480" w:type="dxa"/>
            <w:gridSpan w:val="2"/>
          </w:tcPr>
          <w:p w14:paraId="69304302" w14:textId="77777777" w:rsidR="002B072C" w:rsidRPr="001F38FE" w:rsidRDefault="002B072C" w:rsidP="00ED34C7">
            <w:pPr>
              <w:jc w:val="center"/>
              <w:rPr>
                <w:rFonts w:ascii="Arial" w:hAnsi="Arial" w:cs="Arial"/>
                <w:b/>
                <w:bCs/>
                <w:sz w:val="16"/>
                <w:szCs w:val="16"/>
              </w:rPr>
            </w:pPr>
            <w:proofErr w:type="spellStart"/>
            <w:r>
              <w:rPr>
                <w:rFonts w:ascii="Arial" w:hAnsi="Arial" w:cs="Arial"/>
                <w:b/>
                <w:bCs/>
                <w:sz w:val="16"/>
                <w:szCs w:val="16"/>
              </w:rPr>
              <w:t>GeneBank</w:t>
            </w:r>
            <w:proofErr w:type="spellEnd"/>
            <w:r>
              <w:rPr>
                <w:rFonts w:ascii="Arial" w:hAnsi="Arial" w:cs="Arial"/>
                <w:b/>
                <w:bCs/>
                <w:sz w:val="16"/>
                <w:szCs w:val="16"/>
              </w:rPr>
              <w:t xml:space="preserve"> </w:t>
            </w:r>
            <w:r w:rsidRPr="001F38FE">
              <w:rPr>
                <w:rFonts w:ascii="Arial" w:hAnsi="Arial" w:cs="Arial"/>
                <w:b/>
                <w:bCs/>
                <w:sz w:val="16"/>
                <w:szCs w:val="16"/>
              </w:rPr>
              <w:t>Accession number</w:t>
            </w:r>
          </w:p>
          <w:p w14:paraId="7B87820F" w14:textId="77777777" w:rsidR="002B072C" w:rsidRPr="001F38FE" w:rsidRDefault="002B072C" w:rsidP="00ED34C7">
            <w:pPr>
              <w:jc w:val="center"/>
              <w:rPr>
                <w:rFonts w:ascii="Arial" w:hAnsi="Arial" w:cs="Arial"/>
                <w:b/>
                <w:bCs/>
                <w:sz w:val="16"/>
                <w:szCs w:val="16"/>
              </w:rPr>
            </w:pPr>
            <w:r w:rsidRPr="001F38FE">
              <w:rPr>
                <w:rFonts w:ascii="Arial" w:hAnsi="Arial" w:cs="Arial"/>
                <w:b/>
                <w:bCs/>
                <w:sz w:val="16"/>
                <w:szCs w:val="16"/>
              </w:rPr>
              <w:t>(</w:t>
            </w:r>
            <w:r>
              <w:rPr>
                <w:rFonts w:ascii="Arial" w:hAnsi="Arial" w:cs="Arial"/>
                <w:b/>
                <w:bCs/>
                <w:sz w:val="16"/>
                <w:szCs w:val="16"/>
              </w:rPr>
              <w:t>R</w:t>
            </w:r>
            <w:r w:rsidRPr="001F38FE">
              <w:rPr>
                <w:rFonts w:ascii="Arial" w:hAnsi="Arial" w:cs="Arial"/>
                <w:b/>
                <w:bCs/>
                <w:sz w:val="16"/>
                <w:szCs w:val="16"/>
              </w:rPr>
              <w:t>eference)</w:t>
            </w:r>
          </w:p>
        </w:tc>
      </w:tr>
      <w:tr w:rsidR="00215FB2" w:rsidRPr="001423E5" w14:paraId="2A51C39A" w14:textId="77777777" w:rsidTr="00352840">
        <w:tc>
          <w:tcPr>
            <w:tcW w:w="9016" w:type="dxa"/>
            <w:gridSpan w:val="8"/>
          </w:tcPr>
          <w:p w14:paraId="379A022A" w14:textId="3A2BE95F" w:rsidR="006E51EA" w:rsidRPr="001F38FE" w:rsidRDefault="00215FB2" w:rsidP="00386D44">
            <w:pPr>
              <w:jc w:val="center"/>
              <w:rPr>
                <w:rFonts w:ascii="Arial" w:hAnsi="Arial" w:cs="Arial"/>
                <w:b/>
                <w:bCs/>
                <w:i/>
                <w:iCs/>
                <w:sz w:val="16"/>
                <w:szCs w:val="16"/>
              </w:rPr>
            </w:pPr>
            <w:r w:rsidRPr="001F38FE">
              <w:rPr>
                <w:rFonts w:ascii="Arial" w:hAnsi="Arial" w:cs="Arial"/>
                <w:b/>
                <w:bCs/>
                <w:i/>
                <w:iCs/>
                <w:sz w:val="16"/>
                <w:szCs w:val="16"/>
              </w:rPr>
              <w:t>Target genes assessed in digestive glands</w:t>
            </w:r>
          </w:p>
        </w:tc>
      </w:tr>
      <w:tr w:rsidR="00215FB2" w:rsidRPr="001423E5" w14:paraId="5B875EA1" w14:textId="77777777" w:rsidTr="00352840">
        <w:tc>
          <w:tcPr>
            <w:tcW w:w="9016" w:type="dxa"/>
            <w:gridSpan w:val="8"/>
          </w:tcPr>
          <w:p w14:paraId="6871F4D4" w14:textId="77777777" w:rsidR="00386D44" w:rsidRDefault="00386D44" w:rsidP="00ED34C7">
            <w:pPr>
              <w:rPr>
                <w:rFonts w:ascii="Arial" w:hAnsi="Arial" w:cs="Arial"/>
                <w:i/>
                <w:iCs/>
                <w:sz w:val="16"/>
                <w:szCs w:val="16"/>
              </w:rPr>
            </w:pPr>
          </w:p>
          <w:p w14:paraId="1DC9A338" w14:textId="41A4C04C" w:rsidR="00215FB2" w:rsidRPr="00A13152" w:rsidRDefault="00215FB2" w:rsidP="00ED34C7">
            <w:pPr>
              <w:rPr>
                <w:rFonts w:ascii="Arial" w:hAnsi="Arial" w:cs="Arial"/>
                <w:i/>
                <w:iCs/>
                <w:sz w:val="16"/>
                <w:szCs w:val="16"/>
              </w:rPr>
            </w:pPr>
            <w:r w:rsidRPr="00A13152">
              <w:rPr>
                <w:rFonts w:ascii="Arial" w:hAnsi="Arial" w:cs="Arial"/>
                <w:i/>
                <w:iCs/>
                <w:sz w:val="16"/>
                <w:szCs w:val="16"/>
              </w:rPr>
              <w:t>Antioxidant response</w:t>
            </w:r>
          </w:p>
        </w:tc>
      </w:tr>
      <w:tr w:rsidR="002B072C" w:rsidRPr="002F43DB" w14:paraId="1237EDD7" w14:textId="77777777" w:rsidTr="00352840">
        <w:tc>
          <w:tcPr>
            <w:tcW w:w="1523" w:type="dxa"/>
            <w:gridSpan w:val="2"/>
          </w:tcPr>
          <w:p w14:paraId="734624AC" w14:textId="77777777" w:rsidR="002B072C" w:rsidRPr="001423E5" w:rsidRDefault="002B072C" w:rsidP="00ED34C7">
            <w:pPr>
              <w:rPr>
                <w:rFonts w:ascii="Arial" w:hAnsi="Arial" w:cs="Arial"/>
                <w:sz w:val="16"/>
                <w:szCs w:val="16"/>
              </w:rPr>
            </w:pPr>
            <w:r w:rsidRPr="001423E5">
              <w:rPr>
                <w:rFonts w:ascii="Arial" w:hAnsi="Arial" w:cs="Arial"/>
                <w:sz w:val="16"/>
                <w:szCs w:val="16"/>
              </w:rPr>
              <w:t>Catalase</w:t>
            </w:r>
          </w:p>
          <w:p w14:paraId="64F9C0AF" w14:textId="77777777" w:rsidR="002B072C" w:rsidRPr="001423E5" w:rsidRDefault="002B072C" w:rsidP="00ED34C7">
            <w:pPr>
              <w:rPr>
                <w:rFonts w:ascii="Arial" w:hAnsi="Arial" w:cs="Arial"/>
                <w:sz w:val="16"/>
                <w:szCs w:val="16"/>
              </w:rPr>
            </w:pPr>
            <w:r w:rsidRPr="001423E5">
              <w:rPr>
                <w:rFonts w:ascii="Arial" w:hAnsi="Arial" w:cs="Arial"/>
                <w:sz w:val="16"/>
                <w:szCs w:val="16"/>
              </w:rPr>
              <w:t>(</w:t>
            </w:r>
            <w:r w:rsidRPr="001423E5">
              <w:rPr>
                <w:rFonts w:ascii="Arial" w:hAnsi="Arial" w:cs="Arial"/>
                <w:i/>
                <w:iCs/>
                <w:sz w:val="16"/>
                <w:szCs w:val="16"/>
              </w:rPr>
              <w:t>CAT</w:t>
            </w:r>
            <w:r w:rsidRPr="001423E5">
              <w:rPr>
                <w:rFonts w:ascii="Arial" w:hAnsi="Arial" w:cs="Arial"/>
                <w:sz w:val="16"/>
                <w:szCs w:val="16"/>
              </w:rPr>
              <w:t>)</w:t>
            </w:r>
          </w:p>
        </w:tc>
        <w:tc>
          <w:tcPr>
            <w:tcW w:w="1770" w:type="dxa"/>
          </w:tcPr>
          <w:p w14:paraId="30777187" w14:textId="59D71AAB" w:rsidR="002B072C" w:rsidRPr="001423E5" w:rsidRDefault="00455451" w:rsidP="00570D79">
            <w:pPr>
              <w:contextualSpacing/>
              <w:jc w:val="center"/>
              <w:rPr>
                <w:rFonts w:ascii="Arial" w:hAnsi="Arial" w:cs="Arial"/>
                <w:color w:val="000000" w:themeColor="text1"/>
                <w:sz w:val="16"/>
                <w:szCs w:val="16"/>
              </w:rPr>
            </w:pPr>
            <w:r>
              <w:rPr>
                <w:rFonts w:ascii="Arial" w:hAnsi="Arial" w:cs="Arial"/>
                <w:color w:val="000000" w:themeColor="text1"/>
                <w:sz w:val="16"/>
                <w:szCs w:val="16"/>
              </w:rPr>
              <w:t xml:space="preserve">Antioxidant enzyme - </w:t>
            </w:r>
            <w:r w:rsidR="009C490B" w:rsidRPr="009C490B">
              <w:rPr>
                <w:rFonts w:ascii="Arial" w:hAnsi="Arial" w:cs="Arial"/>
                <w:color w:val="000000" w:themeColor="text1"/>
                <w:sz w:val="16"/>
                <w:szCs w:val="16"/>
              </w:rPr>
              <w:t>catalyzes the decomposition of hydrogen peroxide to water and oxygen:</w:t>
            </w:r>
          </w:p>
        </w:tc>
        <w:tc>
          <w:tcPr>
            <w:tcW w:w="2946" w:type="dxa"/>
          </w:tcPr>
          <w:p w14:paraId="5C61F07C" w14:textId="1C9C3A5B" w:rsidR="002B072C" w:rsidRDefault="002B072C" w:rsidP="00ED34C7">
            <w:pPr>
              <w:contextualSpacing/>
              <w:jc w:val="center"/>
              <w:rPr>
                <w:rFonts w:ascii="Arial" w:hAnsi="Arial" w:cs="Arial"/>
                <w:color w:val="000000" w:themeColor="text1"/>
                <w:sz w:val="16"/>
                <w:szCs w:val="16"/>
              </w:rPr>
            </w:pPr>
            <w:r w:rsidRPr="001423E5">
              <w:rPr>
                <w:rFonts w:ascii="Arial" w:hAnsi="Arial" w:cs="Arial"/>
                <w:color w:val="000000" w:themeColor="text1"/>
                <w:sz w:val="16"/>
                <w:szCs w:val="16"/>
              </w:rPr>
              <w:t>CGACCAGAGACAACCCACC</w:t>
            </w:r>
          </w:p>
          <w:p w14:paraId="3453A901" w14:textId="77777777" w:rsidR="002B072C" w:rsidRPr="00080828" w:rsidRDefault="002B072C" w:rsidP="00ED34C7">
            <w:pPr>
              <w:contextualSpacing/>
              <w:jc w:val="center"/>
              <w:rPr>
                <w:rFonts w:ascii="Arial" w:hAnsi="Arial" w:cs="Arial"/>
                <w:color w:val="000000" w:themeColor="text1"/>
                <w:sz w:val="16"/>
                <w:szCs w:val="16"/>
              </w:rPr>
            </w:pPr>
            <w:r w:rsidRPr="001423E5">
              <w:rPr>
                <w:rFonts w:ascii="Arial" w:hAnsi="Arial" w:cs="Arial"/>
                <w:color w:val="000000" w:themeColor="text1"/>
                <w:sz w:val="16"/>
                <w:szCs w:val="16"/>
              </w:rPr>
              <w:t>GCAGTAGTATGCCTGTCCATCC</w:t>
            </w:r>
          </w:p>
        </w:tc>
        <w:tc>
          <w:tcPr>
            <w:tcW w:w="1297" w:type="dxa"/>
            <w:gridSpan w:val="2"/>
          </w:tcPr>
          <w:p w14:paraId="08874AAE" w14:textId="77777777" w:rsidR="002B072C" w:rsidRPr="001423E5" w:rsidRDefault="002B072C" w:rsidP="00ED34C7">
            <w:pPr>
              <w:jc w:val="center"/>
              <w:rPr>
                <w:rFonts w:ascii="Arial" w:hAnsi="Arial" w:cs="Arial"/>
                <w:sz w:val="16"/>
                <w:szCs w:val="16"/>
              </w:rPr>
            </w:pPr>
            <w:r w:rsidRPr="001423E5">
              <w:rPr>
                <w:rFonts w:ascii="Arial" w:hAnsi="Arial" w:cs="Arial"/>
                <w:sz w:val="16"/>
                <w:szCs w:val="16"/>
              </w:rPr>
              <w:t>96</w:t>
            </w:r>
          </w:p>
        </w:tc>
        <w:tc>
          <w:tcPr>
            <w:tcW w:w="1480" w:type="dxa"/>
            <w:gridSpan w:val="2"/>
            <w:vAlign w:val="center"/>
          </w:tcPr>
          <w:p w14:paraId="4948BB58" w14:textId="77777777" w:rsidR="002B072C" w:rsidRPr="00B52546" w:rsidRDefault="002B072C" w:rsidP="00ED34C7">
            <w:pPr>
              <w:jc w:val="center"/>
              <w:rPr>
                <w:rFonts w:ascii="Arial" w:hAnsi="Arial" w:cs="Arial"/>
                <w:color w:val="000000" w:themeColor="text1"/>
                <w:sz w:val="16"/>
                <w:szCs w:val="16"/>
              </w:rPr>
            </w:pPr>
            <w:r w:rsidRPr="00B52546">
              <w:rPr>
                <w:rFonts w:ascii="Arial" w:hAnsi="Arial" w:cs="Arial"/>
                <w:color w:val="000000" w:themeColor="text1"/>
                <w:sz w:val="16"/>
                <w:szCs w:val="16"/>
              </w:rPr>
              <w:t>AY743716</w:t>
            </w:r>
          </w:p>
          <w:p w14:paraId="0647F969" w14:textId="6594F920" w:rsidR="002B072C" w:rsidRPr="00114476" w:rsidRDefault="002B072C" w:rsidP="00FB363D">
            <w:pPr>
              <w:pStyle w:val="Bibliografia"/>
              <w:ind w:left="12" w:hanging="12"/>
              <w:rPr>
                <w:rFonts w:ascii="Arial" w:hAnsi="Arial" w:cs="Arial"/>
                <w:sz w:val="16"/>
                <w:szCs w:val="16"/>
                <w:lang w:val="it-IT"/>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{"citationID":"djc9bKDO","properties":{"formattedCitation":"(Anantharaman and Craft, 2012)","plainCitation":"(Anantharaman and Craft, 2012)","noteIndex":0},"citationItems":[{"id":"BhjTJc6p/TylU3grn","uris":["http://zotero.org/users/local/3Gep4yxL/items/T6GEZNMZ"],"itemData":{"id":1674,"type":"article-journal","abstract":"Mytilus species are used as sentinels for the assessment of environmental health but sex or stage in the reproduction cycle is rarely considered even though both parameters are likely to influence responses to pollution. We have validated the use of a qPCR assay for sex identification and related the levels of transcripts to the reproductive cycle. A temporal study of mantle of Mytilus edulis found transcripts of male-specific vitelline coat lysin (VCL) and female-specific vitelline envelope receptor for lysin (VERL) could identify sex over a complete year. The levels of VCL/VERL were proportional to the numbers of sperm/ ova and are indicative of the stage of the reproductive cycle. Maximal levels of VCL and VERL were found in February 2009 declining to minima between July – August before increasing and re-attaining a peak in February 2010. Water temperature may influence these transitions since they coincide with minimal water temperature in February and maximal temperature in August. An identical pattern of variation was found for a cryptic female-specific transcript (H5) but a very different pattern was observed for oestrogen receptor 2 (ER2). ER2 varied in a sex-specific way with male . female for most of the cycle, with a female maxima in July and a male maxima in December. Using artificially spawned animals, the transcripts for VCL, VERL and H5 were shown to be present in gametes and thus their disappearance from mantle is indicative of spawning. VCL and VERL are present at equivalent levels in February and July–August but during gametogenesis (August to January) and spawning (March to June) VCL is present at lower relative amounts than VERL. This may indicate sex-specific control mechanisms for these processes and highlight a potential pressure point leading to reduced reproductive output if environmental factors cause asynchrony to gamete maturation or release.","container-title":"PLoS ONE","DOI":"10.1371/journal.pone.0050861","ISSN":"1932-6203","issue":"11","journalAbbreviation":"PLoS ONE","language":"en","page":"e50861","source":"DOI.org (Crossref)","title":"Annual Variation in the Levels of Transcripts of Sex-Specific Genes in the Mantle of the Common Mussel, Mytilus edulis","volume":"7","author":[{"family":"Anantharaman","given":"Sandhya"},{"family":"Craft","given":"John A."}],"editor":[{"family":"Gilbert","given":"Jack Anthony"}],"issued":{"date-parts":[["2012",11,30]]}}}],"schema":"https://github.com/citation-style-language/schema/raw/master/csl-citation.json"} </w:instrText>
            </w:r>
            <w:r>
              <w:rPr>
                <w:rFonts w:ascii="Arial" w:hAnsi="Arial" w:cs="Arial"/>
                <w:color w:val="000000" w:themeColor="text1"/>
                <w:sz w:val="16"/>
                <w:szCs w:val="16"/>
              </w:rPr>
              <w:fldChar w:fldCharType="separate"/>
            </w:r>
            <w:r>
              <w:rPr>
                <w:rFonts w:ascii="Arial" w:hAnsi="Arial" w:cs="Arial"/>
                <w:noProof/>
                <w:color w:val="000000" w:themeColor="text1"/>
                <w:sz w:val="16"/>
                <w:szCs w:val="16"/>
              </w:rPr>
              <w:t>(Anantharaman and Craft, 2012)</w:t>
            </w:r>
            <w:r>
              <w:rPr>
                <w:rFonts w:ascii="Arial" w:hAnsi="Arial" w:cs="Arial"/>
                <w:color w:val="000000" w:themeColor="text1"/>
                <w:sz w:val="16"/>
                <w:szCs w:val="16"/>
              </w:rPr>
              <w:fldChar w:fldCharType="end"/>
            </w:r>
          </w:p>
        </w:tc>
      </w:tr>
      <w:tr w:rsidR="002B072C" w:rsidRPr="00080828" w14:paraId="6B478771" w14:textId="77777777" w:rsidTr="00352840">
        <w:trPr>
          <w:trHeight w:val="433"/>
        </w:trPr>
        <w:tc>
          <w:tcPr>
            <w:tcW w:w="1523" w:type="dxa"/>
            <w:gridSpan w:val="2"/>
          </w:tcPr>
          <w:p w14:paraId="06AC0988" w14:textId="77777777" w:rsidR="002B072C" w:rsidRPr="001423E5" w:rsidRDefault="002B072C" w:rsidP="00ED34C7">
            <w:pPr>
              <w:rPr>
                <w:rFonts w:ascii="Arial" w:hAnsi="Arial" w:cs="Arial"/>
                <w:sz w:val="16"/>
                <w:szCs w:val="16"/>
              </w:rPr>
            </w:pPr>
            <w:r w:rsidRPr="001423E5">
              <w:rPr>
                <w:rFonts w:ascii="Arial" w:hAnsi="Arial" w:cs="Arial"/>
                <w:sz w:val="16"/>
                <w:szCs w:val="16"/>
              </w:rPr>
              <w:t>Superoxide dismutase</w:t>
            </w:r>
          </w:p>
          <w:p w14:paraId="10F65145" w14:textId="77777777" w:rsidR="002B072C" w:rsidRPr="001423E5" w:rsidRDefault="002B072C" w:rsidP="00ED34C7">
            <w:pPr>
              <w:rPr>
                <w:rFonts w:ascii="Arial" w:hAnsi="Arial" w:cs="Arial"/>
                <w:sz w:val="16"/>
                <w:szCs w:val="16"/>
              </w:rPr>
            </w:pPr>
            <w:r w:rsidRPr="001423E5">
              <w:rPr>
                <w:rFonts w:ascii="Arial" w:hAnsi="Arial" w:cs="Arial"/>
                <w:sz w:val="16"/>
                <w:szCs w:val="16"/>
              </w:rPr>
              <w:t>(</w:t>
            </w:r>
            <w:r w:rsidRPr="001423E5">
              <w:rPr>
                <w:rFonts w:ascii="Arial" w:hAnsi="Arial" w:cs="Arial"/>
                <w:i/>
                <w:iCs/>
                <w:sz w:val="16"/>
                <w:szCs w:val="16"/>
              </w:rPr>
              <w:t>SOD</w:t>
            </w:r>
            <w:r w:rsidRPr="001423E5">
              <w:rPr>
                <w:rFonts w:ascii="Arial" w:hAnsi="Arial" w:cs="Arial"/>
                <w:sz w:val="16"/>
                <w:szCs w:val="16"/>
              </w:rPr>
              <w:t>)</w:t>
            </w:r>
          </w:p>
        </w:tc>
        <w:tc>
          <w:tcPr>
            <w:tcW w:w="1770" w:type="dxa"/>
          </w:tcPr>
          <w:p w14:paraId="05E799B3" w14:textId="4F086E7B" w:rsidR="002B072C" w:rsidRPr="001423E5" w:rsidRDefault="00455451" w:rsidP="00570D79">
            <w:pPr>
              <w:contextualSpacing/>
              <w:jc w:val="center"/>
              <w:rPr>
                <w:rFonts w:ascii="Arial" w:hAnsi="Arial" w:cs="Arial"/>
                <w:color w:val="000000" w:themeColor="text1"/>
                <w:sz w:val="16"/>
                <w:szCs w:val="16"/>
              </w:rPr>
            </w:pPr>
            <w:r>
              <w:rPr>
                <w:rFonts w:ascii="Arial" w:hAnsi="Arial" w:cs="Arial"/>
                <w:color w:val="000000" w:themeColor="text1"/>
                <w:sz w:val="16"/>
                <w:szCs w:val="16"/>
              </w:rPr>
              <w:t xml:space="preserve">Antioxidant enzyme - </w:t>
            </w:r>
            <w:proofErr w:type="spellStart"/>
            <w:r w:rsidR="00870A1E" w:rsidRPr="00870A1E">
              <w:rPr>
                <w:rFonts w:ascii="Arial" w:hAnsi="Arial" w:cs="Arial"/>
                <w:color w:val="000000" w:themeColor="text1"/>
                <w:sz w:val="16"/>
                <w:szCs w:val="16"/>
              </w:rPr>
              <w:t>catalyses</w:t>
            </w:r>
            <w:proofErr w:type="spellEnd"/>
            <w:r w:rsidR="00870A1E" w:rsidRPr="00870A1E">
              <w:rPr>
                <w:rFonts w:ascii="Arial" w:hAnsi="Arial" w:cs="Arial"/>
                <w:color w:val="000000" w:themeColor="text1"/>
                <w:sz w:val="16"/>
                <w:szCs w:val="16"/>
              </w:rPr>
              <w:t xml:space="preserve"> the dismutation of superoxide anion to hydrogen peroxide and triplet oxygen.</w:t>
            </w:r>
          </w:p>
        </w:tc>
        <w:tc>
          <w:tcPr>
            <w:tcW w:w="2946" w:type="dxa"/>
          </w:tcPr>
          <w:p w14:paraId="549873A5" w14:textId="32DDE6AF" w:rsidR="002B072C" w:rsidRPr="001423E5" w:rsidRDefault="002B072C" w:rsidP="00ED34C7">
            <w:pPr>
              <w:contextualSpacing/>
              <w:jc w:val="center"/>
              <w:rPr>
                <w:rFonts w:ascii="Arial" w:hAnsi="Arial" w:cs="Arial"/>
                <w:color w:val="000000" w:themeColor="text1"/>
                <w:sz w:val="16"/>
                <w:szCs w:val="16"/>
              </w:rPr>
            </w:pPr>
            <w:r w:rsidRPr="001423E5">
              <w:rPr>
                <w:rFonts w:ascii="Arial" w:hAnsi="Arial" w:cs="Arial"/>
                <w:color w:val="000000" w:themeColor="text1"/>
                <w:sz w:val="16"/>
                <w:szCs w:val="16"/>
              </w:rPr>
              <w:t>AGCCAATGCAGAGGGAAAAGCAGA</w:t>
            </w:r>
          </w:p>
          <w:p w14:paraId="779967E4" w14:textId="77777777" w:rsidR="002B072C" w:rsidRPr="001423E5" w:rsidRDefault="002B072C" w:rsidP="00ED34C7">
            <w:pPr>
              <w:contextualSpacing/>
              <w:jc w:val="center"/>
              <w:rPr>
                <w:rFonts w:ascii="Arial" w:hAnsi="Arial" w:cs="Arial"/>
                <w:color w:val="000000" w:themeColor="text1"/>
                <w:sz w:val="16"/>
                <w:szCs w:val="16"/>
              </w:rPr>
            </w:pPr>
            <w:r w:rsidRPr="001423E5">
              <w:rPr>
                <w:rFonts w:ascii="Arial" w:hAnsi="Arial" w:cs="Arial"/>
                <w:color w:val="000000" w:themeColor="text1"/>
                <w:sz w:val="16"/>
                <w:szCs w:val="16"/>
              </w:rPr>
              <w:t>CCACAAGCCAGACGACCCCC</w:t>
            </w:r>
          </w:p>
        </w:tc>
        <w:tc>
          <w:tcPr>
            <w:tcW w:w="1297" w:type="dxa"/>
            <w:gridSpan w:val="2"/>
          </w:tcPr>
          <w:p w14:paraId="533385B2" w14:textId="77777777" w:rsidR="002B072C" w:rsidRPr="001423E5" w:rsidRDefault="002B072C" w:rsidP="00ED34C7">
            <w:pPr>
              <w:jc w:val="center"/>
              <w:rPr>
                <w:rFonts w:ascii="Arial" w:hAnsi="Arial" w:cs="Arial"/>
                <w:sz w:val="16"/>
                <w:szCs w:val="16"/>
              </w:rPr>
            </w:pPr>
            <w:r w:rsidRPr="001423E5">
              <w:rPr>
                <w:rFonts w:ascii="Arial" w:hAnsi="Arial" w:cs="Arial"/>
                <w:sz w:val="16"/>
                <w:szCs w:val="16"/>
              </w:rPr>
              <w:t>97</w:t>
            </w:r>
          </w:p>
        </w:tc>
        <w:tc>
          <w:tcPr>
            <w:tcW w:w="1480" w:type="dxa"/>
            <w:gridSpan w:val="2"/>
            <w:vAlign w:val="center"/>
          </w:tcPr>
          <w:p w14:paraId="7A9CDED8" w14:textId="77777777" w:rsidR="002B072C" w:rsidRPr="001423E5" w:rsidRDefault="002B072C" w:rsidP="00ED34C7">
            <w:pPr>
              <w:jc w:val="center"/>
              <w:rPr>
                <w:rFonts w:ascii="Arial" w:hAnsi="Arial" w:cs="Arial"/>
                <w:sz w:val="16"/>
                <w:szCs w:val="16"/>
              </w:rPr>
            </w:pPr>
            <w:r w:rsidRPr="001423E5">
              <w:rPr>
                <w:rFonts w:ascii="Arial" w:hAnsi="Arial" w:cs="Arial"/>
                <w:sz w:val="16"/>
                <w:szCs w:val="16"/>
              </w:rPr>
              <w:t>FM177867</w:t>
            </w:r>
          </w:p>
          <w:p w14:paraId="6F1DF4DC" w14:textId="792C4D84" w:rsidR="002B072C" w:rsidRPr="001423E5" w:rsidRDefault="002B072C" w:rsidP="00ED34C7">
            <w:pPr>
              <w:jc w:val="center"/>
              <w:rPr>
                <w:rFonts w:ascii="Arial" w:hAnsi="Arial" w:cs="Arial"/>
                <w:color w:val="000000" w:themeColor="text1"/>
                <w:sz w:val="16"/>
                <w:szCs w:val="16"/>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{"citationID":"0OlStIOL","properties":{"formattedCitation":"(Koutsogiannaki et al., 2014)","plainCitation":"(Koutsogiannaki et al., 2014)","noteIndex":0},"citationItems":[{"id":"BhjTJc6p/gwHbF9JB","uris":["http://zotero.org/users/local/3Gep4yxL/items/FFAPAPXI"],"itemData":{"id":1966,"type":"article-journal","container-title":"Aquatic Toxicology","DOI":"10.1016/j.aquatox.2013.11.005","ISSN":"0166445X","journalAbbreviation":"Aquatic Toxicology","language":"en","page":"186-195","source":"DOI.org (Crossref)","title":"Oxidative stress parameters induced by exposure to either cadmium or 17β-estradiol on Mytilus galloprovincialis hemocytes. The role of signaling molecules","volume":"146","author":[{"family":"Koutsogiannaki","given":"Sophia"},{"family":"Franzellitti","given":"Silvia"},{"family":"Fabbri","given":"Elena"},{"family":"Kaloyianni","given":"Martha"}],"issued":{"date-parts":[["2014",1]]}}}],"schema":"https://github.com/citation-style-language/schema/raw/master/csl-citation.json"} </w:instrText>
            </w:r>
            <w:r>
              <w:rPr>
                <w:rFonts w:ascii="Arial" w:hAnsi="Arial" w:cs="Arial"/>
                <w:color w:val="000000" w:themeColor="text1"/>
                <w:sz w:val="16"/>
                <w:szCs w:val="16"/>
              </w:rPr>
              <w:fldChar w:fldCharType="separate"/>
            </w:r>
            <w:r>
              <w:rPr>
                <w:rFonts w:ascii="Arial" w:hAnsi="Arial" w:cs="Arial"/>
                <w:noProof/>
                <w:color w:val="000000" w:themeColor="text1"/>
                <w:sz w:val="16"/>
                <w:szCs w:val="16"/>
              </w:rPr>
              <w:t>(Koutsogiannaki et al., 2014)</w:t>
            </w:r>
            <w:r>
              <w:rPr>
                <w:rFonts w:ascii="Arial" w:hAnsi="Arial" w:cs="Arial"/>
                <w:color w:val="000000" w:themeColor="text1"/>
                <w:sz w:val="16"/>
                <w:szCs w:val="16"/>
              </w:rPr>
              <w:fldChar w:fldCharType="end"/>
            </w:r>
          </w:p>
        </w:tc>
      </w:tr>
      <w:tr w:rsidR="002B072C" w:rsidRPr="001423E5" w14:paraId="7E37F1A0" w14:textId="77777777" w:rsidTr="00352840">
        <w:tc>
          <w:tcPr>
            <w:tcW w:w="1523" w:type="dxa"/>
            <w:gridSpan w:val="2"/>
          </w:tcPr>
          <w:p w14:paraId="3223ED11" w14:textId="77777777" w:rsidR="002B072C" w:rsidRPr="00080828" w:rsidRDefault="002B072C" w:rsidP="00ED34C7">
            <w:pPr>
              <w:rPr>
                <w:rFonts w:ascii="Arial" w:hAnsi="Arial" w:cs="Arial"/>
                <w:sz w:val="16"/>
                <w:szCs w:val="16"/>
              </w:rPr>
            </w:pPr>
            <w:r w:rsidRPr="00080828">
              <w:rPr>
                <w:rFonts w:ascii="Arial" w:hAnsi="Arial" w:cs="Arial"/>
                <w:sz w:val="16"/>
                <w:szCs w:val="16"/>
              </w:rPr>
              <w:t>Glutathione s-transferase</w:t>
            </w:r>
          </w:p>
          <w:p w14:paraId="274A7820" w14:textId="77777777" w:rsidR="002B072C" w:rsidRPr="00080828" w:rsidRDefault="002B072C" w:rsidP="00ED34C7">
            <w:pPr>
              <w:rPr>
                <w:rFonts w:ascii="Arial" w:hAnsi="Arial" w:cs="Arial"/>
                <w:sz w:val="16"/>
                <w:szCs w:val="16"/>
              </w:rPr>
            </w:pPr>
            <w:r w:rsidRPr="00080828">
              <w:rPr>
                <w:rFonts w:ascii="Arial" w:hAnsi="Arial" w:cs="Arial"/>
                <w:sz w:val="16"/>
                <w:szCs w:val="16"/>
              </w:rPr>
              <w:t>(</w:t>
            </w:r>
            <w:r w:rsidRPr="00080828">
              <w:rPr>
                <w:rFonts w:ascii="Arial" w:hAnsi="Arial" w:cs="Arial"/>
                <w:i/>
                <w:iCs/>
                <w:sz w:val="16"/>
                <w:szCs w:val="16"/>
              </w:rPr>
              <w:t>GST</w:t>
            </w:r>
            <w:r w:rsidRPr="00080828">
              <w:rPr>
                <w:rFonts w:ascii="Arial" w:hAnsi="Arial" w:cs="Arial"/>
                <w:sz w:val="16"/>
                <w:szCs w:val="16"/>
              </w:rPr>
              <w:t>)</w:t>
            </w:r>
          </w:p>
        </w:tc>
        <w:tc>
          <w:tcPr>
            <w:tcW w:w="1770" w:type="dxa"/>
          </w:tcPr>
          <w:p w14:paraId="4BEA153B" w14:textId="5A699958" w:rsidR="002B072C" w:rsidRPr="001423E5" w:rsidRDefault="00E1457D" w:rsidP="00ED34C7">
            <w:pPr>
              <w:contextualSpacing/>
              <w:jc w:val="center"/>
              <w:rPr>
                <w:rFonts w:ascii="Arial" w:hAnsi="Arial" w:cs="Arial"/>
                <w:color w:val="000000" w:themeColor="text1"/>
                <w:sz w:val="16"/>
                <w:szCs w:val="16"/>
              </w:rPr>
            </w:pPr>
            <w:r>
              <w:rPr>
                <w:rFonts w:ascii="Arial" w:hAnsi="Arial" w:cs="Arial"/>
                <w:color w:val="000000" w:themeColor="text1"/>
                <w:sz w:val="16"/>
                <w:szCs w:val="16"/>
              </w:rPr>
              <w:t xml:space="preserve">Glutathione pathway enzyme - </w:t>
            </w:r>
            <w:r w:rsidRPr="00E1457D">
              <w:rPr>
                <w:rFonts w:ascii="Arial" w:hAnsi="Arial" w:cs="Arial"/>
                <w:color w:val="000000" w:themeColor="text1"/>
                <w:sz w:val="16"/>
                <w:szCs w:val="16"/>
              </w:rPr>
              <w:t xml:space="preserve">conjugation of reduced glutathione with various </w:t>
            </w:r>
            <w:r>
              <w:rPr>
                <w:rFonts w:ascii="Arial" w:hAnsi="Arial" w:cs="Arial"/>
                <w:color w:val="000000" w:themeColor="text1"/>
                <w:sz w:val="16"/>
                <w:szCs w:val="16"/>
              </w:rPr>
              <w:t>metabolites</w:t>
            </w:r>
          </w:p>
        </w:tc>
        <w:tc>
          <w:tcPr>
            <w:tcW w:w="2946" w:type="dxa"/>
          </w:tcPr>
          <w:p w14:paraId="6EEF1A05" w14:textId="1877EDCA" w:rsidR="002B072C" w:rsidRPr="001423E5" w:rsidRDefault="002B072C" w:rsidP="00ED34C7">
            <w:pPr>
              <w:contextualSpacing/>
              <w:jc w:val="center"/>
              <w:rPr>
                <w:rFonts w:ascii="Arial" w:hAnsi="Arial" w:cs="Arial"/>
                <w:color w:val="000000" w:themeColor="text1"/>
                <w:sz w:val="16"/>
                <w:szCs w:val="16"/>
              </w:rPr>
            </w:pPr>
            <w:r w:rsidRPr="001423E5">
              <w:rPr>
                <w:rFonts w:ascii="Arial" w:hAnsi="Arial" w:cs="Arial"/>
                <w:color w:val="000000" w:themeColor="text1"/>
                <w:sz w:val="16"/>
                <w:szCs w:val="16"/>
              </w:rPr>
              <w:t>TCCAGTTAGAGGCCGAGCTGA</w:t>
            </w:r>
          </w:p>
          <w:p w14:paraId="65C62D12" w14:textId="77777777" w:rsidR="002B072C" w:rsidRPr="001423E5" w:rsidRDefault="002B072C" w:rsidP="00ED34C7">
            <w:pPr>
              <w:contextualSpacing/>
              <w:jc w:val="center"/>
              <w:rPr>
                <w:rFonts w:ascii="Arial" w:hAnsi="Arial" w:cs="Arial"/>
                <w:color w:val="000000" w:themeColor="text1"/>
                <w:sz w:val="16"/>
                <w:szCs w:val="16"/>
              </w:rPr>
            </w:pPr>
            <w:r w:rsidRPr="001423E5">
              <w:rPr>
                <w:rFonts w:ascii="Arial" w:hAnsi="Arial" w:cs="Arial"/>
                <w:color w:val="000000" w:themeColor="text1"/>
                <w:sz w:val="16"/>
                <w:szCs w:val="16"/>
              </w:rPr>
              <w:t>CTGCACCAGTTGGAAACCGTC</w:t>
            </w:r>
          </w:p>
        </w:tc>
        <w:tc>
          <w:tcPr>
            <w:tcW w:w="1297" w:type="dxa"/>
            <w:gridSpan w:val="2"/>
          </w:tcPr>
          <w:p w14:paraId="7EBC0418" w14:textId="77777777" w:rsidR="002B072C" w:rsidRPr="001423E5" w:rsidRDefault="002B072C" w:rsidP="00ED34C7">
            <w:pPr>
              <w:jc w:val="center"/>
              <w:rPr>
                <w:rFonts w:ascii="Arial" w:hAnsi="Arial" w:cs="Arial"/>
                <w:sz w:val="16"/>
                <w:szCs w:val="16"/>
              </w:rPr>
            </w:pPr>
            <w:r w:rsidRPr="001423E5">
              <w:rPr>
                <w:rFonts w:ascii="Arial" w:hAnsi="Arial" w:cs="Arial"/>
                <w:sz w:val="16"/>
                <w:szCs w:val="16"/>
              </w:rPr>
              <w:t>100</w:t>
            </w:r>
          </w:p>
        </w:tc>
        <w:tc>
          <w:tcPr>
            <w:tcW w:w="1480" w:type="dxa"/>
            <w:gridSpan w:val="2"/>
            <w:vAlign w:val="center"/>
          </w:tcPr>
          <w:p w14:paraId="0DF616E4"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AF527010</w:t>
            </w:r>
          </w:p>
          <w:p w14:paraId="34D8DA35" w14:textId="6C404D72" w:rsidR="002B072C" w:rsidRPr="001423E5" w:rsidRDefault="002B072C" w:rsidP="00ED34C7">
            <w:pPr>
              <w:jc w:val="center"/>
              <w:rPr>
                <w:rFonts w:ascii="Arial" w:hAnsi="Arial" w:cs="Arial"/>
                <w:sz w:val="16"/>
                <w:szCs w:val="16"/>
              </w:rPr>
            </w:pPr>
            <w:r>
              <w:rPr>
                <w:rFonts w:ascii="Arial" w:hAnsi="Arial" w:cs="Arial"/>
                <w:sz w:val="16"/>
                <w:szCs w:val="16"/>
              </w:rPr>
              <w:fldChar w:fldCharType="begin"/>
            </w:r>
            <w:r w:rsidR="00CD4039">
              <w:rPr>
                <w:rFonts w:ascii="Arial" w:hAnsi="Arial" w:cs="Arial"/>
                <w:sz w:val="16"/>
                <w:szCs w:val="16"/>
              </w:rPr>
              <w:instrText xml:space="preserve"> ADDIN ZOTERO_ITEM CSL_CITATION {"citationID":"HiXtjjQT","properties":{"formattedCitation":"(Hoarau et al., 2006)","plainCitation":"(Hoarau et al., 2006)","noteIndex":0},"citationItems":[{"id":"BhjTJc6p/Zlp439ZT","uris":["http://zotero.org/users/local/3Gep4yxL/items/K2XCMVQQ"],"itemData":{"id":1968,"type":"article-journal","abstract":"Glutathione S-transferase is involved in the detoxication of many chemical compounds. Northern blot analysis of mRNA GST gene from the mussel Mytilus galloprovincialis shows the presence of a transcript of 850bp (GenBank accession no. Gi:22094808 and AF527010). The cDNA cloned sequence is constituted by an ORF of 621bp encoding for a protein of 23,700 Da present in the gills and digestive gland of M galloprovincialis. The sequence, called Mg (M. galloprovincialis) GST-p, is clearly related to the pi class GST. M. galloprovincialis treated with Cd (200 μg/L) and BaP (100 μg/L) or co-treated with Cd and BaP take up cadmium in the gills (16.2 ± 4.2 and 12.6 ± 1.2μg Cd/g dry wt. after exposure to Cd and Cd + BaP, respectively) and in the digestive gland. The transcription of GST-pi gene, by semi-quantitative RT-PCR, shows the lowest value in the digestive glands of mussels exposed to BaP, whereas the treatment with cadmium and the co-treatment with cadmium and BaP evoke GST-pi gene expression higher than controls. Mussels collected from six sites along the south coast of Portugal show different GST-pi transcription levels, some of which are related to their pollutant content.","container-title":"Comparative Biochemistry and Physiology Part C: Toxicology &amp; Pharmacology","DOI":"10.1016/j.cbpc.2006.02.007","ISSN":"15320456","issue":"2","journalAbbreviation":"Comparative Biochemistry and Physiology Part C: Toxicology &amp; Pharmacology","language":"en","license":"https://www.elsevier.com/tdm/userlicense/1.0/","page":"196-203","source":"DOI.org (Crossref)","title":"Cloning and expression of a GST-pi gene in Mytilus galloprovincialis. Attempt to use the GST-pi transcript as a biomarker of pollution","volume":"143","author":[{"family":"Hoarau","given":"Pascal"},{"family":"Damiens","given":"Gautier"},{"family":"Roméo","given":"Michèle"},{"family":"Gnassia-Barelli","given":"Mauricette"},{"family":"Bebianno","given":"Maria J."}],"issued":{"date-parts":[["2006",6]]}}}],"schema":"https://github.com/citation-style-language/schema/raw/master/csl-citation.json"} </w:instrText>
            </w:r>
            <w:r>
              <w:rPr>
                <w:rFonts w:ascii="Arial" w:hAnsi="Arial" w:cs="Arial"/>
                <w:sz w:val="16"/>
                <w:szCs w:val="16"/>
              </w:rPr>
              <w:fldChar w:fldCharType="separate"/>
            </w:r>
            <w:r>
              <w:rPr>
                <w:rFonts w:ascii="Arial" w:hAnsi="Arial" w:cs="Arial"/>
                <w:noProof/>
                <w:sz w:val="16"/>
                <w:szCs w:val="16"/>
              </w:rPr>
              <w:t>(Hoarau et al., 2006)</w:t>
            </w:r>
            <w:r>
              <w:rPr>
                <w:rFonts w:ascii="Arial" w:hAnsi="Arial" w:cs="Arial"/>
                <w:sz w:val="16"/>
                <w:szCs w:val="16"/>
              </w:rPr>
              <w:fldChar w:fldCharType="end"/>
            </w:r>
          </w:p>
        </w:tc>
      </w:tr>
      <w:tr w:rsidR="00215FB2" w:rsidRPr="001423E5" w14:paraId="2A77B386" w14:textId="77777777" w:rsidTr="00352840">
        <w:tc>
          <w:tcPr>
            <w:tcW w:w="9016" w:type="dxa"/>
            <w:gridSpan w:val="8"/>
          </w:tcPr>
          <w:p w14:paraId="49D78257" w14:textId="77777777" w:rsidR="00A13152" w:rsidRDefault="00A13152" w:rsidP="00ED34C7">
            <w:pPr>
              <w:rPr>
                <w:rFonts w:ascii="Arial" w:hAnsi="Arial" w:cs="Arial"/>
                <w:i/>
                <w:iCs/>
                <w:color w:val="000000" w:themeColor="text1"/>
                <w:sz w:val="16"/>
                <w:szCs w:val="16"/>
              </w:rPr>
            </w:pPr>
          </w:p>
          <w:p w14:paraId="433D872D" w14:textId="4E4F0DF6" w:rsidR="00215FB2" w:rsidRPr="00A13152" w:rsidRDefault="00215FB2" w:rsidP="00ED34C7">
            <w:pPr>
              <w:rPr>
                <w:rFonts w:ascii="Arial" w:hAnsi="Arial" w:cs="Arial"/>
                <w:i/>
                <w:iCs/>
                <w:color w:val="000000" w:themeColor="text1"/>
                <w:sz w:val="16"/>
                <w:szCs w:val="16"/>
              </w:rPr>
            </w:pPr>
            <w:r w:rsidRPr="00A13152">
              <w:rPr>
                <w:rFonts w:ascii="Arial" w:hAnsi="Arial" w:cs="Arial"/>
                <w:i/>
                <w:iCs/>
                <w:color w:val="000000" w:themeColor="text1"/>
                <w:sz w:val="16"/>
                <w:szCs w:val="16"/>
              </w:rPr>
              <w:t>Metabolism</w:t>
            </w:r>
          </w:p>
        </w:tc>
      </w:tr>
      <w:tr w:rsidR="002B072C" w:rsidRPr="001423E5" w14:paraId="5FC49589" w14:textId="77777777" w:rsidTr="00352840">
        <w:tc>
          <w:tcPr>
            <w:tcW w:w="1515" w:type="dxa"/>
          </w:tcPr>
          <w:p w14:paraId="4D2EDDEA" w14:textId="77777777" w:rsidR="002B072C" w:rsidRPr="001423E5" w:rsidRDefault="002B072C" w:rsidP="00ED34C7">
            <w:pPr>
              <w:rPr>
                <w:rFonts w:ascii="Arial" w:hAnsi="Arial" w:cs="Arial"/>
                <w:color w:val="000000" w:themeColor="text1"/>
                <w:sz w:val="16"/>
                <w:szCs w:val="16"/>
              </w:rPr>
            </w:pPr>
            <w:r w:rsidRPr="001423E5">
              <w:rPr>
                <w:rFonts w:ascii="Symbol" w:eastAsia="Symbol" w:hAnsi="Symbol" w:cs="Symbol"/>
                <w:color w:val="000000" w:themeColor="text1"/>
                <w:sz w:val="16"/>
                <w:szCs w:val="16"/>
              </w:rPr>
              <w:t>a</w:t>
            </w:r>
            <w:r w:rsidRPr="001423E5">
              <w:rPr>
                <w:rFonts w:ascii="Arial" w:hAnsi="Arial" w:cs="Arial"/>
                <w:color w:val="000000" w:themeColor="text1"/>
                <w:sz w:val="16"/>
                <w:szCs w:val="16"/>
              </w:rPr>
              <w:t>-</w:t>
            </w:r>
            <w:r>
              <w:rPr>
                <w:rFonts w:ascii="Arial" w:hAnsi="Arial" w:cs="Arial"/>
                <w:color w:val="000000" w:themeColor="text1"/>
                <w:sz w:val="16"/>
                <w:szCs w:val="16"/>
              </w:rPr>
              <w:t>a</w:t>
            </w:r>
            <w:r w:rsidRPr="001423E5">
              <w:rPr>
                <w:rFonts w:ascii="Arial" w:hAnsi="Arial" w:cs="Arial"/>
                <w:color w:val="000000" w:themeColor="text1"/>
                <w:sz w:val="16"/>
                <w:szCs w:val="16"/>
              </w:rPr>
              <w:t>mylase</w:t>
            </w:r>
          </w:p>
          <w:p w14:paraId="1A0449BB"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w:t>
            </w:r>
            <w:r w:rsidRPr="001423E5">
              <w:rPr>
                <w:rFonts w:ascii="Arial" w:hAnsi="Arial" w:cs="Arial"/>
                <w:i/>
                <w:iCs/>
                <w:color w:val="000000" w:themeColor="text1"/>
                <w:sz w:val="16"/>
                <w:szCs w:val="16"/>
              </w:rPr>
              <w:t>AMYL</w:t>
            </w:r>
            <w:r w:rsidRPr="001423E5">
              <w:rPr>
                <w:rFonts w:ascii="Arial" w:hAnsi="Arial" w:cs="Arial"/>
                <w:color w:val="000000" w:themeColor="text1"/>
                <w:sz w:val="16"/>
                <w:szCs w:val="16"/>
              </w:rPr>
              <w:t>)</w:t>
            </w:r>
          </w:p>
        </w:tc>
        <w:tc>
          <w:tcPr>
            <w:tcW w:w="1778" w:type="dxa"/>
            <w:gridSpan w:val="2"/>
          </w:tcPr>
          <w:p w14:paraId="4D2204C3" w14:textId="2956B661" w:rsidR="002B072C" w:rsidRPr="004A689D" w:rsidRDefault="00884402" w:rsidP="00ED34C7">
            <w:pPr>
              <w:jc w:val="center"/>
              <w:rPr>
                <w:rFonts w:ascii="Arial" w:hAnsi="Arial" w:cs="Arial"/>
                <w:color w:val="000000" w:themeColor="text1"/>
                <w:sz w:val="16"/>
                <w:szCs w:val="16"/>
              </w:rPr>
            </w:pPr>
            <w:r>
              <w:rPr>
                <w:rFonts w:ascii="Arial" w:hAnsi="Arial" w:cs="Arial"/>
                <w:color w:val="000000" w:themeColor="text1"/>
                <w:sz w:val="16"/>
                <w:szCs w:val="16"/>
              </w:rPr>
              <w:t xml:space="preserve">Digestive enzyme – carbohydrate metabolism </w:t>
            </w:r>
          </w:p>
        </w:tc>
        <w:tc>
          <w:tcPr>
            <w:tcW w:w="2992" w:type="dxa"/>
            <w:gridSpan w:val="2"/>
          </w:tcPr>
          <w:p w14:paraId="318D37BE" w14:textId="2B67EDFE" w:rsidR="002B072C" w:rsidRPr="004A689D" w:rsidRDefault="002B072C" w:rsidP="00ED34C7">
            <w:pPr>
              <w:jc w:val="center"/>
              <w:rPr>
                <w:rFonts w:ascii="Arial" w:hAnsi="Arial" w:cs="Arial"/>
                <w:color w:val="000000" w:themeColor="text1"/>
                <w:sz w:val="16"/>
                <w:szCs w:val="16"/>
              </w:rPr>
            </w:pPr>
            <w:r w:rsidRPr="004A689D">
              <w:rPr>
                <w:rFonts w:ascii="Arial" w:hAnsi="Arial" w:cs="Arial"/>
                <w:color w:val="000000" w:themeColor="text1"/>
                <w:sz w:val="16"/>
                <w:szCs w:val="16"/>
              </w:rPr>
              <w:t>CCTCGGGGTAGCTGGTTTTA</w:t>
            </w:r>
          </w:p>
          <w:p w14:paraId="11A03F54"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TCCAAAGTTACGGGCTCCTT</w:t>
            </w:r>
          </w:p>
        </w:tc>
        <w:tc>
          <w:tcPr>
            <w:tcW w:w="1260" w:type="dxa"/>
            <w:gridSpan w:val="2"/>
          </w:tcPr>
          <w:p w14:paraId="4BAA420C"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91</w:t>
            </w:r>
          </w:p>
        </w:tc>
        <w:tc>
          <w:tcPr>
            <w:tcW w:w="1471" w:type="dxa"/>
            <w:vAlign w:val="center"/>
          </w:tcPr>
          <w:p w14:paraId="5DB4999A"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EU336958</w:t>
            </w:r>
          </w:p>
          <w:p w14:paraId="7475A194" w14:textId="0915C73B" w:rsidR="002B072C" w:rsidRPr="001423E5" w:rsidRDefault="002B072C" w:rsidP="00ED34C7">
            <w:pPr>
              <w:jc w:val="center"/>
              <w:rPr>
                <w:rFonts w:ascii="Arial" w:hAnsi="Arial" w:cs="Arial"/>
                <w:color w:val="000000" w:themeColor="text1"/>
                <w:sz w:val="16"/>
                <w:szCs w:val="16"/>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{"citationID":"jNyePe7M","properties":{"formattedCitation":"(Paul-Pont et al., 2016)","plainCitation":"(Paul-Pont et al., 2016)","noteIndex":0},"citationItems":[{"id":"BhjTJc6p/AxQ26eiD","uris":["http://zotero.org/users/local/3Gep4yxL/items/BWCK5REJ"],"itemData":{"id":1970,"type":"article-journal","abstract":"The effects of polystyrene microbeads (micro-PS; mix of 2 and 6 mm; ﬁnal concentration: 32 mg LÀ1) alone or in combination with ﬂuoranthene (30 mg LÀ1) on marine mussels Mytilus spp. were investigated after 7 days of exposure and 7 days of depuration under controlled laboratory conditions. Overall, ﬂuoranthene was mostly associated to algae Chaetoceros muelleri (partition coefﬁcient Log Kp ¼ 4.8) used as a food source for mussels during the experiment. When micro-PS were added in the system, a fraction of FLU transferred from the algae to the microbeads as suggested by the higher partition coefﬁcient of micro-PS (Log Kp ¼ 6.6), which conﬁrmed a high afﬁnity of ﬂuoranthene for polystyrene microparticles. However, this did not lead to a modiﬁcation of ﬂuoranthene bioaccumulation in exposed individuals, suggesting that micro-PS had a minor role in transferring ﬂuoranthene to mussels tissues in comparison with waterborne and foodborne exposures. After depuration, a higher ﬂuoranthene concentration was detected in mussels exposed to micro-PS and ﬂuoranthene, as compared to mussels exposed to ﬂuoranthene alone. This may be related to direct effect of micro-PS on detoxiﬁcation mechanisms, as suggested by a down regulation of a P-glycoprotein involved in pollutant excretion, but other factors such as an impairment of the ﬁltration activity or presence of remaining beads in the gut cannot be excluded. Micro-PS alone led to an increase in hemocyte mortality and triggered substantial modulation of cellular oxidative balance: increase in reactive oxygen species production in hemocytes and enhancement of anti-oxidant and glutathione-related enzymes in mussel tissues. Highest histopathological damages and levels of anti-oxidant markers were observed in mussels exposed to micro-PS together with ﬂuoranthene. Overall these results suggest that under the experimental conditions of our study micro-PS led to direct toxic effects at tissue, cellular and molecular levels, and modulated ﬂuoranthene kinetics and toxicity in marine mussels.","container-title":"Environmental Pollution","DOI":"10.1016/j.envpol.2016.06.039","ISSN":"02697491","journalAbbreviation":"Environmental Pollution","language":"en","page":"724-737","source":"DOI.org (Crossref)","title":"Exposure of marine mussels Mytilus spp. to polystyrene microplastics: Toxicity and influence on fluoranthene bioaccumulation","title-short":"Exposure of marine mussels Mytilus spp. to polystyrene microplastics","volume":"216","author":[{"family":"Paul-Pont","given":"Ika"},{"family":"Lacroix","given":"Camille"},{"family":"González Fernández","given":"Carmen"},{"family":"Hégaret","given":"Hélène"},{"family":"Lambert","given":"Christophe"},{"family":"Le Goïc","given":"Nelly"},{"family":"Frère","given":"Laura"},{"family":"Cassone","given":"Anne-Laure"},{"family":"Sussarellu","given":"Rossana"},{"family":"Fabioux","given":"Caroline"},{"family":"Guyomarch","given":"Julien"},{"family":"Albentosa","given":"Marina"},{"family":"Huvet","given":"Arnaud"},{"family":"Soudant","given":"Philippe"}],"issued":{"date-parts":[["2016",9]]}}}],"schema":"https://github.com/citation-style-language/schema/raw/master/csl-citation.json"} </w:instrText>
            </w:r>
            <w:r>
              <w:rPr>
                <w:rFonts w:ascii="Arial" w:hAnsi="Arial" w:cs="Arial"/>
                <w:color w:val="000000" w:themeColor="text1"/>
                <w:sz w:val="16"/>
                <w:szCs w:val="16"/>
              </w:rPr>
              <w:fldChar w:fldCharType="separate"/>
            </w:r>
            <w:r>
              <w:rPr>
                <w:rFonts w:ascii="Arial" w:hAnsi="Arial" w:cs="Arial"/>
                <w:noProof/>
                <w:color w:val="000000" w:themeColor="text1"/>
                <w:sz w:val="16"/>
                <w:szCs w:val="16"/>
              </w:rPr>
              <w:t>(Paul-Pont et al., 2016)</w:t>
            </w:r>
            <w:r>
              <w:rPr>
                <w:rFonts w:ascii="Arial" w:hAnsi="Arial" w:cs="Arial"/>
                <w:color w:val="000000" w:themeColor="text1"/>
                <w:sz w:val="16"/>
                <w:szCs w:val="16"/>
              </w:rPr>
              <w:fldChar w:fldCharType="end"/>
            </w:r>
          </w:p>
        </w:tc>
      </w:tr>
      <w:tr w:rsidR="002B072C" w:rsidRPr="001423E5" w14:paraId="2B1B5482" w14:textId="77777777" w:rsidTr="00352840">
        <w:tc>
          <w:tcPr>
            <w:tcW w:w="1515" w:type="dxa"/>
          </w:tcPr>
          <w:p w14:paraId="13A9A2D5"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Pyruvate kinase</w:t>
            </w:r>
          </w:p>
          <w:p w14:paraId="6DD874BB"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w:t>
            </w:r>
            <w:r w:rsidRPr="001423E5">
              <w:rPr>
                <w:rFonts w:ascii="Arial" w:hAnsi="Arial" w:cs="Arial"/>
                <w:i/>
                <w:iCs/>
                <w:color w:val="000000" w:themeColor="text1"/>
                <w:sz w:val="16"/>
                <w:szCs w:val="16"/>
              </w:rPr>
              <w:t>PK</w:t>
            </w:r>
            <w:r w:rsidRPr="001423E5">
              <w:rPr>
                <w:rFonts w:ascii="Arial" w:hAnsi="Arial" w:cs="Arial"/>
                <w:color w:val="000000" w:themeColor="text1"/>
                <w:sz w:val="16"/>
                <w:szCs w:val="16"/>
              </w:rPr>
              <w:t>)</w:t>
            </w:r>
          </w:p>
        </w:tc>
        <w:tc>
          <w:tcPr>
            <w:tcW w:w="1778" w:type="dxa"/>
            <w:gridSpan w:val="2"/>
          </w:tcPr>
          <w:p w14:paraId="044C067F" w14:textId="6C9CC1D6" w:rsidR="002B072C" w:rsidRPr="004A689D" w:rsidRDefault="000372C7" w:rsidP="00ED34C7">
            <w:pPr>
              <w:jc w:val="center"/>
              <w:rPr>
                <w:rFonts w:ascii="Arial" w:hAnsi="Arial" w:cs="Arial"/>
                <w:color w:val="000000" w:themeColor="text1"/>
                <w:sz w:val="16"/>
                <w:szCs w:val="16"/>
              </w:rPr>
            </w:pPr>
            <w:r w:rsidRPr="000372C7">
              <w:rPr>
                <w:rFonts w:ascii="Arial" w:hAnsi="Arial" w:cs="Arial"/>
                <w:color w:val="000000" w:themeColor="text1"/>
                <w:sz w:val="16"/>
                <w:szCs w:val="16"/>
              </w:rPr>
              <w:t>Glycolysis</w:t>
            </w:r>
          </w:p>
        </w:tc>
        <w:tc>
          <w:tcPr>
            <w:tcW w:w="2992" w:type="dxa"/>
            <w:gridSpan w:val="2"/>
          </w:tcPr>
          <w:p w14:paraId="24032258" w14:textId="1FBBD7A1" w:rsidR="002B072C" w:rsidRPr="004A689D" w:rsidRDefault="002B072C" w:rsidP="00ED34C7">
            <w:pPr>
              <w:jc w:val="center"/>
              <w:rPr>
                <w:rFonts w:ascii="Arial" w:hAnsi="Arial" w:cs="Arial"/>
                <w:color w:val="000000" w:themeColor="text1"/>
                <w:sz w:val="16"/>
                <w:szCs w:val="16"/>
              </w:rPr>
            </w:pPr>
            <w:r w:rsidRPr="004A689D">
              <w:rPr>
                <w:rFonts w:ascii="Arial" w:hAnsi="Arial" w:cs="Arial"/>
                <w:color w:val="000000" w:themeColor="text1"/>
                <w:sz w:val="16"/>
                <w:szCs w:val="16"/>
              </w:rPr>
              <w:t>AGACTTGGAGCTGCCTTCAG</w:t>
            </w:r>
          </w:p>
          <w:p w14:paraId="27495FEA"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GGAATGCACAGAGGGTTCAT</w:t>
            </w:r>
          </w:p>
        </w:tc>
        <w:tc>
          <w:tcPr>
            <w:tcW w:w="1260" w:type="dxa"/>
            <w:gridSpan w:val="2"/>
          </w:tcPr>
          <w:p w14:paraId="44F15499"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102</w:t>
            </w:r>
          </w:p>
        </w:tc>
        <w:tc>
          <w:tcPr>
            <w:tcW w:w="1471" w:type="dxa"/>
            <w:vAlign w:val="center"/>
          </w:tcPr>
          <w:p w14:paraId="79473B15"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Locus22823a</w:t>
            </w:r>
          </w:p>
          <w:p w14:paraId="3CB29C1A" w14:textId="5900DF14" w:rsidR="002B072C" w:rsidRPr="001423E5" w:rsidRDefault="002B072C" w:rsidP="00ED34C7">
            <w:pPr>
              <w:jc w:val="center"/>
              <w:rPr>
                <w:rFonts w:ascii="Arial" w:hAnsi="Arial" w:cs="Arial"/>
                <w:color w:val="000000" w:themeColor="text1"/>
                <w:sz w:val="16"/>
                <w:szCs w:val="16"/>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{"citationID":"hEfYp60U","properties":{"formattedCitation":"(Paul-Pont et al., 2016)","plainCitation":"(Paul-Pont et al., 2016)","noteIndex":0},"citationItems":[{"id":"BhjTJc6p/AxQ26eiD","uris":["http://zotero.org/users/local/3Gep4yxL/items/BWCK5REJ"],"itemData":{"id":1970,"type":"article-journal","abstract":"The effects of polystyrene microbeads (micro-PS; mix of 2 and 6 mm; ﬁnal concentration: 32 mg LÀ1) alone or in combination with ﬂuoranthene (30 mg LÀ1) on marine mussels Mytilus spp. were investigated after 7 days of exposure and 7 days of depuration under controlled laboratory conditions. Overall, ﬂuoranthene was mostly associated to algae Chaetoceros muelleri (partition coefﬁcient Log Kp ¼ 4.8) used as a food source for mussels during the experiment. When micro-PS were added in the system, a fraction of FLU transferred from the algae to the microbeads as suggested by the higher partition coefﬁcient of micro-PS (Log Kp ¼ 6.6), which conﬁrmed a high afﬁnity of ﬂuoranthene for polystyrene microparticles. However, this did not lead to a modiﬁcation of ﬂuoranthene bioaccumulation in exposed individuals, suggesting that micro-PS had a minor role in transferring ﬂuoranthene to mussels tissues in comparison with waterborne and foodborne exposures. After depuration, a higher ﬂuoranthene concentration was detected in mussels exposed to micro-PS and ﬂuoranthene, as compared to mussels exposed to ﬂuoranthene alone. This may be related to direct effect of micro-PS on detoxiﬁcation mechanisms, as suggested by a down regulation of a P-glycoprotein involved in pollutant excretion, but other factors such as an impairment of the ﬁltration activity or presence of remaining beads in the gut cannot be excluded. Micro-PS alone led to an increase in hemocyte mortality and triggered substantial modulation of cellular oxidative balance: increase in reactive oxygen species production in hemocytes and enhancement of anti-oxidant and glutathione-related enzymes in mussel tissues. Highest histopathological damages and levels of anti-oxidant markers were observed in mussels exposed to micro-PS together with ﬂuoranthene. Overall these results suggest that under the experimental conditions of our study micro-PS led to direct toxic effects at tissue, cellular and molecular levels, and modulated ﬂuoranthene kinetics and toxicity in marine mussels.","container-title":"Environmental Pollution","DOI":"10.1016/j.envpol.2016.06.039","ISSN":"02697491","journalAbbreviation":"Environmental Pollution","language":"en","page":"724-737","source":"DOI.org (Crossref)","title":"Exposure of marine mussels Mytilus spp. to polystyrene microplastics: Toxicity and influence on fluoranthene bioaccumulation","title-short":"Exposure of marine mussels Mytilus spp. to polystyrene microplastics","volume":"216","author":[{"family":"Paul-Pont","given":"Ika"},{"family":"Lacroix","given":"Camille"},{"family":"González Fernández","given":"Carmen"},{"family":"Hégaret","given":"Hélène"},{"family":"Lambert","given":"Christophe"},{"family":"Le Goïc","given":"Nelly"},{"family":"Frère","given":"Laura"},{"family":"Cassone","given":"Anne-Laure"},{"family":"Sussarellu","given":"Rossana"},{"family":"Fabioux","given":"Caroline"},{"family":"Guyomarch","given":"Julien"},{"family":"Albentosa","given":"Marina"},{"family":"Huvet","given":"Arnaud"},{"family":"Soudant","given":"Philippe"}],"issued":{"date-parts":[["2016",9]]}}}],"schema":"https://github.com/citation-style-language/schema/raw/master/csl-citation.json"} </w:instrText>
            </w:r>
            <w:r>
              <w:rPr>
                <w:rFonts w:ascii="Arial" w:hAnsi="Arial" w:cs="Arial"/>
                <w:color w:val="000000" w:themeColor="text1"/>
                <w:sz w:val="16"/>
                <w:szCs w:val="16"/>
              </w:rPr>
              <w:fldChar w:fldCharType="separate"/>
            </w:r>
            <w:r>
              <w:rPr>
                <w:rFonts w:ascii="Arial" w:hAnsi="Arial" w:cs="Arial"/>
                <w:noProof/>
                <w:color w:val="000000" w:themeColor="text1"/>
                <w:sz w:val="16"/>
                <w:szCs w:val="16"/>
              </w:rPr>
              <w:t>(Paul-Pont et al., 2016)</w:t>
            </w:r>
            <w:r>
              <w:rPr>
                <w:rFonts w:ascii="Arial" w:hAnsi="Arial" w:cs="Arial"/>
                <w:color w:val="000000" w:themeColor="text1"/>
                <w:sz w:val="16"/>
                <w:szCs w:val="16"/>
              </w:rPr>
              <w:fldChar w:fldCharType="end"/>
            </w:r>
          </w:p>
        </w:tc>
      </w:tr>
      <w:tr w:rsidR="002B072C" w:rsidRPr="001423E5" w14:paraId="61DEF2CB" w14:textId="77777777" w:rsidTr="00352840">
        <w:tc>
          <w:tcPr>
            <w:tcW w:w="1515" w:type="dxa"/>
          </w:tcPr>
          <w:p w14:paraId="5285C881" w14:textId="77777777" w:rsidR="002B072C" w:rsidRPr="00F933A3" w:rsidRDefault="002B072C" w:rsidP="00ED34C7">
            <w:pPr>
              <w:rPr>
                <w:rFonts w:ascii="Arial" w:hAnsi="Arial" w:cs="Arial"/>
                <w:color w:val="000000" w:themeColor="text1"/>
                <w:sz w:val="16"/>
                <w:szCs w:val="16"/>
              </w:rPr>
            </w:pPr>
            <w:r w:rsidRPr="00F933A3">
              <w:rPr>
                <w:rFonts w:ascii="Arial" w:hAnsi="Arial" w:cs="Arial"/>
                <w:color w:val="000000" w:themeColor="text1"/>
                <w:sz w:val="16"/>
                <w:szCs w:val="16"/>
              </w:rPr>
              <w:t>Isocitrate dehydrogenase</w:t>
            </w:r>
          </w:p>
          <w:p w14:paraId="7169EF6D" w14:textId="77777777" w:rsidR="002B072C" w:rsidRPr="00F933A3" w:rsidRDefault="002B072C" w:rsidP="00ED34C7">
            <w:pPr>
              <w:rPr>
                <w:rFonts w:ascii="Arial" w:hAnsi="Arial" w:cs="Arial"/>
                <w:color w:val="000000" w:themeColor="text1"/>
                <w:sz w:val="16"/>
                <w:szCs w:val="16"/>
              </w:rPr>
            </w:pPr>
            <w:r w:rsidRPr="00F933A3">
              <w:rPr>
                <w:rFonts w:ascii="Arial" w:hAnsi="Arial" w:cs="Arial"/>
                <w:color w:val="000000" w:themeColor="text1"/>
                <w:sz w:val="16"/>
                <w:szCs w:val="16"/>
              </w:rPr>
              <w:t>(</w:t>
            </w:r>
            <w:r w:rsidRPr="00F933A3">
              <w:rPr>
                <w:rFonts w:ascii="Arial" w:hAnsi="Arial" w:cs="Arial"/>
                <w:i/>
                <w:color w:val="000000" w:themeColor="text1"/>
                <w:sz w:val="16"/>
                <w:szCs w:val="16"/>
              </w:rPr>
              <w:t>ID</w:t>
            </w:r>
            <w:r>
              <w:rPr>
                <w:rFonts w:ascii="Arial" w:hAnsi="Arial" w:cs="Arial"/>
                <w:i/>
                <w:color w:val="000000" w:themeColor="text1"/>
                <w:sz w:val="16"/>
                <w:szCs w:val="16"/>
              </w:rPr>
              <w:t>H</w:t>
            </w:r>
            <w:r w:rsidRPr="00F933A3">
              <w:rPr>
                <w:rFonts w:ascii="Arial" w:hAnsi="Arial" w:cs="Arial"/>
                <w:color w:val="000000" w:themeColor="text1"/>
                <w:sz w:val="16"/>
                <w:szCs w:val="16"/>
              </w:rPr>
              <w:t>)</w:t>
            </w:r>
          </w:p>
        </w:tc>
        <w:tc>
          <w:tcPr>
            <w:tcW w:w="1778" w:type="dxa"/>
            <w:gridSpan w:val="2"/>
          </w:tcPr>
          <w:p w14:paraId="5322D116" w14:textId="17402018" w:rsidR="002B072C" w:rsidRPr="001423E5" w:rsidRDefault="000372C7" w:rsidP="00ED34C7">
            <w:pPr>
              <w:contextualSpacing/>
              <w:jc w:val="center"/>
              <w:rPr>
                <w:rFonts w:ascii="Arial" w:hAnsi="Arial" w:cs="Arial"/>
                <w:color w:val="000000" w:themeColor="text1"/>
                <w:sz w:val="16"/>
                <w:szCs w:val="16"/>
              </w:rPr>
            </w:pPr>
            <w:r w:rsidRPr="000372C7">
              <w:rPr>
                <w:rFonts w:ascii="Arial" w:hAnsi="Arial" w:cs="Arial"/>
                <w:color w:val="000000" w:themeColor="text1"/>
                <w:sz w:val="16"/>
                <w:szCs w:val="16"/>
              </w:rPr>
              <w:t>Cell energy metabolism and biosynthesis</w:t>
            </w:r>
          </w:p>
        </w:tc>
        <w:tc>
          <w:tcPr>
            <w:tcW w:w="2992" w:type="dxa"/>
            <w:gridSpan w:val="2"/>
            <w:vAlign w:val="center"/>
          </w:tcPr>
          <w:p w14:paraId="08131E63" w14:textId="53893E2B" w:rsidR="002B072C" w:rsidRDefault="002B072C" w:rsidP="00ED34C7">
            <w:pPr>
              <w:contextualSpacing/>
              <w:jc w:val="center"/>
              <w:rPr>
                <w:rFonts w:ascii="Arial" w:hAnsi="Arial" w:cs="Arial"/>
                <w:color w:val="000000" w:themeColor="text1"/>
                <w:sz w:val="16"/>
                <w:szCs w:val="16"/>
              </w:rPr>
            </w:pPr>
            <w:r w:rsidRPr="001423E5">
              <w:rPr>
                <w:rFonts w:ascii="Arial" w:hAnsi="Arial" w:cs="Arial"/>
                <w:color w:val="000000" w:themeColor="text1"/>
                <w:sz w:val="16"/>
                <w:szCs w:val="16"/>
              </w:rPr>
              <w:t>GGAGGTACTGTATTTCGTGAGGC</w:t>
            </w:r>
          </w:p>
          <w:p w14:paraId="6081841E" w14:textId="77777777" w:rsidR="002B072C" w:rsidRPr="00AA588A" w:rsidRDefault="002B072C" w:rsidP="00ED34C7">
            <w:pPr>
              <w:contextualSpacing/>
              <w:jc w:val="center"/>
              <w:rPr>
                <w:rFonts w:ascii="Arial" w:hAnsi="Arial" w:cs="Arial"/>
                <w:color w:val="000000" w:themeColor="text1"/>
                <w:sz w:val="16"/>
                <w:szCs w:val="16"/>
              </w:rPr>
            </w:pPr>
            <w:r w:rsidRPr="001423E5">
              <w:rPr>
                <w:rFonts w:ascii="Arial" w:hAnsi="Arial" w:cs="Arial"/>
                <w:color w:val="000000" w:themeColor="text1"/>
                <w:sz w:val="16"/>
                <w:szCs w:val="16"/>
              </w:rPr>
              <w:t>TGATCTCCATAAGCATGACGTCC</w:t>
            </w:r>
          </w:p>
        </w:tc>
        <w:tc>
          <w:tcPr>
            <w:tcW w:w="1260" w:type="dxa"/>
            <w:gridSpan w:val="2"/>
          </w:tcPr>
          <w:p w14:paraId="63B67007"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99</w:t>
            </w:r>
          </w:p>
        </w:tc>
        <w:tc>
          <w:tcPr>
            <w:tcW w:w="1471" w:type="dxa"/>
            <w:vAlign w:val="center"/>
          </w:tcPr>
          <w:p w14:paraId="68F4A36B"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Locus2855a</w:t>
            </w:r>
          </w:p>
          <w:p w14:paraId="0C2E28C6" w14:textId="4A27F633" w:rsidR="002B072C" w:rsidRPr="001423E5" w:rsidRDefault="002B072C" w:rsidP="00ED34C7">
            <w:pPr>
              <w:jc w:val="center"/>
              <w:rPr>
                <w:rFonts w:ascii="Arial" w:hAnsi="Arial" w:cs="Arial"/>
                <w:color w:val="000000" w:themeColor="text1"/>
                <w:sz w:val="16"/>
                <w:szCs w:val="16"/>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{"citationID":"wSbC20Ke","properties":{"formattedCitation":"(Paul-Pont et al., 2016)","plainCitation":"(Paul-Pont et al., 2016)","noteIndex":0},"citationItems":[{"id":"BhjTJc6p/AxQ26eiD","uris":["http://zotero.org/users/local/3Gep4yxL/items/BWCK5REJ"],"itemData":{"id":1970,"type":"article-journal","abstract":"The effects of polystyrene microbeads (micro-PS; mix of 2 and 6 mm; ﬁnal concentration: 32 mg LÀ1) alone or in combination with ﬂuoranthene (30 mg LÀ1) on marine mussels Mytilus spp. were investigated after 7 days of exposure and 7 days of depuration under controlled laboratory conditions. Overall, ﬂuoranthene was mostly associated to algae Chaetoceros muelleri (partition coefﬁcient Log Kp ¼ 4.8) used as a food source for mussels during the experiment. When micro-PS were added in the system, a fraction of FLU transferred from the algae to the microbeads as suggested by the higher partition coefﬁcient of micro-PS (Log Kp ¼ 6.6), which conﬁrmed a high afﬁnity of ﬂuoranthene for polystyrene microparticles. However, this did not lead to a modiﬁcation of ﬂuoranthene bioaccumulation in exposed individuals, suggesting that micro-PS had a minor role in transferring ﬂuoranthene to mussels tissues in comparison with waterborne and foodborne exposures. After depuration, a higher ﬂuoranthene concentration was detected in mussels exposed to micro-PS and ﬂuoranthene, as compared to mussels exposed to ﬂuoranthene alone. This may be related to direct effect of micro-PS on detoxiﬁcation mechanisms, as suggested by a down regulation of a P-glycoprotein involved in pollutant excretion, but other factors such as an impairment of the ﬁltration activity or presence of remaining beads in the gut cannot be excluded. Micro-PS alone led to an increase in hemocyte mortality and triggered substantial modulation of cellular oxidative balance: increase in reactive oxygen species production in hemocytes and enhancement of anti-oxidant and glutathione-related enzymes in mussel tissues. Highest histopathological damages and levels of anti-oxidant markers were observed in mussels exposed to micro-PS together with ﬂuoranthene. Overall these results suggest that under the experimental conditions of our study micro-PS led to direct toxic effects at tissue, cellular and molecular levels, and modulated ﬂuoranthene kinetics and toxicity in marine mussels.","container-title":"Environmental Pollution","DOI":"10.1016/j.envpol.2016.06.039","ISSN":"02697491","journalAbbreviation":"Environmental Pollution","language":"en","page":"724-737","source":"DOI.org (Crossref)","title":"Exposure of marine mussels Mytilus spp. to polystyrene microplastics: Toxicity and influence on fluoranthene bioaccumulation","title-short":"Exposure of marine mussels Mytilus spp. to polystyrene microplastics","volume":"216","author":[{"family":"Paul-Pont","given":"Ika"},{"family":"Lacroix","given":"Camille"},{"family":"González Fernández","given":"Carmen"},{"family":"Hégaret","given":"Hélène"},{"family":"Lambert","given":"Christophe"},{"family":"Le Goïc","given":"Nelly"},{"family":"Frère","given":"Laura"},{"family":"Cassone","given":"Anne-Laure"},{"family":"Sussarellu","given":"Rossana"},{"family":"Fabioux","given":"Caroline"},{"family":"Guyomarch","given":"Julien"},{"family":"Albentosa","given":"Marina"},{"family":"Huvet","given":"Arnaud"},{"family":"Soudant","given":"Philippe"}],"issued":{"date-parts":[["2016",9]]}}}],"schema":"https://github.com/citation-style-language/schema/raw/master/csl-citation.json"} </w:instrText>
            </w:r>
            <w:r>
              <w:rPr>
                <w:rFonts w:ascii="Arial" w:hAnsi="Arial" w:cs="Arial"/>
                <w:color w:val="000000" w:themeColor="text1"/>
                <w:sz w:val="16"/>
                <w:szCs w:val="16"/>
              </w:rPr>
              <w:fldChar w:fldCharType="separate"/>
            </w:r>
            <w:r>
              <w:rPr>
                <w:rFonts w:ascii="Arial" w:hAnsi="Arial" w:cs="Arial"/>
                <w:noProof/>
                <w:color w:val="000000" w:themeColor="text1"/>
                <w:sz w:val="16"/>
                <w:szCs w:val="16"/>
              </w:rPr>
              <w:t>(Paul-Pont et al., 2016)</w:t>
            </w:r>
            <w:r>
              <w:rPr>
                <w:rFonts w:ascii="Arial" w:hAnsi="Arial" w:cs="Arial"/>
                <w:color w:val="000000" w:themeColor="text1"/>
                <w:sz w:val="16"/>
                <w:szCs w:val="16"/>
              </w:rPr>
              <w:fldChar w:fldCharType="end"/>
            </w:r>
          </w:p>
        </w:tc>
      </w:tr>
      <w:tr w:rsidR="00215FB2" w:rsidRPr="001423E5" w14:paraId="6716E4E9" w14:textId="77777777" w:rsidTr="00352840">
        <w:tc>
          <w:tcPr>
            <w:tcW w:w="9016" w:type="dxa"/>
            <w:gridSpan w:val="8"/>
          </w:tcPr>
          <w:p w14:paraId="74512F04" w14:textId="77777777" w:rsidR="00A13152" w:rsidRDefault="00A13152" w:rsidP="00ED34C7">
            <w:pPr>
              <w:rPr>
                <w:rFonts w:ascii="Arial" w:hAnsi="Arial" w:cs="Arial"/>
                <w:i/>
                <w:iCs/>
                <w:color w:val="000000" w:themeColor="text1"/>
                <w:sz w:val="16"/>
                <w:szCs w:val="16"/>
              </w:rPr>
            </w:pPr>
          </w:p>
          <w:p w14:paraId="41153ECC" w14:textId="7E1E87EB" w:rsidR="00215FB2" w:rsidRPr="00A13152" w:rsidRDefault="00215FB2" w:rsidP="00ED34C7">
            <w:pPr>
              <w:rPr>
                <w:rFonts w:ascii="Arial" w:hAnsi="Arial" w:cs="Arial"/>
                <w:i/>
                <w:iCs/>
                <w:color w:val="000000" w:themeColor="text1"/>
                <w:sz w:val="16"/>
                <w:szCs w:val="16"/>
              </w:rPr>
            </w:pPr>
            <w:proofErr w:type="spellStart"/>
            <w:r w:rsidRPr="00A13152">
              <w:rPr>
                <w:rFonts w:ascii="Arial" w:hAnsi="Arial" w:cs="Arial"/>
                <w:i/>
                <w:iCs/>
                <w:color w:val="000000" w:themeColor="text1"/>
                <w:sz w:val="16"/>
                <w:szCs w:val="16"/>
              </w:rPr>
              <w:t>Cytoprotection</w:t>
            </w:r>
            <w:proofErr w:type="spellEnd"/>
            <w:r w:rsidRPr="00A13152">
              <w:rPr>
                <w:rFonts w:ascii="Arial" w:hAnsi="Arial" w:cs="Arial"/>
                <w:i/>
                <w:iCs/>
                <w:color w:val="000000" w:themeColor="text1"/>
                <w:sz w:val="16"/>
                <w:szCs w:val="16"/>
              </w:rPr>
              <w:t>/Detoxification</w:t>
            </w:r>
          </w:p>
        </w:tc>
      </w:tr>
      <w:tr w:rsidR="002B072C" w:rsidRPr="001423E5" w14:paraId="635B0855" w14:textId="77777777" w:rsidTr="00352840">
        <w:tc>
          <w:tcPr>
            <w:tcW w:w="1515" w:type="dxa"/>
          </w:tcPr>
          <w:p w14:paraId="74589F73"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P-glycoprotein</w:t>
            </w:r>
          </w:p>
          <w:p w14:paraId="06E9F2B2"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w:t>
            </w:r>
            <w:r w:rsidRPr="001423E5">
              <w:rPr>
                <w:rFonts w:ascii="Arial" w:hAnsi="Arial" w:cs="Arial"/>
                <w:i/>
                <w:iCs/>
                <w:color w:val="000000" w:themeColor="text1"/>
                <w:sz w:val="16"/>
                <w:szCs w:val="16"/>
              </w:rPr>
              <w:t>ABCB</w:t>
            </w:r>
            <w:r w:rsidRPr="001423E5">
              <w:rPr>
                <w:rFonts w:ascii="Arial" w:hAnsi="Arial" w:cs="Arial"/>
                <w:color w:val="000000" w:themeColor="text1"/>
                <w:sz w:val="16"/>
                <w:szCs w:val="16"/>
              </w:rPr>
              <w:t>)</w:t>
            </w:r>
          </w:p>
        </w:tc>
        <w:tc>
          <w:tcPr>
            <w:tcW w:w="1778" w:type="dxa"/>
            <w:gridSpan w:val="2"/>
          </w:tcPr>
          <w:p w14:paraId="424CD53B" w14:textId="77777777" w:rsidR="002B072C" w:rsidRDefault="00536269" w:rsidP="00ED34C7">
            <w:pPr>
              <w:contextualSpacing/>
              <w:jc w:val="center"/>
              <w:rPr>
                <w:rFonts w:ascii="Arial" w:hAnsi="Arial" w:cs="Arial"/>
                <w:color w:val="000000" w:themeColor="text1"/>
                <w:sz w:val="16"/>
                <w:szCs w:val="16"/>
              </w:rPr>
            </w:pPr>
            <w:r>
              <w:rPr>
                <w:rFonts w:ascii="Arial" w:hAnsi="Arial" w:cs="Arial"/>
                <w:color w:val="000000" w:themeColor="text1"/>
                <w:sz w:val="16"/>
                <w:szCs w:val="16"/>
              </w:rPr>
              <w:t>ABC transporter – xenobiotic detoxification</w:t>
            </w:r>
          </w:p>
          <w:p w14:paraId="39E192A6" w14:textId="6E8C17F4" w:rsidR="00FB363D" w:rsidRPr="00AB7512" w:rsidRDefault="00FB363D" w:rsidP="00ED34C7">
            <w:pPr>
              <w:contextualSpacing/>
              <w:jc w:val="center"/>
              <w:rPr>
                <w:rFonts w:ascii="Arial" w:hAnsi="Arial" w:cs="Arial"/>
                <w:color w:val="000000" w:themeColor="text1"/>
                <w:sz w:val="16"/>
                <w:szCs w:val="16"/>
              </w:rPr>
            </w:pPr>
          </w:p>
        </w:tc>
        <w:tc>
          <w:tcPr>
            <w:tcW w:w="2992" w:type="dxa"/>
            <w:gridSpan w:val="2"/>
            <w:vAlign w:val="center"/>
          </w:tcPr>
          <w:p w14:paraId="58104A23" w14:textId="14206579" w:rsidR="002B072C" w:rsidRPr="00AB7512" w:rsidRDefault="002B072C" w:rsidP="00ED34C7">
            <w:pPr>
              <w:contextualSpacing/>
              <w:jc w:val="center"/>
              <w:rPr>
                <w:rFonts w:ascii="Arial" w:hAnsi="Arial" w:cs="Arial"/>
                <w:color w:val="000000" w:themeColor="text1"/>
                <w:sz w:val="16"/>
                <w:szCs w:val="16"/>
              </w:rPr>
            </w:pPr>
            <w:r w:rsidRPr="00AB7512">
              <w:rPr>
                <w:rFonts w:ascii="Arial" w:hAnsi="Arial" w:cs="Arial"/>
                <w:color w:val="000000" w:themeColor="text1"/>
                <w:sz w:val="16"/>
                <w:szCs w:val="16"/>
              </w:rPr>
              <w:t>CACCATAGCCGAGAACATCC</w:t>
            </w:r>
          </w:p>
          <w:p w14:paraId="03F918C1" w14:textId="77777777" w:rsidR="002B072C" w:rsidRPr="001423E5" w:rsidRDefault="002B072C" w:rsidP="00ED34C7">
            <w:pPr>
              <w:contextualSpacing/>
              <w:jc w:val="center"/>
              <w:rPr>
                <w:rFonts w:ascii="Arial" w:hAnsi="Arial" w:cs="Arial"/>
                <w:color w:val="000000" w:themeColor="text1"/>
                <w:sz w:val="16"/>
                <w:szCs w:val="16"/>
              </w:rPr>
            </w:pPr>
            <w:r w:rsidRPr="001423E5">
              <w:rPr>
                <w:rFonts w:ascii="Arial" w:hAnsi="Arial" w:cs="Arial"/>
                <w:color w:val="000000" w:themeColor="text1"/>
                <w:sz w:val="16"/>
                <w:szCs w:val="16"/>
              </w:rPr>
              <w:t>CTCCACGCTCTCCAACTAG</w:t>
            </w:r>
          </w:p>
        </w:tc>
        <w:tc>
          <w:tcPr>
            <w:tcW w:w="1260" w:type="dxa"/>
            <w:gridSpan w:val="2"/>
          </w:tcPr>
          <w:p w14:paraId="06375725"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112</w:t>
            </w:r>
          </w:p>
        </w:tc>
        <w:tc>
          <w:tcPr>
            <w:tcW w:w="1471" w:type="dxa"/>
            <w:vAlign w:val="center"/>
          </w:tcPr>
          <w:p w14:paraId="1416CE4E"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EF057747</w:t>
            </w:r>
          </w:p>
          <w:p w14:paraId="49F55217" w14:textId="6197C7A6" w:rsidR="002B072C" w:rsidRPr="001423E5" w:rsidRDefault="002B072C" w:rsidP="00ED34C7">
            <w:pPr>
              <w:jc w:val="center"/>
              <w:rPr>
                <w:rFonts w:ascii="Arial" w:hAnsi="Arial" w:cs="Arial"/>
                <w:color w:val="000000" w:themeColor="text1"/>
                <w:sz w:val="16"/>
                <w:szCs w:val="16"/>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{"citationID":"57WbOmnU","properties":{"formattedCitation":"(Franzellitti and Fabbri, 2013)","plainCitation":"(Franzellitti and Fabbri, 2013)","noteIndex":0},"citationItems":[{"id":"BhjTJc6p/0aEU0b9c","uris":["http://zotero.org/users/local/3Gep4yxL/items/E6EADW8N"],"itemData":{"id":1962,"type":"article-journal","abstract":"Background: The multixenobiotic resistance system (MXR) allows aquatic organisms to cope with their habitat despite high pollution levels by over-expressing membrane and intracellular transporters, including the P-glycoprotein (Pgp). In mammals transcription of the ABCB1 gene encoding Pgp is under cAMP/PKA-mediated regulation; whether this is true in mollusks is not fully clarified.\nMethodology/Principal Findings: cAMP/PKA regulation and ABCB mRNA expression were assessed in haemocytes from Mediterranean mussels (Mytilus galloprovincialis) exposed in vivo for 1 week to 0.3 ng/L fluoxetine (FX) alone or in combination with 0.3 ng/L propranolol (PROP). FX significantly decreased cAMP levels and PKA activity, and induced ABCB mRNA down-regulation. FX effects were abolished in the presence of PROP. In vitro experiments using haemocytes treated with physiological agonists (noradrenaline and serotonin) and pharmacological modulators (PROP, forskolin, dbcAMP, and H89) of the cAMP/PKA system were performed to obtain clear evidence about the involvement of the signaling pathway in the transcriptional regulation of ABCB. Serotonin (5-HT) decreased cAMP levels, PKA activity and ABCB mRNA expression but increased the mRNA levels for a putative 5-HT1 receptor. Interestingly, 5-HT1 was also over-expressed after in vivo exposures to FX. 5-HT effects were counteracted by PROP. Forskolin and dbcAMP increased PKA activity as well as ABCB mRNA expression; the latter effect was abolished in the presence of the PKA inhibitor H89.\nConclusions: This study provides the first direct evidence for the cAMP/PKA-mediated regulation of ABCB transcription in mussels.","container-title":"PLoS ONE","DOI":"10.1371/journal.pone.0061634","ISSN":"1932-6203","issue":"4","journalAbbreviation":"PLoS ONE","language":"en","page":"e61634","source":"DOI.org (Crossref)","title":"Cyclic-AMP Mediated Regulation of ABCB mRNA Expression in Mussel Haemocytes","volume":"8","author":[{"family":"Franzellitti","given":"Silvia"},{"family":"Fabbri","given":"Elena"}],"editor":[{"family":"Datta","given":"Prasun"}],"issued":{"date-parts":[["2013",4,12]]}}}],"schema":"https://github.com/citation-style-language/schema/raw/master/csl-citation.json"} </w:instrText>
            </w:r>
            <w:r>
              <w:rPr>
                <w:rFonts w:ascii="Arial" w:hAnsi="Arial" w:cs="Arial"/>
                <w:color w:val="000000" w:themeColor="text1"/>
                <w:sz w:val="16"/>
                <w:szCs w:val="16"/>
              </w:rPr>
              <w:fldChar w:fldCharType="separate"/>
            </w:r>
            <w:r>
              <w:rPr>
                <w:rFonts w:ascii="Arial" w:hAnsi="Arial" w:cs="Arial"/>
                <w:noProof/>
                <w:color w:val="000000" w:themeColor="text1"/>
                <w:sz w:val="16"/>
                <w:szCs w:val="16"/>
              </w:rPr>
              <w:t>(Franzellitti and Fabbri, 2013)</w:t>
            </w:r>
            <w:r>
              <w:rPr>
                <w:rFonts w:ascii="Arial" w:hAnsi="Arial" w:cs="Arial"/>
                <w:color w:val="000000" w:themeColor="text1"/>
                <w:sz w:val="16"/>
                <w:szCs w:val="16"/>
              </w:rPr>
              <w:fldChar w:fldCharType="end"/>
            </w:r>
          </w:p>
        </w:tc>
      </w:tr>
      <w:tr w:rsidR="002B072C" w:rsidRPr="001423E5" w14:paraId="7C3AC6EF" w14:textId="77777777" w:rsidTr="00352840">
        <w:tc>
          <w:tcPr>
            <w:tcW w:w="1515" w:type="dxa"/>
          </w:tcPr>
          <w:p w14:paraId="365B85C3"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Lysozyme</w:t>
            </w:r>
          </w:p>
          <w:p w14:paraId="70275E5B"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w:t>
            </w:r>
            <w:r w:rsidRPr="001423E5">
              <w:rPr>
                <w:rFonts w:ascii="Arial" w:hAnsi="Arial" w:cs="Arial"/>
                <w:i/>
                <w:iCs/>
                <w:color w:val="000000" w:themeColor="text1"/>
                <w:sz w:val="16"/>
                <w:szCs w:val="16"/>
              </w:rPr>
              <w:t>LYS</w:t>
            </w:r>
            <w:r w:rsidRPr="001423E5">
              <w:rPr>
                <w:rFonts w:ascii="Arial" w:hAnsi="Arial" w:cs="Arial"/>
                <w:color w:val="000000" w:themeColor="text1"/>
                <w:sz w:val="16"/>
                <w:szCs w:val="16"/>
              </w:rPr>
              <w:t>)</w:t>
            </w:r>
          </w:p>
        </w:tc>
        <w:tc>
          <w:tcPr>
            <w:tcW w:w="1778" w:type="dxa"/>
            <w:gridSpan w:val="2"/>
          </w:tcPr>
          <w:p w14:paraId="4452D98A" w14:textId="393C2371" w:rsidR="002B072C" w:rsidRPr="001423E5" w:rsidRDefault="00536269" w:rsidP="00ED34C7">
            <w:pPr>
              <w:contextualSpacing/>
              <w:jc w:val="center"/>
              <w:rPr>
                <w:rFonts w:ascii="Arial" w:hAnsi="Arial" w:cs="Arial"/>
                <w:color w:val="000000" w:themeColor="text1"/>
                <w:sz w:val="16"/>
                <w:szCs w:val="16"/>
              </w:rPr>
            </w:pPr>
            <w:r>
              <w:rPr>
                <w:rFonts w:ascii="Arial" w:hAnsi="Arial" w:cs="Arial"/>
                <w:color w:val="000000" w:themeColor="text1"/>
                <w:sz w:val="16"/>
                <w:szCs w:val="16"/>
              </w:rPr>
              <w:t>Antimicrobial peptide</w:t>
            </w:r>
          </w:p>
        </w:tc>
        <w:tc>
          <w:tcPr>
            <w:tcW w:w="2992" w:type="dxa"/>
            <w:gridSpan w:val="2"/>
            <w:vAlign w:val="center"/>
          </w:tcPr>
          <w:p w14:paraId="315BC511" w14:textId="43AFA4D2" w:rsidR="002B072C" w:rsidRPr="001423E5" w:rsidRDefault="002B072C" w:rsidP="00ED34C7">
            <w:pPr>
              <w:contextualSpacing/>
              <w:jc w:val="center"/>
              <w:rPr>
                <w:rFonts w:ascii="Arial" w:hAnsi="Arial" w:cs="Arial"/>
                <w:color w:val="000000" w:themeColor="text1"/>
                <w:sz w:val="16"/>
                <w:szCs w:val="16"/>
              </w:rPr>
            </w:pPr>
            <w:r w:rsidRPr="001423E5">
              <w:rPr>
                <w:rFonts w:ascii="Arial" w:hAnsi="Arial" w:cs="Arial"/>
                <w:color w:val="000000" w:themeColor="text1"/>
                <w:sz w:val="16"/>
                <w:szCs w:val="16"/>
              </w:rPr>
              <w:t>ATGTGGAATCTGAAGGACTTGT</w:t>
            </w:r>
            <w:r w:rsidRPr="001423E5">
              <w:rPr>
                <w:rFonts w:ascii="Arial" w:hAnsi="Arial" w:cs="Arial"/>
                <w:color w:val="000000" w:themeColor="text1"/>
                <w:sz w:val="16"/>
                <w:szCs w:val="16"/>
              </w:rPr>
              <w:br/>
              <w:t xml:space="preserve"> CCAGTATCCAATGGTGTTAGGG</w:t>
            </w:r>
          </w:p>
        </w:tc>
        <w:tc>
          <w:tcPr>
            <w:tcW w:w="1260" w:type="dxa"/>
            <w:gridSpan w:val="2"/>
          </w:tcPr>
          <w:p w14:paraId="28A3E855"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124</w:t>
            </w:r>
          </w:p>
        </w:tc>
        <w:tc>
          <w:tcPr>
            <w:tcW w:w="1471" w:type="dxa"/>
            <w:vAlign w:val="center"/>
          </w:tcPr>
          <w:p w14:paraId="3314BF79"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AF334665</w:t>
            </w:r>
          </w:p>
          <w:p w14:paraId="3E026072" w14:textId="2ABE4ED2" w:rsidR="002B072C" w:rsidRPr="001423E5" w:rsidRDefault="002B072C" w:rsidP="00ED34C7">
            <w:pPr>
              <w:jc w:val="center"/>
              <w:rPr>
                <w:rFonts w:ascii="Arial" w:hAnsi="Arial" w:cs="Arial"/>
                <w:color w:val="000000" w:themeColor="text1"/>
                <w:sz w:val="16"/>
                <w:szCs w:val="16"/>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{"citationID":"APBjNIri","properties":{"formattedCitation":"(Balbi et al., 2017)","plainCitation":"(Balbi et al., 2017)","noteIndex":0},"citationItems":[{"id":"BhjTJc6p/p7u9M0OO","uris":["http://zotero.org/users/local/3Gep4yxL/items/CW5KMMXH"],"itemData":{"id":276,"type":"article-journal","container-title":"Chemosphere","DOI":"10.1016/j.chemosphere.2017.07.120","ISSN":"00456535","journalAbbreviation":"Chemosphere","language":"en","page":"1-9","source":"DOI.org (Crossref)","title":"Impact of cationic polystyrene nanoparticles (PS-NH2) on early embryo development of Mytilus galloprovincialis: Effects on shell formation","title-short":"Impact of cationic polystyrene nanoparticles (PS-NH2) on early embryo development of Mytilus galloprovincialis","volume":"186","author":[{"family":"Balbi","given":"Teresa"},{"family":"Camisassi","given":"Giulia"},{"family":"Montagna","given":"Michele"},{"family":"Fabbri","given":"Rita"},{"family":"Franzellitti","given":"Silvia"},{"family":"Carbone","given":"Cristina"},{"family":"Dawson","given":"Kenneth"},{"family":"Canesi","given":"Laura"}],"issued":{"date-parts":[["2017",11]]}}}],"schema":"https://github.com/citation-style-language/schema/raw/master/csl-citation.json"} </w:instrText>
            </w:r>
            <w:r>
              <w:rPr>
                <w:rFonts w:ascii="Arial" w:hAnsi="Arial" w:cs="Arial"/>
                <w:color w:val="000000" w:themeColor="text1"/>
                <w:sz w:val="16"/>
                <w:szCs w:val="16"/>
              </w:rPr>
              <w:fldChar w:fldCharType="separate"/>
            </w:r>
            <w:r>
              <w:rPr>
                <w:rFonts w:ascii="Arial" w:hAnsi="Arial" w:cs="Arial"/>
                <w:noProof/>
                <w:color w:val="000000" w:themeColor="text1"/>
                <w:sz w:val="16"/>
                <w:szCs w:val="16"/>
              </w:rPr>
              <w:t>(Balbi et al., 2017)</w:t>
            </w:r>
            <w:r>
              <w:rPr>
                <w:rFonts w:ascii="Arial" w:hAnsi="Arial" w:cs="Arial"/>
                <w:color w:val="000000" w:themeColor="text1"/>
                <w:sz w:val="16"/>
                <w:szCs w:val="16"/>
              </w:rPr>
              <w:fldChar w:fldCharType="end"/>
            </w:r>
          </w:p>
        </w:tc>
      </w:tr>
      <w:tr w:rsidR="002B072C" w:rsidRPr="001423E5" w14:paraId="4DB253CE" w14:textId="77777777" w:rsidTr="00352840">
        <w:tc>
          <w:tcPr>
            <w:tcW w:w="1515" w:type="dxa"/>
          </w:tcPr>
          <w:p w14:paraId="75EEB0A3"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 xml:space="preserve">20 </w:t>
            </w:r>
            <w:proofErr w:type="spellStart"/>
            <w:r w:rsidRPr="001423E5">
              <w:rPr>
                <w:rFonts w:ascii="Arial" w:hAnsi="Arial" w:cs="Arial"/>
                <w:color w:val="000000" w:themeColor="text1"/>
                <w:sz w:val="16"/>
                <w:szCs w:val="16"/>
              </w:rPr>
              <w:t>kDa</w:t>
            </w:r>
            <w:proofErr w:type="spellEnd"/>
            <w:r w:rsidRPr="001423E5">
              <w:rPr>
                <w:rFonts w:ascii="Arial" w:hAnsi="Arial" w:cs="Arial"/>
                <w:color w:val="000000" w:themeColor="text1"/>
                <w:sz w:val="16"/>
                <w:szCs w:val="16"/>
              </w:rPr>
              <w:t xml:space="preserve"> metallothionein</w:t>
            </w:r>
          </w:p>
          <w:p w14:paraId="60FB5A1E"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w:t>
            </w:r>
            <w:r w:rsidRPr="001423E5">
              <w:rPr>
                <w:rFonts w:ascii="Arial" w:hAnsi="Arial" w:cs="Arial"/>
                <w:i/>
                <w:iCs/>
                <w:color w:val="000000" w:themeColor="text1"/>
                <w:sz w:val="16"/>
                <w:szCs w:val="16"/>
              </w:rPr>
              <w:t>MT20</w:t>
            </w:r>
            <w:r w:rsidRPr="001423E5">
              <w:rPr>
                <w:rFonts w:ascii="Arial" w:hAnsi="Arial" w:cs="Arial"/>
                <w:color w:val="000000" w:themeColor="text1"/>
                <w:sz w:val="16"/>
                <w:szCs w:val="16"/>
              </w:rPr>
              <w:t>)</w:t>
            </w:r>
          </w:p>
        </w:tc>
        <w:tc>
          <w:tcPr>
            <w:tcW w:w="1778" w:type="dxa"/>
            <w:gridSpan w:val="2"/>
          </w:tcPr>
          <w:p w14:paraId="55AC20A6" w14:textId="5A6E8B9B" w:rsidR="002B072C" w:rsidRPr="00AB7512" w:rsidRDefault="00117952" w:rsidP="00ED34C7">
            <w:pPr>
              <w:contextualSpacing/>
              <w:jc w:val="center"/>
              <w:rPr>
                <w:rFonts w:ascii="Arial" w:hAnsi="Arial" w:cs="Arial"/>
                <w:color w:val="000000" w:themeColor="text1"/>
                <w:sz w:val="16"/>
                <w:szCs w:val="16"/>
              </w:rPr>
            </w:pPr>
            <w:r w:rsidRPr="00117952">
              <w:rPr>
                <w:rFonts w:ascii="Arial" w:hAnsi="Arial" w:cs="Arial"/>
                <w:color w:val="000000" w:themeColor="text1"/>
                <w:sz w:val="16"/>
                <w:szCs w:val="16"/>
              </w:rPr>
              <w:t>Metal binding protein</w:t>
            </w:r>
            <w:r w:rsidR="00BB1148">
              <w:rPr>
                <w:rFonts w:ascii="Arial" w:hAnsi="Arial" w:cs="Arial"/>
                <w:color w:val="000000" w:themeColor="text1"/>
                <w:sz w:val="16"/>
                <w:szCs w:val="16"/>
              </w:rPr>
              <w:t xml:space="preserve"> – Metal homeostasis </w:t>
            </w:r>
          </w:p>
        </w:tc>
        <w:tc>
          <w:tcPr>
            <w:tcW w:w="2992" w:type="dxa"/>
            <w:gridSpan w:val="2"/>
            <w:vAlign w:val="center"/>
          </w:tcPr>
          <w:p w14:paraId="25BD294F" w14:textId="7EB3E02D" w:rsidR="002B072C" w:rsidRPr="00AB7512" w:rsidRDefault="002B072C" w:rsidP="00ED34C7">
            <w:pPr>
              <w:contextualSpacing/>
              <w:jc w:val="center"/>
              <w:rPr>
                <w:rFonts w:ascii="Arial" w:hAnsi="Arial" w:cs="Arial"/>
                <w:color w:val="000000" w:themeColor="text1"/>
                <w:sz w:val="16"/>
                <w:szCs w:val="16"/>
              </w:rPr>
            </w:pPr>
            <w:r w:rsidRPr="00AB7512">
              <w:rPr>
                <w:rFonts w:ascii="Arial" w:hAnsi="Arial" w:cs="Arial"/>
                <w:color w:val="000000" w:themeColor="text1"/>
                <w:sz w:val="16"/>
                <w:szCs w:val="16"/>
              </w:rPr>
              <w:t>TGTGAAAGTGGCTGCGGA</w:t>
            </w:r>
          </w:p>
          <w:p w14:paraId="64E69191" w14:textId="77777777" w:rsidR="002B072C" w:rsidRPr="001423E5" w:rsidRDefault="002B072C" w:rsidP="00ED34C7">
            <w:pPr>
              <w:contextualSpacing/>
              <w:jc w:val="center"/>
              <w:rPr>
                <w:rFonts w:ascii="Arial" w:hAnsi="Arial" w:cs="Arial"/>
                <w:color w:val="000000" w:themeColor="text1"/>
                <w:sz w:val="16"/>
                <w:szCs w:val="16"/>
              </w:rPr>
            </w:pPr>
            <w:r w:rsidRPr="001423E5">
              <w:rPr>
                <w:rFonts w:ascii="Arial" w:hAnsi="Arial" w:cs="Arial"/>
                <w:color w:val="000000" w:themeColor="text1"/>
                <w:sz w:val="16"/>
                <w:szCs w:val="16"/>
              </w:rPr>
              <w:t>GTACAGCCACATCCACACGC</w:t>
            </w:r>
          </w:p>
        </w:tc>
        <w:tc>
          <w:tcPr>
            <w:tcW w:w="1260" w:type="dxa"/>
            <w:gridSpan w:val="2"/>
          </w:tcPr>
          <w:p w14:paraId="7C6B47A8"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92</w:t>
            </w:r>
          </w:p>
        </w:tc>
        <w:tc>
          <w:tcPr>
            <w:tcW w:w="1471" w:type="dxa"/>
            <w:vAlign w:val="center"/>
          </w:tcPr>
          <w:p w14:paraId="3AA8EC05"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AY566248</w:t>
            </w:r>
          </w:p>
          <w:p w14:paraId="7D735C8C" w14:textId="2DBCFD72" w:rsidR="002B072C" w:rsidRPr="001423E5" w:rsidRDefault="002B072C" w:rsidP="00ED34C7">
            <w:pPr>
              <w:jc w:val="center"/>
              <w:rPr>
                <w:rFonts w:ascii="Arial" w:hAnsi="Arial" w:cs="Arial"/>
                <w:color w:val="000000" w:themeColor="text1"/>
                <w:sz w:val="16"/>
                <w:szCs w:val="16"/>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{"citationID":"ElV6vgYR","properties":{"formattedCitation":"(Dondero et al., 2005)","plainCitation":"(Dondero et al., 2005)","noteIndex":0},"citationItems":[{"id":"BhjTJc6p/1JnXUz9E","uris":["http://zotero.org/users/local/3Gep4yxL/items/4P7GRKA3"],"itemData":{"id":1958,"type":"article-journal","abstract":"The mRNA levels of two components of the mussel (Mytilus galloprovincialis) metallothionein (MT) gene families, MT10 and MT20, were evaluated using real-time quantitative-PCR and Sybr Green I chemistry in animals exposed to heavy metals in vivo and in primary cell cultures. This method was highly specific in detecting the expression of the two genes over a widely dynamic range of starting DNA amounts, showing that the basal level of MT expression is mostly due to MT10 mRNA. Basal MT expression reflected the intracellular concentration of heavy metal as indicated by the use of the heavy metal chelator TPEN on primary cells. MT10 was observed to be inducible by Cd, Zn, and Cu ions, and to a lesser extent by Hg. By contrast, the MT20 expression level was very low under basal conditions, while its mRNA increased dramatically in response to Cd exposure, and to a lesser extend to Hg, leading to levels of expression similar to those of the MT10 gene. The essential metals Cu and Zn had a very small effect on the MT20 gene, whereas the concomitant exposure to Cu and H2O2 produced a rapid rise of expression. In summary, data indicate that the MT isogenes are differentially regulated by heavy metals, while hydroxyl radicals may have a role in MT20 gene activation. Also, protein expression showed metal inducibility only after Cd exposure, suggesting the occurrence of posttranscriptional control mechanisms.","container-title":"Gene","DOI":"10.1016/j.gene.2004.11.031","ISSN":"03781119","issue":"2","journalAbbreviation":"Gene","language":"en","license":"https://www.elsevier.com/tdm/userlicense/1.0/","page":"259-270","source":"DOI.org (Crossref)","title":"Quantitative PCR analysis of two molluscan metallothionein genes unveils differential expression and regulation","volume":"345","author":[{"family":"Dondero","given":"Francesco"},{"family":"Piacentini","given":"Luciana"},{"family":"Banni","given":"Mohamed"},{"family":"Rebelo","given":"Mauro"},{"family":"Burlando","given":"Bruno"},{"family":"Viarengo","given":"Aldo"}],"issued":{"date-parts":[["2005",1]]}}}],"schema":"https://github.com/citation-style-language/schema/raw/master/csl-citation.json"} </w:instrText>
            </w:r>
            <w:r>
              <w:rPr>
                <w:rFonts w:ascii="Arial" w:hAnsi="Arial" w:cs="Arial"/>
                <w:color w:val="000000" w:themeColor="text1"/>
                <w:sz w:val="16"/>
                <w:szCs w:val="16"/>
              </w:rPr>
              <w:fldChar w:fldCharType="separate"/>
            </w:r>
            <w:r>
              <w:rPr>
                <w:rFonts w:ascii="Arial" w:hAnsi="Arial" w:cs="Arial"/>
                <w:noProof/>
                <w:color w:val="000000" w:themeColor="text1"/>
                <w:sz w:val="16"/>
                <w:szCs w:val="16"/>
              </w:rPr>
              <w:t>(Dondero et al., 2005)</w:t>
            </w:r>
            <w:r>
              <w:rPr>
                <w:rFonts w:ascii="Arial" w:hAnsi="Arial" w:cs="Arial"/>
                <w:color w:val="000000" w:themeColor="text1"/>
                <w:sz w:val="16"/>
                <w:szCs w:val="16"/>
              </w:rPr>
              <w:fldChar w:fldCharType="end"/>
            </w:r>
          </w:p>
        </w:tc>
      </w:tr>
      <w:tr w:rsidR="00215FB2" w:rsidRPr="001423E5" w14:paraId="0D3DFA8A" w14:textId="77777777" w:rsidTr="00352840">
        <w:tc>
          <w:tcPr>
            <w:tcW w:w="9016" w:type="dxa"/>
            <w:gridSpan w:val="8"/>
          </w:tcPr>
          <w:p w14:paraId="481AFC54" w14:textId="77777777" w:rsidR="00A13152" w:rsidRDefault="00A13152" w:rsidP="00ED34C7">
            <w:pPr>
              <w:rPr>
                <w:rFonts w:ascii="Arial" w:hAnsi="Arial" w:cs="Arial"/>
                <w:i/>
                <w:iCs/>
                <w:color w:val="000000" w:themeColor="text1"/>
                <w:sz w:val="16"/>
                <w:szCs w:val="16"/>
              </w:rPr>
            </w:pPr>
          </w:p>
          <w:p w14:paraId="4D45E3B8" w14:textId="6985ABC1" w:rsidR="00215FB2" w:rsidRPr="00A13152" w:rsidRDefault="00215FB2" w:rsidP="00ED34C7">
            <w:pPr>
              <w:rPr>
                <w:rFonts w:ascii="Arial" w:hAnsi="Arial" w:cs="Arial"/>
                <w:i/>
                <w:iCs/>
                <w:color w:val="000000" w:themeColor="text1"/>
                <w:sz w:val="16"/>
                <w:szCs w:val="16"/>
              </w:rPr>
            </w:pPr>
            <w:r w:rsidRPr="00A13152">
              <w:rPr>
                <w:rFonts w:ascii="Arial" w:hAnsi="Arial" w:cs="Arial"/>
                <w:i/>
                <w:iCs/>
                <w:color w:val="000000" w:themeColor="text1"/>
                <w:sz w:val="16"/>
                <w:szCs w:val="16"/>
              </w:rPr>
              <w:t>Lysosome function</w:t>
            </w:r>
          </w:p>
        </w:tc>
      </w:tr>
      <w:tr w:rsidR="002B072C" w:rsidRPr="001423E5" w14:paraId="23765654" w14:textId="77777777" w:rsidTr="00352840">
        <w:tc>
          <w:tcPr>
            <w:tcW w:w="1515" w:type="dxa"/>
          </w:tcPr>
          <w:p w14:paraId="1DC13ACE"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Hexosaminidase</w:t>
            </w:r>
          </w:p>
          <w:p w14:paraId="18F9ACEE"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w:t>
            </w:r>
            <w:r w:rsidRPr="001423E5">
              <w:rPr>
                <w:rFonts w:ascii="Arial" w:hAnsi="Arial" w:cs="Arial"/>
                <w:i/>
                <w:iCs/>
                <w:color w:val="000000" w:themeColor="text1"/>
                <w:sz w:val="16"/>
                <w:szCs w:val="16"/>
              </w:rPr>
              <w:t>HEX</w:t>
            </w:r>
            <w:r w:rsidRPr="001423E5">
              <w:rPr>
                <w:rFonts w:ascii="Arial" w:hAnsi="Arial" w:cs="Arial"/>
                <w:color w:val="000000" w:themeColor="text1"/>
                <w:sz w:val="16"/>
                <w:szCs w:val="16"/>
              </w:rPr>
              <w:t>)</w:t>
            </w:r>
          </w:p>
        </w:tc>
        <w:tc>
          <w:tcPr>
            <w:tcW w:w="1778" w:type="dxa"/>
            <w:gridSpan w:val="2"/>
          </w:tcPr>
          <w:p w14:paraId="304EC25D" w14:textId="64900DB3" w:rsidR="002B072C" w:rsidRPr="00AB7512" w:rsidRDefault="008B73BB" w:rsidP="00ED34C7">
            <w:pPr>
              <w:contextualSpacing/>
              <w:jc w:val="center"/>
              <w:rPr>
                <w:rFonts w:ascii="Arial" w:hAnsi="Arial" w:cs="Arial"/>
                <w:color w:val="000000" w:themeColor="text1"/>
                <w:sz w:val="16"/>
                <w:szCs w:val="16"/>
              </w:rPr>
            </w:pPr>
            <w:r>
              <w:rPr>
                <w:rFonts w:ascii="Arial" w:hAnsi="Arial" w:cs="Arial"/>
                <w:color w:val="000000" w:themeColor="text1"/>
                <w:sz w:val="16"/>
                <w:szCs w:val="16"/>
              </w:rPr>
              <w:t>Lysosomal hydrolase – marker for lysosoma</w:t>
            </w:r>
            <w:r w:rsidR="003C423E">
              <w:rPr>
                <w:rFonts w:ascii="Arial" w:hAnsi="Arial" w:cs="Arial"/>
                <w:color w:val="000000" w:themeColor="text1"/>
                <w:sz w:val="16"/>
                <w:szCs w:val="16"/>
              </w:rPr>
              <w:t xml:space="preserve">l membrane </w:t>
            </w:r>
            <w:proofErr w:type="spellStart"/>
            <w:r w:rsidR="003C423E">
              <w:rPr>
                <w:rFonts w:ascii="Arial" w:hAnsi="Arial" w:cs="Arial"/>
                <w:color w:val="000000" w:themeColor="text1"/>
                <w:sz w:val="16"/>
                <w:szCs w:val="16"/>
              </w:rPr>
              <w:t>stabilty</w:t>
            </w:r>
            <w:proofErr w:type="spellEnd"/>
          </w:p>
        </w:tc>
        <w:tc>
          <w:tcPr>
            <w:tcW w:w="2992" w:type="dxa"/>
            <w:gridSpan w:val="2"/>
            <w:vAlign w:val="center"/>
          </w:tcPr>
          <w:p w14:paraId="3D6BF3DD" w14:textId="0AC7DBFA" w:rsidR="002B072C" w:rsidRPr="00AB7512" w:rsidRDefault="002B072C" w:rsidP="00ED34C7">
            <w:pPr>
              <w:contextualSpacing/>
              <w:jc w:val="center"/>
              <w:rPr>
                <w:rFonts w:ascii="Arial" w:hAnsi="Arial" w:cs="Arial"/>
                <w:color w:val="000000" w:themeColor="text1"/>
                <w:sz w:val="16"/>
                <w:szCs w:val="16"/>
              </w:rPr>
            </w:pPr>
            <w:r w:rsidRPr="00AB7512">
              <w:rPr>
                <w:rFonts w:ascii="Arial" w:hAnsi="Arial" w:cs="Arial"/>
                <w:color w:val="000000" w:themeColor="text1"/>
                <w:sz w:val="16"/>
                <w:szCs w:val="16"/>
              </w:rPr>
              <w:t>GATACTCCAGGACACACTCAATC</w:t>
            </w:r>
          </w:p>
          <w:p w14:paraId="7177311C" w14:textId="77777777" w:rsidR="002B072C" w:rsidRPr="00AB7512" w:rsidRDefault="002B072C" w:rsidP="00ED34C7">
            <w:pPr>
              <w:contextualSpacing/>
              <w:jc w:val="center"/>
              <w:rPr>
                <w:rFonts w:ascii="Arial" w:hAnsi="Arial" w:cs="Arial"/>
                <w:color w:val="000000" w:themeColor="text1"/>
                <w:sz w:val="16"/>
                <w:szCs w:val="16"/>
              </w:rPr>
            </w:pPr>
            <w:r w:rsidRPr="00AB7512">
              <w:rPr>
                <w:rFonts w:ascii="Arial" w:hAnsi="Arial" w:cs="Arial"/>
                <w:color w:val="000000" w:themeColor="text1"/>
                <w:sz w:val="16"/>
                <w:szCs w:val="16"/>
              </w:rPr>
              <w:t>CTGGTCCATAGCTACCATCAAATA</w:t>
            </w:r>
          </w:p>
          <w:p w14:paraId="04A3F87C" w14:textId="77777777" w:rsidR="002B072C" w:rsidRPr="001423E5" w:rsidRDefault="002B072C" w:rsidP="00ED34C7">
            <w:pPr>
              <w:contextualSpacing/>
              <w:jc w:val="center"/>
              <w:rPr>
                <w:rFonts w:ascii="Arial" w:hAnsi="Arial" w:cs="Arial"/>
                <w:color w:val="000000" w:themeColor="text1"/>
                <w:sz w:val="16"/>
                <w:szCs w:val="16"/>
              </w:rPr>
            </w:pPr>
          </w:p>
        </w:tc>
        <w:tc>
          <w:tcPr>
            <w:tcW w:w="1260" w:type="dxa"/>
            <w:gridSpan w:val="2"/>
          </w:tcPr>
          <w:p w14:paraId="21806386"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101</w:t>
            </w:r>
          </w:p>
        </w:tc>
        <w:tc>
          <w:tcPr>
            <w:tcW w:w="1471" w:type="dxa"/>
            <w:vAlign w:val="center"/>
          </w:tcPr>
          <w:p w14:paraId="5576C12D" w14:textId="77777777" w:rsidR="002B072C"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EU339934</w:t>
            </w:r>
          </w:p>
          <w:p w14:paraId="47DDCFB6" w14:textId="3362FFCE" w:rsidR="002B072C" w:rsidRPr="001423E5" w:rsidRDefault="002B072C" w:rsidP="00ED34C7">
            <w:pPr>
              <w:jc w:val="center"/>
              <w:rPr>
                <w:rFonts w:ascii="Arial" w:hAnsi="Arial" w:cs="Arial"/>
                <w:color w:val="000000" w:themeColor="text1"/>
                <w:sz w:val="16"/>
                <w:szCs w:val="16"/>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{"citationID":"lw5wP5S6","properties":{"formattedCitation":"(Capolupo et al., 2018)","plainCitation":"(Capolupo et al., 2018)","noteIndex":0},"citationItems":[{"id":"BhjTJc6p/sx00huis","uris":["http://zotero.org/users/local/3Gep4yxL/items/SN4PWNZN"],"itemData":{"id":816,"type":"article-journal","abstract":"The widespread occurrence of microplastics (MP) in the marine environment is cause of increasing concerns about the safety of the exposed ecosystems. Although the effects associated to the MP uptake have been studied in most marine taxa, the knowledge about their sub-lethal impacts on early life stages of marine species is still limited. Here, we investigated the uptake/retention of 3-mm polystyrene MP by early stages of the Mediterranean mussel Mytilus galloprovincialis, and the related effects on gut clearance, feeding efﬁciency, morphological and transcriptional parameters involved in embryo-larval development. Uptake measurements were performed on larvae at 48 h, 3, 6 and 9 days post fertilization (pf) after exposure to a range of 50e10,000 particles mLÀ1. At all tested pf periods, treatments resulted in a signiﬁcant and linear increase of MP uptake with increasing concentrations, though levels measured at 48 h pf were signiﬁcantly lower compared to 3e9 d pf. Ingested MP were retained up to 192 h in larvae's gut, suggesting a physical impact on digestive functions. No change was noted between the consumption of microalgae Nannochloropsis oculata by larvae when administered alone or in the presence of an identical concentration (2000 items mLÀ1) of MP. The exposure to 50e10,000 MP mLÀ1 did not alter the morphological development of mussel embryos; however, transcriptional alterations were observed at 50 and 500 MP mLÀ1, including the up-regulation of genes involved in shell biogenesis (extrapallial protein; carbonic anhydrase; chitin synthase) and immunomodulation (myticin C; mytilin B), and the inhibition of those coding for lysosomal enzymes (hexosaminidase; b-glucorinidase; catepsin-L). In conclusion, though not highlighting morphological or feeding abnormalities, data from this study revealed the onset of physical and transcriptional impairments induced by MP in mussel larvae, indicating sub-lethal impacts which could increase their vulnerability toward further environmental stressors.","container-title":"Environmental Pollution","DOI":"10.1016/j.envpol.2018.06.035","ISSN":"02697491","journalAbbreviation":"Environmental Pollution","language":"en","page":"1038-1047","source":"DOI.org (Crossref)","title":"Uptake and transcriptional effects of polystyrene microplastics in larval stages of the Mediterranean mussel Mytilus galloprovincialis","volume":"241","author":[{"family":"Capolupo","given":"Marco"},{"family":"Franzellitti","given":"Silvia"},{"family":"Valbonesi","given":"Paola"},{"family":"Lanzas","given":"Claudia Sanz"},{"family":"Fabbri","given":"Elena"}],"issued":{"date-parts":[["2018",10]]}}}],"schema":"https://github.com/citation-style-language/schema/raw/master/csl-citation.json"} </w:instrText>
            </w:r>
            <w:r>
              <w:rPr>
                <w:rFonts w:ascii="Arial" w:hAnsi="Arial" w:cs="Arial"/>
                <w:color w:val="000000" w:themeColor="text1"/>
                <w:sz w:val="16"/>
                <w:szCs w:val="16"/>
              </w:rPr>
              <w:fldChar w:fldCharType="separate"/>
            </w:r>
            <w:r>
              <w:rPr>
                <w:rFonts w:ascii="Arial" w:hAnsi="Arial" w:cs="Arial"/>
                <w:noProof/>
                <w:color w:val="000000" w:themeColor="text1"/>
                <w:sz w:val="16"/>
                <w:szCs w:val="16"/>
              </w:rPr>
              <w:t>(Capolupo et al., 2018)</w:t>
            </w:r>
            <w:r>
              <w:rPr>
                <w:rFonts w:ascii="Arial" w:hAnsi="Arial" w:cs="Arial"/>
                <w:color w:val="000000" w:themeColor="text1"/>
                <w:sz w:val="16"/>
                <w:szCs w:val="16"/>
              </w:rPr>
              <w:fldChar w:fldCharType="end"/>
            </w:r>
          </w:p>
        </w:tc>
      </w:tr>
      <w:tr w:rsidR="002B072C" w:rsidRPr="001423E5" w14:paraId="5BF50D68" w14:textId="77777777" w:rsidTr="00352840">
        <w:tc>
          <w:tcPr>
            <w:tcW w:w="1515" w:type="dxa"/>
          </w:tcPr>
          <w:p w14:paraId="0DDAACDC"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ß-Glucuronidase</w:t>
            </w:r>
          </w:p>
          <w:p w14:paraId="19262D52"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w:t>
            </w:r>
            <w:r w:rsidRPr="001423E5">
              <w:rPr>
                <w:rFonts w:ascii="Arial" w:hAnsi="Arial" w:cs="Arial"/>
                <w:i/>
                <w:iCs/>
                <w:color w:val="000000" w:themeColor="text1"/>
                <w:sz w:val="16"/>
                <w:szCs w:val="16"/>
              </w:rPr>
              <w:t>GUSB</w:t>
            </w:r>
            <w:r w:rsidRPr="001423E5">
              <w:rPr>
                <w:rFonts w:ascii="Arial" w:hAnsi="Arial" w:cs="Arial"/>
                <w:color w:val="000000" w:themeColor="text1"/>
                <w:sz w:val="16"/>
                <w:szCs w:val="16"/>
              </w:rPr>
              <w:t>)</w:t>
            </w:r>
          </w:p>
        </w:tc>
        <w:tc>
          <w:tcPr>
            <w:tcW w:w="1778" w:type="dxa"/>
            <w:gridSpan w:val="2"/>
          </w:tcPr>
          <w:p w14:paraId="4EACF565" w14:textId="7555C27D" w:rsidR="002B072C" w:rsidRPr="00AB7512" w:rsidRDefault="003C423E" w:rsidP="00ED34C7">
            <w:pPr>
              <w:contextualSpacing/>
              <w:jc w:val="center"/>
              <w:rPr>
                <w:rFonts w:ascii="Arial" w:hAnsi="Arial" w:cs="Arial"/>
                <w:color w:val="000000" w:themeColor="text1"/>
                <w:sz w:val="16"/>
                <w:szCs w:val="16"/>
              </w:rPr>
            </w:pPr>
            <w:r>
              <w:rPr>
                <w:rFonts w:ascii="Arial" w:hAnsi="Arial" w:cs="Arial"/>
                <w:color w:val="000000" w:themeColor="text1"/>
                <w:sz w:val="16"/>
                <w:szCs w:val="16"/>
              </w:rPr>
              <w:t xml:space="preserve">Lysosomal hydrolase – Marker for </w:t>
            </w:r>
            <w:r w:rsidR="003D634D" w:rsidRPr="003D634D">
              <w:rPr>
                <w:rFonts w:ascii="Arial" w:hAnsi="Arial" w:cs="Arial"/>
                <w:color w:val="000000" w:themeColor="text1"/>
                <w:sz w:val="16"/>
                <w:szCs w:val="16"/>
              </w:rPr>
              <w:t>lysosomal structural changes</w:t>
            </w:r>
            <w:r w:rsidR="003D634D">
              <w:rPr>
                <w:rFonts w:ascii="Arial" w:hAnsi="Arial" w:cs="Arial"/>
                <w:color w:val="000000" w:themeColor="text1"/>
                <w:sz w:val="16"/>
                <w:szCs w:val="16"/>
              </w:rPr>
              <w:t xml:space="preserve"> test</w:t>
            </w:r>
          </w:p>
        </w:tc>
        <w:tc>
          <w:tcPr>
            <w:tcW w:w="2992" w:type="dxa"/>
            <w:gridSpan w:val="2"/>
            <w:vAlign w:val="center"/>
          </w:tcPr>
          <w:p w14:paraId="68A55B82" w14:textId="2130229F" w:rsidR="002B072C" w:rsidRPr="00AB7512" w:rsidRDefault="002B072C" w:rsidP="00ED34C7">
            <w:pPr>
              <w:contextualSpacing/>
              <w:jc w:val="center"/>
              <w:rPr>
                <w:rFonts w:ascii="Arial" w:hAnsi="Arial" w:cs="Arial"/>
                <w:color w:val="000000" w:themeColor="text1"/>
                <w:sz w:val="16"/>
                <w:szCs w:val="16"/>
              </w:rPr>
            </w:pPr>
            <w:r w:rsidRPr="00AB7512">
              <w:rPr>
                <w:rFonts w:ascii="Arial" w:hAnsi="Arial" w:cs="Arial"/>
                <w:color w:val="000000" w:themeColor="text1"/>
                <w:sz w:val="16"/>
                <w:szCs w:val="16"/>
              </w:rPr>
              <w:t>GCGGTCATTATCTGGTCTGTAG</w:t>
            </w:r>
          </w:p>
          <w:p w14:paraId="2AB47753" w14:textId="77777777" w:rsidR="002B072C" w:rsidRPr="001423E5" w:rsidRDefault="002B072C" w:rsidP="00ED34C7">
            <w:pPr>
              <w:contextualSpacing/>
              <w:jc w:val="center"/>
              <w:rPr>
                <w:rFonts w:ascii="Arial" w:hAnsi="Arial" w:cs="Arial"/>
                <w:color w:val="000000" w:themeColor="text1"/>
                <w:sz w:val="16"/>
                <w:szCs w:val="16"/>
              </w:rPr>
            </w:pPr>
            <w:r w:rsidRPr="001423E5">
              <w:rPr>
                <w:rFonts w:ascii="Arial" w:hAnsi="Arial" w:cs="Arial"/>
                <w:color w:val="000000" w:themeColor="text1"/>
                <w:sz w:val="16"/>
                <w:szCs w:val="16"/>
              </w:rPr>
              <w:t>CCGGTCTTGTTGGGTCTAAAT</w:t>
            </w:r>
          </w:p>
        </w:tc>
        <w:tc>
          <w:tcPr>
            <w:tcW w:w="1260" w:type="dxa"/>
            <w:gridSpan w:val="2"/>
          </w:tcPr>
          <w:p w14:paraId="6852709C"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120</w:t>
            </w:r>
          </w:p>
        </w:tc>
        <w:tc>
          <w:tcPr>
            <w:tcW w:w="1471" w:type="dxa"/>
            <w:vAlign w:val="center"/>
          </w:tcPr>
          <w:p w14:paraId="3DB6F91F"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EU339935</w:t>
            </w:r>
          </w:p>
          <w:p w14:paraId="2F7FFC0B" w14:textId="603FD273" w:rsidR="002B072C" w:rsidRPr="001423E5" w:rsidRDefault="002B072C" w:rsidP="00ED34C7">
            <w:pPr>
              <w:jc w:val="center"/>
              <w:rPr>
                <w:rFonts w:ascii="Arial" w:hAnsi="Arial" w:cs="Arial"/>
                <w:color w:val="000000" w:themeColor="text1"/>
                <w:sz w:val="16"/>
                <w:szCs w:val="16"/>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{"citationID":"uCymPB4f","properties":{"formattedCitation":"(Capolupo et al., 2018)","plainCitation":"(Capolupo et al., 2018)","noteIndex":0},"citationItems":[{"id":"BhjTJc6p/sx00huis","uris":["http://zotero.org/users/local/3Gep4yxL/items/SN4PWNZN"],"itemData":{"id":816,"type":"article-journal","abstract":"The widespread occurrence of microplastics (MP) in the marine environment is cause of increasing concerns about the safety of the exposed ecosystems. Although the effects associated to the MP uptake have been studied in most marine taxa, the knowledge about their sub-lethal impacts on early life stages of marine species is still limited. Here, we investigated the uptake/retention of 3-mm polystyrene MP by early stages of the Mediterranean mussel Mytilus galloprovincialis, and the related effects on gut clearance, feeding efﬁciency, morphological and transcriptional parameters involved in embryo-larval development. Uptake measurements were performed on larvae at 48 h, 3, 6 and 9 days post fertilization (pf) after exposure to a range of 50e10,000 particles mLÀ1. At all tested pf periods, treatments resulted in a signiﬁcant and linear increase of MP uptake with increasing concentrations, though levels measured at 48 h pf were signiﬁcantly lower compared to 3e9 d pf. Ingested MP were retained up to 192 h in larvae's gut, suggesting a physical impact on digestive functions. No change was noted between the consumption of microalgae Nannochloropsis oculata by larvae when administered alone or in the presence of an identical concentration (2000 items mLÀ1) of MP. The exposure to 50e10,000 MP mLÀ1 did not alter the morphological development of mussel embryos; however, transcriptional alterations were observed at 50 and 500 MP mLÀ1, including the up-regulation of genes involved in shell biogenesis (extrapallial protein; carbonic anhydrase; chitin synthase) and immunomodulation (myticin C; mytilin B), and the inhibition of those coding for lysosomal enzymes (hexosaminidase; b-glucorinidase; catepsin-L). In conclusion, though not highlighting morphological or feeding abnormalities, data from this study revealed the onset of physical and transcriptional impairments induced by MP in mussel larvae, indicating sub-lethal impacts which could increase their vulnerability toward further environmental stressors.","container-title":"Environmental Pollution","DOI":"10.1016/j.envpol.2018.06.035","ISSN":"02697491","journalAbbreviation":"Environmental Pollution","language":"en","page":"1038-1047","source":"DOI.org (Crossref)","title":"Uptake and transcriptional effects of polystyrene microplastics in larval stages of the Mediterranean mussel Mytilus galloprovincialis","volume":"241","author":[{"family":"Capolupo","given":"Marco"},{"family":"Franzellitti","given":"Silvia"},{"family":"Valbonesi","given":"Paola"},{"family":"Lanzas","given":"Claudia Sanz"},{"family":"Fabbri","given":"Elena"}],"issued":{"date-parts":[["2018",10]]}}}],"schema":"https://github.com/citation-style-language/schema/raw/master/csl-citation.json"} </w:instrText>
            </w:r>
            <w:r>
              <w:rPr>
                <w:rFonts w:ascii="Arial" w:hAnsi="Arial" w:cs="Arial"/>
                <w:color w:val="000000" w:themeColor="text1"/>
                <w:sz w:val="16"/>
                <w:szCs w:val="16"/>
              </w:rPr>
              <w:fldChar w:fldCharType="separate"/>
            </w:r>
            <w:r>
              <w:rPr>
                <w:rFonts w:ascii="Arial" w:hAnsi="Arial" w:cs="Arial"/>
                <w:noProof/>
                <w:color w:val="000000" w:themeColor="text1"/>
                <w:sz w:val="16"/>
                <w:szCs w:val="16"/>
              </w:rPr>
              <w:t>(Capolupo et al., 2018)</w:t>
            </w:r>
            <w:r>
              <w:rPr>
                <w:rFonts w:ascii="Arial" w:hAnsi="Arial" w:cs="Arial"/>
                <w:color w:val="000000" w:themeColor="text1"/>
                <w:sz w:val="16"/>
                <w:szCs w:val="16"/>
              </w:rPr>
              <w:fldChar w:fldCharType="end"/>
            </w:r>
          </w:p>
        </w:tc>
      </w:tr>
      <w:tr w:rsidR="002B072C" w:rsidRPr="001423E5" w14:paraId="7D8DEBD5" w14:textId="77777777" w:rsidTr="00352840">
        <w:tc>
          <w:tcPr>
            <w:tcW w:w="1515" w:type="dxa"/>
          </w:tcPr>
          <w:p w14:paraId="63103FB2"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Cathepsin L</w:t>
            </w:r>
          </w:p>
          <w:p w14:paraId="0168859B"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w:t>
            </w:r>
            <w:r w:rsidRPr="001423E5">
              <w:rPr>
                <w:rFonts w:ascii="Arial" w:hAnsi="Arial" w:cs="Arial"/>
                <w:i/>
                <w:iCs/>
                <w:color w:val="000000" w:themeColor="text1"/>
                <w:sz w:val="16"/>
                <w:szCs w:val="16"/>
              </w:rPr>
              <w:t>CTSL</w:t>
            </w:r>
            <w:r w:rsidRPr="001423E5">
              <w:rPr>
                <w:rFonts w:ascii="Arial" w:hAnsi="Arial" w:cs="Arial"/>
                <w:color w:val="000000" w:themeColor="text1"/>
                <w:sz w:val="16"/>
                <w:szCs w:val="16"/>
              </w:rPr>
              <w:t>)</w:t>
            </w:r>
          </w:p>
        </w:tc>
        <w:tc>
          <w:tcPr>
            <w:tcW w:w="1778" w:type="dxa"/>
            <w:gridSpan w:val="2"/>
          </w:tcPr>
          <w:p w14:paraId="5F3A0AC2" w14:textId="7319B8FC" w:rsidR="002B072C" w:rsidRPr="00AB7512" w:rsidRDefault="00B147BF" w:rsidP="00ED34C7">
            <w:pPr>
              <w:contextualSpacing/>
              <w:jc w:val="center"/>
              <w:rPr>
                <w:rFonts w:ascii="Arial" w:hAnsi="Arial" w:cs="Arial"/>
                <w:color w:val="000000" w:themeColor="text1"/>
                <w:sz w:val="16"/>
                <w:szCs w:val="16"/>
              </w:rPr>
            </w:pPr>
            <w:r>
              <w:rPr>
                <w:rFonts w:ascii="Arial" w:hAnsi="Arial" w:cs="Arial"/>
                <w:color w:val="000000" w:themeColor="text1"/>
                <w:sz w:val="16"/>
                <w:szCs w:val="16"/>
              </w:rPr>
              <w:t xml:space="preserve">Lysosomal cysteine protease </w:t>
            </w:r>
          </w:p>
        </w:tc>
        <w:tc>
          <w:tcPr>
            <w:tcW w:w="2992" w:type="dxa"/>
            <w:gridSpan w:val="2"/>
            <w:vAlign w:val="center"/>
          </w:tcPr>
          <w:p w14:paraId="21DA3B0A" w14:textId="67FC9055" w:rsidR="002B072C" w:rsidRPr="00AB7512" w:rsidRDefault="002B072C" w:rsidP="00ED34C7">
            <w:pPr>
              <w:contextualSpacing/>
              <w:jc w:val="center"/>
              <w:rPr>
                <w:rFonts w:ascii="Arial" w:hAnsi="Arial" w:cs="Arial"/>
                <w:color w:val="000000" w:themeColor="text1"/>
                <w:sz w:val="16"/>
                <w:szCs w:val="16"/>
              </w:rPr>
            </w:pPr>
            <w:r w:rsidRPr="00AB7512">
              <w:rPr>
                <w:rFonts w:ascii="Arial" w:hAnsi="Arial" w:cs="Arial"/>
                <w:color w:val="000000" w:themeColor="text1"/>
                <w:sz w:val="16"/>
                <w:szCs w:val="16"/>
              </w:rPr>
              <w:t>CCGAGGCTTCATACCCATATAC</w:t>
            </w:r>
          </w:p>
          <w:p w14:paraId="4C17BD29" w14:textId="77777777" w:rsidR="002B072C" w:rsidRPr="001423E5" w:rsidRDefault="002B072C" w:rsidP="00ED34C7">
            <w:pPr>
              <w:contextualSpacing/>
              <w:jc w:val="center"/>
              <w:rPr>
                <w:rFonts w:ascii="Arial" w:hAnsi="Arial" w:cs="Arial"/>
                <w:color w:val="000000" w:themeColor="text1"/>
                <w:sz w:val="16"/>
                <w:szCs w:val="16"/>
              </w:rPr>
            </w:pPr>
            <w:r w:rsidRPr="001423E5">
              <w:rPr>
                <w:rFonts w:ascii="Arial" w:hAnsi="Arial" w:cs="Arial"/>
                <w:color w:val="000000" w:themeColor="text1"/>
                <w:sz w:val="16"/>
                <w:szCs w:val="16"/>
              </w:rPr>
              <w:t>CGACAGCGGACATCAAATCT</w:t>
            </w:r>
          </w:p>
        </w:tc>
        <w:tc>
          <w:tcPr>
            <w:tcW w:w="1260" w:type="dxa"/>
            <w:gridSpan w:val="2"/>
          </w:tcPr>
          <w:p w14:paraId="45C09AA9"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92</w:t>
            </w:r>
          </w:p>
        </w:tc>
        <w:tc>
          <w:tcPr>
            <w:tcW w:w="1471" w:type="dxa"/>
            <w:vAlign w:val="center"/>
          </w:tcPr>
          <w:p w14:paraId="08FA0F94"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AY618311</w:t>
            </w:r>
          </w:p>
          <w:p w14:paraId="7C344D7F" w14:textId="1C3A0047" w:rsidR="002B072C" w:rsidRPr="001423E5" w:rsidRDefault="002B072C" w:rsidP="00ED34C7">
            <w:pPr>
              <w:jc w:val="center"/>
              <w:rPr>
                <w:rFonts w:ascii="Arial" w:hAnsi="Arial" w:cs="Arial"/>
                <w:color w:val="000000" w:themeColor="text1"/>
                <w:sz w:val="16"/>
                <w:szCs w:val="16"/>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{"citationID":"KPmGpcSt","properties":{"formattedCitation":"(Capolupo et al., 2018)","plainCitation":"(Capolupo et al., 2018)","noteIndex":0},"citationItems":[{"id":"BhjTJc6p/sx00huis","uris":["http://zotero.org/users/local/3Gep4yxL/items/SN4PWNZN"],"itemData":{"id":816,"type":"article-journal","abstract":"The widespread occurrence of microplastics (MP) in the marine environment is cause of increasing concerns about the safety of the exposed ecosystems. Although the effects associated to the MP uptake have been studied in most marine taxa, the knowledge about their sub-lethal impacts on early life stages of marine species is still limited. Here, we investigated the uptake/retention of 3-mm polystyrene MP by early stages of the Mediterranean mussel Mytilus galloprovincialis, and the related effects on gut clearance, feeding efﬁciency, morphological and transcriptional parameters involved in embryo-larval development. Uptake measurements were performed on larvae at 48 h, 3, 6 and 9 days post fertilization (pf) after exposure to a range of 50e10,000 particles mLÀ1. At all tested pf periods, treatments resulted in a signiﬁcant and linear increase of MP uptake with increasing concentrations, though levels measured at 48 h pf were signiﬁcantly lower compared to 3e9 d pf. Ingested MP were retained up to 192 h in larvae's gut, suggesting a physical impact on digestive functions. No change was noted between the consumption of microalgae Nannochloropsis oculata by larvae when administered alone or in the presence of an identical concentration (2000 items mLÀ1) of MP. The exposure to 50e10,000 MP mLÀ1 did not alter the morphological development of mussel embryos; however, transcriptional alterations were observed at 50 and 500 MP mLÀ1, including the up-regulation of genes involved in shell biogenesis (extrapallial protein; carbonic anhydrase; chitin synthase) and immunomodulation (myticin C; mytilin B), and the inhibition of those coding for lysosomal enzymes (hexosaminidase; b-glucorinidase; catepsin-L). In conclusion, though not highlighting morphological or feeding abnormalities, data from this study revealed the onset of physical and transcriptional impairments induced by MP in mussel larvae, indicating sub-lethal impacts which could increase their vulnerability toward further environmental stressors.","container-title":"Environmental Pollution","DOI":"10.1016/j.envpol.2018.06.035","ISSN":"02697491","journalAbbreviation":"Environmental Pollution","language":"en","page":"1038-1047","source":"DOI.org (Crossref)","title":"Uptake and transcriptional effects of polystyrene microplastics in larval stages of the Mediterranean mussel Mytilus galloprovincialis","volume":"241","author":[{"family":"Capolupo","given":"Marco"},{"family":"Franzellitti","given":"Silvia"},{"family":"Valbonesi","given":"Paola"},{"family":"Lanzas","given":"Claudia Sanz"},{"family":"Fabbri","given":"Elena"}],"issued":{"date-parts":[["2018",10]]}}}],"schema":"https://github.com/citation-style-language/schema/raw/master/csl-citation.json"} </w:instrText>
            </w:r>
            <w:r>
              <w:rPr>
                <w:rFonts w:ascii="Arial" w:hAnsi="Arial" w:cs="Arial"/>
                <w:color w:val="000000" w:themeColor="text1"/>
                <w:sz w:val="16"/>
                <w:szCs w:val="16"/>
              </w:rPr>
              <w:fldChar w:fldCharType="separate"/>
            </w:r>
            <w:r>
              <w:rPr>
                <w:rFonts w:ascii="Arial" w:hAnsi="Arial" w:cs="Arial"/>
                <w:noProof/>
                <w:color w:val="000000" w:themeColor="text1"/>
                <w:sz w:val="16"/>
                <w:szCs w:val="16"/>
              </w:rPr>
              <w:t>(Capolupo et al., 2018)</w:t>
            </w:r>
            <w:r>
              <w:rPr>
                <w:rFonts w:ascii="Arial" w:hAnsi="Arial" w:cs="Arial"/>
                <w:color w:val="000000" w:themeColor="text1"/>
                <w:sz w:val="16"/>
                <w:szCs w:val="16"/>
              </w:rPr>
              <w:fldChar w:fldCharType="end"/>
            </w:r>
          </w:p>
        </w:tc>
      </w:tr>
      <w:tr w:rsidR="00215FB2" w:rsidRPr="001423E5" w14:paraId="53491EA3" w14:textId="77777777" w:rsidTr="00352840">
        <w:tc>
          <w:tcPr>
            <w:tcW w:w="9016" w:type="dxa"/>
            <w:gridSpan w:val="8"/>
          </w:tcPr>
          <w:p w14:paraId="302524FB" w14:textId="77777777" w:rsidR="00215FB2" w:rsidRDefault="00215FB2" w:rsidP="00ED34C7">
            <w:pPr>
              <w:jc w:val="center"/>
              <w:rPr>
                <w:rFonts w:ascii="Arial" w:hAnsi="Arial" w:cs="Arial"/>
                <w:b/>
                <w:bCs/>
                <w:i/>
                <w:iCs/>
                <w:color w:val="000000" w:themeColor="text1"/>
                <w:sz w:val="16"/>
                <w:szCs w:val="16"/>
              </w:rPr>
            </w:pPr>
            <w:r w:rsidRPr="001F38FE">
              <w:rPr>
                <w:rFonts w:ascii="Arial" w:hAnsi="Arial" w:cs="Arial"/>
                <w:b/>
                <w:bCs/>
                <w:i/>
                <w:iCs/>
                <w:color w:val="000000" w:themeColor="text1"/>
                <w:sz w:val="16"/>
                <w:szCs w:val="16"/>
              </w:rPr>
              <w:t>Target genes assessed in mantl</w:t>
            </w:r>
            <w:r>
              <w:rPr>
                <w:rFonts w:ascii="Arial" w:hAnsi="Arial" w:cs="Arial"/>
                <w:b/>
                <w:bCs/>
                <w:i/>
                <w:iCs/>
                <w:color w:val="000000" w:themeColor="text1"/>
                <w:sz w:val="16"/>
                <w:szCs w:val="16"/>
              </w:rPr>
              <w:t>es</w:t>
            </w:r>
          </w:p>
          <w:p w14:paraId="489D3D65" w14:textId="6A992EB9" w:rsidR="006E51EA" w:rsidRPr="001F38FE" w:rsidRDefault="006E51EA" w:rsidP="00ED34C7">
            <w:pPr>
              <w:jc w:val="center"/>
              <w:rPr>
                <w:rFonts w:ascii="Arial" w:hAnsi="Arial" w:cs="Arial"/>
                <w:b/>
                <w:bCs/>
                <w:i/>
                <w:iCs/>
                <w:color w:val="000000" w:themeColor="text1"/>
                <w:sz w:val="16"/>
                <w:szCs w:val="16"/>
              </w:rPr>
            </w:pPr>
          </w:p>
        </w:tc>
      </w:tr>
      <w:tr w:rsidR="00215FB2" w:rsidRPr="001423E5" w14:paraId="42225EB7" w14:textId="77777777" w:rsidTr="00352840">
        <w:tc>
          <w:tcPr>
            <w:tcW w:w="9016" w:type="dxa"/>
            <w:gridSpan w:val="8"/>
          </w:tcPr>
          <w:p w14:paraId="37292FFA" w14:textId="6456CA83" w:rsidR="00215FB2" w:rsidRPr="00A13152" w:rsidRDefault="00215FB2" w:rsidP="00ED34C7">
            <w:pPr>
              <w:rPr>
                <w:rFonts w:ascii="Arial" w:hAnsi="Arial" w:cs="Arial"/>
                <w:i/>
                <w:iCs/>
                <w:color w:val="000000" w:themeColor="text1"/>
                <w:sz w:val="16"/>
                <w:szCs w:val="16"/>
              </w:rPr>
            </w:pPr>
            <w:r w:rsidRPr="00A13152">
              <w:rPr>
                <w:rFonts w:ascii="Arial" w:hAnsi="Arial" w:cs="Arial"/>
                <w:i/>
                <w:iCs/>
                <w:color w:val="000000" w:themeColor="text1"/>
                <w:sz w:val="16"/>
                <w:szCs w:val="16"/>
              </w:rPr>
              <w:t>Neuroendocrine control</w:t>
            </w:r>
          </w:p>
        </w:tc>
      </w:tr>
      <w:tr w:rsidR="002B072C" w:rsidRPr="00235304" w14:paraId="5E8FCB0D" w14:textId="77777777" w:rsidTr="00352840">
        <w:tc>
          <w:tcPr>
            <w:tcW w:w="1515" w:type="dxa"/>
          </w:tcPr>
          <w:p w14:paraId="3B98649A"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Serotonin receptor</w:t>
            </w:r>
          </w:p>
          <w:p w14:paraId="605844C8"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w:t>
            </w:r>
            <w:r w:rsidRPr="001423E5">
              <w:rPr>
                <w:rFonts w:ascii="Arial" w:hAnsi="Arial" w:cs="Arial"/>
                <w:i/>
                <w:iCs/>
                <w:color w:val="000000" w:themeColor="text1"/>
                <w:sz w:val="16"/>
                <w:szCs w:val="16"/>
              </w:rPr>
              <w:t>5-HT</w:t>
            </w:r>
            <w:r>
              <w:rPr>
                <w:rFonts w:ascii="Arial" w:hAnsi="Arial" w:cs="Arial"/>
                <w:i/>
                <w:iCs/>
                <w:color w:val="000000" w:themeColor="text1"/>
                <w:sz w:val="16"/>
                <w:szCs w:val="16"/>
              </w:rPr>
              <w:t>1</w:t>
            </w:r>
            <w:r w:rsidRPr="001423E5">
              <w:rPr>
                <w:rFonts w:ascii="Arial" w:hAnsi="Arial" w:cs="Arial"/>
                <w:color w:val="000000" w:themeColor="text1"/>
                <w:sz w:val="16"/>
                <w:szCs w:val="16"/>
              </w:rPr>
              <w:t>)</w:t>
            </w:r>
          </w:p>
        </w:tc>
        <w:tc>
          <w:tcPr>
            <w:tcW w:w="1778" w:type="dxa"/>
            <w:gridSpan w:val="2"/>
          </w:tcPr>
          <w:p w14:paraId="5F1A5ED9" w14:textId="77777777" w:rsidR="002B072C" w:rsidRDefault="00BB1148" w:rsidP="00ED34C7">
            <w:pPr>
              <w:contextualSpacing/>
              <w:jc w:val="center"/>
              <w:rPr>
                <w:rFonts w:ascii="Arial" w:hAnsi="Arial" w:cs="Arial"/>
                <w:color w:val="000000" w:themeColor="text1"/>
                <w:sz w:val="16"/>
                <w:szCs w:val="16"/>
              </w:rPr>
            </w:pPr>
            <w:r>
              <w:rPr>
                <w:rFonts w:ascii="Arial" w:hAnsi="Arial" w:cs="Arial"/>
                <w:color w:val="000000" w:themeColor="text1"/>
                <w:sz w:val="16"/>
                <w:szCs w:val="16"/>
              </w:rPr>
              <w:t xml:space="preserve">Type 1 serotonin receptor </w:t>
            </w:r>
            <w:r w:rsidR="006B7956">
              <w:rPr>
                <w:rFonts w:ascii="Arial" w:hAnsi="Arial" w:cs="Arial"/>
                <w:color w:val="000000" w:themeColor="text1"/>
                <w:sz w:val="16"/>
                <w:szCs w:val="16"/>
              </w:rPr>
              <w:t xml:space="preserve">– serotoninergic signaling pathway </w:t>
            </w:r>
          </w:p>
          <w:p w14:paraId="0B172B55" w14:textId="66E6FD1D" w:rsidR="00FB363D" w:rsidRPr="00494BB4" w:rsidRDefault="00FB363D" w:rsidP="00ED34C7">
            <w:pPr>
              <w:contextualSpacing/>
              <w:jc w:val="center"/>
              <w:rPr>
                <w:rFonts w:ascii="Arial" w:hAnsi="Arial" w:cs="Arial"/>
                <w:color w:val="000000" w:themeColor="text1"/>
                <w:sz w:val="16"/>
                <w:szCs w:val="16"/>
              </w:rPr>
            </w:pPr>
          </w:p>
        </w:tc>
        <w:tc>
          <w:tcPr>
            <w:tcW w:w="2992" w:type="dxa"/>
            <w:gridSpan w:val="2"/>
            <w:vAlign w:val="center"/>
          </w:tcPr>
          <w:p w14:paraId="35538885" w14:textId="28CE3D6C" w:rsidR="002B072C" w:rsidRPr="00494BB4" w:rsidRDefault="002B072C" w:rsidP="00ED34C7">
            <w:pPr>
              <w:contextualSpacing/>
              <w:jc w:val="center"/>
              <w:rPr>
                <w:rFonts w:ascii="Arial" w:hAnsi="Arial" w:cs="Arial"/>
                <w:color w:val="000000" w:themeColor="text1"/>
                <w:sz w:val="16"/>
                <w:szCs w:val="16"/>
              </w:rPr>
            </w:pPr>
            <w:r w:rsidRPr="00494BB4">
              <w:rPr>
                <w:rFonts w:ascii="Arial" w:hAnsi="Arial" w:cs="Arial"/>
                <w:color w:val="000000" w:themeColor="text1"/>
                <w:sz w:val="16"/>
                <w:szCs w:val="16"/>
              </w:rPr>
              <w:lastRenderedPageBreak/>
              <w:t xml:space="preserve">CAGCTGCAAGATCGAGGATT TGAAGCCATCTTGACTGACG </w:t>
            </w:r>
          </w:p>
          <w:p w14:paraId="60A92451" w14:textId="77777777" w:rsidR="002B072C" w:rsidRPr="001423E5" w:rsidRDefault="002B072C" w:rsidP="00ED34C7">
            <w:pPr>
              <w:contextualSpacing/>
              <w:jc w:val="center"/>
              <w:rPr>
                <w:rFonts w:ascii="Arial" w:hAnsi="Arial" w:cs="Arial"/>
                <w:color w:val="000000" w:themeColor="text1"/>
                <w:sz w:val="16"/>
                <w:szCs w:val="16"/>
              </w:rPr>
            </w:pPr>
          </w:p>
        </w:tc>
        <w:tc>
          <w:tcPr>
            <w:tcW w:w="1260" w:type="dxa"/>
            <w:gridSpan w:val="2"/>
          </w:tcPr>
          <w:p w14:paraId="53E314A3"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117</w:t>
            </w:r>
          </w:p>
        </w:tc>
        <w:tc>
          <w:tcPr>
            <w:tcW w:w="1471" w:type="dxa"/>
            <w:vAlign w:val="center"/>
          </w:tcPr>
          <w:p w14:paraId="499B898E" w14:textId="77777777" w:rsidR="002B072C" w:rsidRPr="00885D50" w:rsidRDefault="002B072C" w:rsidP="00ED34C7">
            <w:pPr>
              <w:jc w:val="center"/>
              <w:rPr>
                <w:rFonts w:ascii="Arial" w:hAnsi="Arial" w:cs="Arial"/>
                <w:color w:val="000000" w:themeColor="text1"/>
                <w:sz w:val="16"/>
                <w:szCs w:val="16"/>
              </w:rPr>
            </w:pPr>
            <w:r w:rsidRPr="00885D50">
              <w:rPr>
                <w:rFonts w:ascii="Arial" w:hAnsi="Arial" w:cs="Arial"/>
                <w:color w:val="000000" w:themeColor="text1"/>
                <w:sz w:val="16"/>
                <w:szCs w:val="16"/>
              </w:rPr>
              <w:t>AB526218</w:t>
            </w:r>
          </w:p>
          <w:p w14:paraId="6EF8EC57" w14:textId="6BBE1B95" w:rsidR="002B072C" w:rsidRPr="002F2FA5" w:rsidRDefault="002B072C" w:rsidP="00ED34C7">
            <w:pPr>
              <w:jc w:val="center"/>
              <w:rPr>
                <w:rFonts w:ascii="Arial" w:hAnsi="Arial" w:cs="Arial"/>
                <w:color w:val="000000" w:themeColor="text1"/>
                <w:sz w:val="16"/>
                <w:szCs w:val="16"/>
                <w:lang w:val="it-IT"/>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{"citationID":"CBGfswl0","properties":{"formattedCitation":"(Cubero-Leon et al., 2010)","plainCitation":"(Cubero-Leon et al., 2010)","noteIndex":0},"citationItems":[{"id":"BhjTJc6p/TILWRlKG","uris":["http://zotero.org/users/local/3Gep4yxL/items/4VPP2WU9"],"itemData":{"id":1818,"type":"article-journal","abstract":"Estrogenic contaminants in the aquatic environment are associated with feminisation of male ﬁsh, however their effects on some invertebrate species, such as bivalve molluscs, have yet to be characterised. Gametogenesis represents a critical step in the reproductive process and is subjected to hormonal control by serotonin (5-HT), prostaglandins (synthesised by cyclooxygenases-COX) and steroids such as 17</w:instrText>
            </w:r>
            <w:r w:rsidR="00CD4039">
              <w:rPr>
                <w:rFonts w:ascii="Segoe UI Symbol" w:hAnsi="Segoe UI Symbol" w:cs="Segoe UI Symbol"/>
                <w:color w:val="000000" w:themeColor="text1"/>
                <w:sz w:val="16"/>
                <w:szCs w:val="16"/>
              </w:rPr>
              <w:instrText>␤</w:instrText>
            </w:r>
            <w:r w:rsidR="00CD4039">
              <w:rPr>
                <w:rFonts w:ascii="Arial" w:hAnsi="Arial" w:cs="Arial"/>
                <w:color w:val="000000" w:themeColor="text1"/>
                <w:sz w:val="16"/>
                <w:szCs w:val="16"/>
              </w:rPr>
              <w:instrText xml:space="preserve">estradiol (E2). Here, we examine the responses of 5-HT receptor and COX mRNA expression in mussels, Mytilus edulis, exposed to estrogenic compounds during different stages of their reproductive cycle.","container-title":"Aquatic Toxicology","DOI":"10.1016/j.aquatox.2010.02.007","ISSN":"0166445X","issue":"2","journalAbbreviation":"Aquatic Toxicology","language":"en","license":"https://www.elsevier.com/tdm/userlicense/1.0/","page":"178-187","source":"DOI.org (Crossref)","title":"Estrogens disrupt serotonin receptor and cyclooxygenase mRNA expression in the gonads of mussels (Mytilus edulis)","volume":"98","author":[{"family":"Cubero-Leon","given":"Elena"},{"family":"Ciocan","given":"Corina M."},{"family":"Hill","given":"Elizabeth M."},{"family":"Osada","given":"Makoto"},{"family":"Kishida","given":"Mitsuyo"},{"family":"Itoh","given":"Naoki"},{"family":"Kondo","given":"Reki"},{"family":"Minier","given":"Christophe"},{"family":"Rotchell","given":"Jeanette M."}],"issued":{"date-parts":[["2010",6]]}}}],"schema":"https://github.com/citation-style-language/schema/raw/master/csl-citation.json"} </w:instrText>
            </w:r>
            <w:r>
              <w:rPr>
                <w:rFonts w:ascii="Arial" w:hAnsi="Arial" w:cs="Arial"/>
                <w:color w:val="000000" w:themeColor="text1"/>
                <w:sz w:val="16"/>
                <w:szCs w:val="16"/>
              </w:rPr>
              <w:fldChar w:fldCharType="separate"/>
            </w:r>
            <w:r w:rsidRPr="002F2FA5">
              <w:rPr>
                <w:rFonts w:ascii="Arial" w:hAnsi="Arial" w:cs="Arial"/>
                <w:noProof/>
                <w:color w:val="000000" w:themeColor="text1"/>
                <w:sz w:val="16"/>
                <w:szCs w:val="16"/>
                <w:lang w:val="it-IT"/>
              </w:rPr>
              <w:t>(Cubero-Leon et al., 2010)</w:t>
            </w:r>
            <w:r>
              <w:rPr>
                <w:rFonts w:ascii="Arial" w:hAnsi="Arial" w:cs="Arial"/>
                <w:color w:val="000000" w:themeColor="text1"/>
                <w:sz w:val="16"/>
                <w:szCs w:val="16"/>
              </w:rPr>
              <w:fldChar w:fldCharType="end"/>
            </w:r>
          </w:p>
        </w:tc>
      </w:tr>
      <w:tr w:rsidR="002B072C" w:rsidRPr="001423E5" w14:paraId="3A0DDD71" w14:textId="77777777" w:rsidTr="00352840">
        <w:tc>
          <w:tcPr>
            <w:tcW w:w="1515" w:type="dxa"/>
          </w:tcPr>
          <w:p w14:paraId="4D6D9EE5"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Estrogen receptor 1</w:t>
            </w:r>
          </w:p>
          <w:p w14:paraId="0175839F"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w:t>
            </w:r>
            <w:r w:rsidRPr="001423E5">
              <w:rPr>
                <w:rFonts w:ascii="Arial" w:hAnsi="Arial" w:cs="Arial"/>
                <w:i/>
                <w:iCs/>
                <w:color w:val="000000" w:themeColor="text1"/>
                <w:sz w:val="16"/>
                <w:szCs w:val="16"/>
              </w:rPr>
              <w:t>MeER1</w:t>
            </w:r>
            <w:r w:rsidRPr="001423E5">
              <w:rPr>
                <w:rFonts w:ascii="Arial" w:hAnsi="Arial" w:cs="Arial"/>
                <w:color w:val="000000" w:themeColor="text1"/>
                <w:sz w:val="16"/>
                <w:szCs w:val="16"/>
              </w:rPr>
              <w:t>)</w:t>
            </w:r>
          </w:p>
        </w:tc>
        <w:tc>
          <w:tcPr>
            <w:tcW w:w="1778" w:type="dxa"/>
            <w:gridSpan w:val="2"/>
          </w:tcPr>
          <w:p w14:paraId="42BE1E00" w14:textId="60844B20" w:rsidR="002B072C" w:rsidRPr="00494BB4" w:rsidRDefault="00694FEE" w:rsidP="00ED34C7">
            <w:pPr>
              <w:contextualSpacing/>
              <w:jc w:val="center"/>
              <w:rPr>
                <w:rFonts w:ascii="Arial" w:hAnsi="Arial" w:cs="Arial"/>
                <w:color w:val="000000" w:themeColor="text1"/>
                <w:sz w:val="16"/>
                <w:szCs w:val="16"/>
              </w:rPr>
            </w:pPr>
            <w:r>
              <w:rPr>
                <w:rFonts w:ascii="Arial" w:hAnsi="Arial" w:cs="Arial"/>
                <w:color w:val="000000" w:themeColor="text1"/>
                <w:sz w:val="16"/>
                <w:szCs w:val="16"/>
              </w:rPr>
              <w:t xml:space="preserve">Steroid hormone </w:t>
            </w:r>
            <w:r w:rsidR="003E3D13">
              <w:rPr>
                <w:rFonts w:ascii="Arial" w:hAnsi="Arial" w:cs="Arial"/>
                <w:color w:val="000000" w:themeColor="text1"/>
                <w:sz w:val="16"/>
                <w:szCs w:val="16"/>
              </w:rPr>
              <w:t xml:space="preserve">related </w:t>
            </w:r>
            <w:r>
              <w:rPr>
                <w:rFonts w:ascii="Arial" w:hAnsi="Arial" w:cs="Arial"/>
                <w:color w:val="000000" w:themeColor="text1"/>
                <w:sz w:val="16"/>
                <w:szCs w:val="16"/>
              </w:rPr>
              <w:t>receptor</w:t>
            </w:r>
          </w:p>
        </w:tc>
        <w:tc>
          <w:tcPr>
            <w:tcW w:w="2992" w:type="dxa"/>
            <w:gridSpan w:val="2"/>
            <w:vAlign w:val="center"/>
          </w:tcPr>
          <w:p w14:paraId="144728BB" w14:textId="2D94DBB9" w:rsidR="002B072C" w:rsidRPr="00494BB4" w:rsidRDefault="002B072C" w:rsidP="00ED34C7">
            <w:pPr>
              <w:contextualSpacing/>
              <w:jc w:val="center"/>
              <w:rPr>
                <w:rFonts w:ascii="Arial" w:hAnsi="Arial" w:cs="Arial"/>
                <w:color w:val="000000" w:themeColor="text1"/>
                <w:sz w:val="16"/>
                <w:szCs w:val="16"/>
              </w:rPr>
            </w:pPr>
            <w:r w:rsidRPr="00494BB4">
              <w:rPr>
                <w:rFonts w:ascii="Arial" w:hAnsi="Arial" w:cs="Arial"/>
                <w:color w:val="000000" w:themeColor="text1"/>
                <w:sz w:val="16"/>
                <w:szCs w:val="16"/>
              </w:rPr>
              <w:t xml:space="preserve">TTACGAGAAGGTGTGCGTTT TCACCATAGGAAGGATATGT </w:t>
            </w:r>
          </w:p>
          <w:p w14:paraId="08F249BB" w14:textId="77777777" w:rsidR="002B072C" w:rsidRPr="001423E5" w:rsidRDefault="002B072C" w:rsidP="00ED34C7">
            <w:pPr>
              <w:contextualSpacing/>
              <w:jc w:val="center"/>
              <w:rPr>
                <w:rFonts w:ascii="Arial" w:hAnsi="Arial" w:cs="Arial"/>
                <w:color w:val="000000" w:themeColor="text1"/>
                <w:sz w:val="16"/>
                <w:szCs w:val="16"/>
              </w:rPr>
            </w:pPr>
          </w:p>
        </w:tc>
        <w:tc>
          <w:tcPr>
            <w:tcW w:w="1260" w:type="dxa"/>
            <w:gridSpan w:val="2"/>
          </w:tcPr>
          <w:p w14:paraId="520347F6"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101</w:t>
            </w:r>
          </w:p>
        </w:tc>
        <w:tc>
          <w:tcPr>
            <w:tcW w:w="1471" w:type="dxa"/>
            <w:vAlign w:val="center"/>
          </w:tcPr>
          <w:p w14:paraId="62EC9353" w14:textId="77777777" w:rsidR="002B072C" w:rsidRPr="00494BB4" w:rsidRDefault="002B072C" w:rsidP="00ED34C7">
            <w:pPr>
              <w:jc w:val="center"/>
              <w:rPr>
                <w:rFonts w:ascii="Arial" w:hAnsi="Arial" w:cs="Arial"/>
                <w:color w:val="000000" w:themeColor="text1"/>
                <w:sz w:val="16"/>
                <w:szCs w:val="16"/>
              </w:rPr>
            </w:pPr>
            <w:r w:rsidRPr="00494BB4">
              <w:rPr>
                <w:rFonts w:ascii="Arial" w:hAnsi="Arial" w:cs="Arial"/>
                <w:color w:val="000000" w:themeColor="text1"/>
                <w:sz w:val="16"/>
                <w:szCs w:val="16"/>
              </w:rPr>
              <w:t>AB257132</w:t>
            </w:r>
          </w:p>
          <w:p w14:paraId="28DCCF6A" w14:textId="505EC4E7" w:rsidR="002B072C" w:rsidRPr="001423E5" w:rsidRDefault="002B072C" w:rsidP="00ED34C7">
            <w:pPr>
              <w:jc w:val="center"/>
              <w:rPr>
                <w:rFonts w:ascii="Arial" w:hAnsi="Arial" w:cs="Arial"/>
                <w:color w:val="000000" w:themeColor="text1"/>
                <w:sz w:val="16"/>
                <w:szCs w:val="16"/>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{"citationID":"e5Le6DWs","properties":{"formattedCitation":"(Puinean and Rotchell, 2006)","plainCitation":"(Puinean and Rotchell, 2006)","noteIndex":0},"citationItems":[{"id":"BhjTJc6p/SrSmt2pl","uris":["http://zotero.org/users/local/3Gep4yxL/items/BKKYLUUC"],"itemData":{"id":1956,"type":"article-journal","abstract":"Vitellogenin levels are often used as a biomarker of endocrine disruption in ﬁsh. For invertebrates, there is a general lack of knowledge regarding endocrine regulation and, consequently, there are few direct biomarkers of endocrine disruption in such species. This study focuses on the marine mussel Mytilus edulis, which is often employed in biomonitoring studies. A partial vitellogenin mRNA has been isolated and gene expression quantiﬁed using real-time PCR.","container-title":"Marine Environmental Research","DOI":"10.1016/j.marenvres.2006.04.035","ISSN":"01411136","journalAbbreviation":"Marine Environmental Research","language":"en","license":"https://www.elsevier.com/tdm/userlicense/1.0/","page":"S211-S214","source":"DOI.org (Crossref)","title":"Vitellogenin gene expression as a biomarker of endocrine disruption in the invertebrate, Mytilus edulis","volume":"62","author":[{"family":"Puinean","given":"Alin-Mirel"},{"family":"Rotchell","given":"Jeanette M."}],"issued":{"date-parts":[["2006",1]]}}}],"schema":"https://github.com/citation-style-language/schema/raw/master/csl-citation.json"} </w:instrText>
            </w:r>
            <w:r>
              <w:rPr>
                <w:rFonts w:ascii="Arial" w:hAnsi="Arial" w:cs="Arial"/>
                <w:color w:val="000000" w:themeColor="text1"/>
                <w:sz w:val="16"/>
                <w:szCs w:val="16"/>
              </w:rPr>
              <w:fldChar w:fldCharType="separate"/>
            </w:r>
            <w:r>
              <w:rPr>
                <w:rFonts w:ascii="Arial" w:hAnsi="Arial" w:cs="Arial"/>
                <w:noProof/>
                <w:color w:val="000000" w:themeColor="text1"/>
                <w:sz w:val="16"/>
                <w:szCs w:val="16"/>
              </w:rPr>
              <w:t>(Puinean and Rotchell, 2006)</w:t>
            </w:r>
            <w:r>
              <w:rPr>
                <w:rFonts w:ascii="Arial" w:hAnsi="Arial" w:cs="Arial"/>
                <w:color w:val="000000" w:themeColor="text1"/>
                <w:sz w:val="16"/>
                <w:szCs w:val="16"/>
              </w:rPr>
              <w:fldChar w:fldCharType="end"/>
            </w:r>
          </w:p>
        </w:tc>
      </w:tr>
      <w:tr w:rsidR="002B072C" w:rsidRPr="001423E5" w14:paraId="6F682582" w14:textId="77777777" w:rsidTr="00352840">
        <w:tc>
          <w:tcPr>
            <w:tcW w:w="1515" w:type="dxa"/>
          </w:tcPr>
          <w:p w14:paraId="40F4F9EA"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Estrogen receptor 2</w:t>
            </w:r>
          </w:p>
          <w:p w14:paraId="112452E3"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w:t>
            </w:r>
            <w:r w:rsidRPr="001423E5">
              <w:rPr>
                <w:rFonts w:ascii="Arial" w:hAnsi="Arial" w:cs="Arial"/>
                <w:i/>
                <w:iCs/>
                <w:color w:val="000000" w:themeColor="text1"/>
                <w:sz w:val="16"/>
                <w:szCs w:val="16"/>
              </w:rPr>
              <w:t>MeER2</w:t>
            </w:r>
            <w:r w:rsidRPr="001423E5">
              <w:rPr>
                <w:rFonts w:ascii="Arial" w:hAnsi="Arial" w:cs="Arial"/>
                <w:color w:val="000000" w:themeColor="text1"/>
                <w:sz w:val="16"/>
                <w:szCs w:val="16"/>
              </w:rPr>
              <w:t>)</w:t>
            </w:r>
          </w:p>
        </w:tc>
        <w:tc>
          <w:tcPr>
            <w:tcW w:w="1778" w:type="dxa"/>
            <w:gridSpan w:val="2"/>
          </w:tcPr>
          <w:p w14:paraId="1ED38092" w14:textId="1893DC6D" w:rsidR="002B072C" w:rsidRPr="00494BB4" w:rsidRDefault="00694FEE" w:rsidP="00ED34C7">
            <w:pPr>
              <w:contextualSpacing/>
              <w:jc w:val="center"/>
              <w:rPr>
                <w:rFonts w:ascii="Arial" w:hAnsi="Arial" w:cs="Arial"/>
                <w:color w:val="000000" w:themeColor="text1"/>
                <w:sz w:val="16"/>
                <w:szCs w:val="16"/>
              </w:rPr>
            </w:pPr>
            <w:r>
              <w:rPr>
                <w:rFonts w:ascii="Arial" w:hAnsi="Arial" w:cs="Arial"/>
                <w:color w:val="000000" w:themeColor="text1"/>
                <w:sz w:val="16"/>
                <w:szCs w:val="16"/>
              </w:rPr>
              <w:t>Steroid hormone receptor</w:t>
            </w:r>
          </w:p>
        </w:tc>
        <w:tc>
          <w:tcPr>
            <w:tcW w:w="2992" w:type="dxa"/>
            <w:gridSpan w:val="2"/>
            <w:vAlign w:val="center"/>
          </w:tcPr>
          <w:p w14:paraId="398C8FE1" w14:textId="1C485AE3" w:rsidR="002B072C" w:rsidRPr="001423E5" w:rsidRDefault="002B072C" w:rsidP="00ED34C7">
            <w:pPr>
              <w:contextualSpacing/>
              <w:jc w:val="center"/>
              <w:rPr>
                <w:rFonts w:ascii="Arial" w:hAnsi="Arial" w:cs="Arial"/>
                <w:color w:val="000000" w:themeColor="text1"/>
                <w:sz w:val="16"/>
                <w:szCs w:val="16"/>
              </w:rPr>
            </w:pPr>
            <w:r w:rsidRPr="00494BB4">
              <w:rPr>
                <w:rFonts w:ascii="Arial" w:hAnsi="Arial" w:cs="Arial"/>
                <w:color w:val="000000" w:themeColor="text1"/>
                <w:sz w:val="16"/>
                <w:szCs w:val="16"/>
              </w:rPr>
              <w:t xml:space="preserve">GGAACACAAAGAAAAGAAAGGAAG </w:t>
            </w:r>
          </w:p>
          <w:p w14:paraId="6078742B" w14:textId="77777777" w:rsidR="002B072C" w:rsidRPr="00494BB4" w:rsidRDefault="002B072C" w:rsidP="00ED34C7">
            <w:pPr>
              <w:contextualSpacing/>
              <w:jc w:val="center"/>
              <w:rPr>
                <w:rFonts w:ascii="Arial" w:hAnsi="Arial" w:cs="Arial"/>
                <w:color w:val="000000" w:themeColor="text1"/>
                <w:sz w:val="16"/>
                <w:szCs w:val="16"/>
              </w:rPr>
            </w:pPr>
            <w:r w:rsidRPr="00494BB4">
              <w:rPr>
                <w:rFonts w:ascii="Arial" w:hAnsi="Arial" w:cs="Arial"/>
                <w:color w:val="000000" w:themeColor="text1"/>
                <w:sz w:val="16"/>
                <w:szCs w:val="16"/>
              </w:rPr>
              <w:t xml:space="preserve">ACAAATGTGTTCTGGATGGTG - </w:t>
            </w:r>
          </w:p>
          <w:p w14:paraId="080D6FC3" w14:textId="77777777" w:rsidR="002B072C" w:rsidRPr="001423E5" w:rsidRDefault="002B072C" w:rsidP="00ED34C7">
            <w:pPr>
              <w:contextualSpacing/>
              <w:jc w:val="center"/>
              <w:rPr>
                <w:rFonts w:ascii="Arial" w:hAnsi="Arial" w:cs="Arial"/>
                <w:color w:val="000000" w:themeColor="text1"/>
                <w:sz w:val="16"/>
                <w:szCs w:val="16"/>
              </w:rPr>
            </w:pPr>
          </w:p>
        </w:tc>
        <w:tc>
          <w:tcPr>
            <w:tcW w:w="1260" w:type="dxa"/>
            <w:gridSpan w:val="2"/>
          </w:tcPr>
          <w:p w14:paraId="06855307"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98</w:t>
            </w:r>
          </w:p>
        </w:tc>
        <w:tc>
          <w:tcPr>
            <w:tcW w:w="1471" w:type="dxa"/>
            <w:vAlign w:val="center"/>
          </w:tcPr>
          <w:p w14:paraId="43CED616" w14:textId="77777777" w:rsidR="002B072C" w:rsidRPr="00494BB4" w:rsidRDefault="002B072C" w:rsidP="00ED34C7">
            <w:pPr>
              <w:jc w:val="center"/>
              <w:rPr>
                <w:rFonts w:ascii="Arial" w:hAnsi="Arial" w:cs="Arial"/>
                <w:color w:val="000000" w:themeColor="text1"/>
                <w:sz w:val="16"/>
                <w:szCs w:val="16"/>
              </w:rPr>
            </w:pPr>
            <w:r w:rsidRPr="00494BB4">
              <w:rPr>
                <w:rFonts w:ascii="Arial" w:hAnsi="Arial" w:cs="Arial"/>
                <w:color w:val="000000" w:themeColor="text1"/>
                <w:sz w:val="16"/>
                <w:szCs w:val="16"/>
              </w:rPr>
              <w:t>AB257133</w:t>
            </w:r>
          </w:p>
          <w:p w14:paraId="70F7D9B7" w14:textId="7C786547" w:rsidR="002B072C" w:rsidRPr="001423E5" w:rsidRDefault="002B072C" w:rsidP="00ED34C7">
            <w:pPr>
              <w:jc w:val="center"/>
              <w:rPr>
                <w:rFonts w:ascii="Arial" w:hAnsi="Arial" w:cs="Arial"/>
                <w:color w:val="000000" w:themeColor="text1"/>
                <w:sz w:val="16"/>
                <w:szCs w:val="16"/>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{"citationID":"Ax2VppJl","properties":{"formattedCitation":"(Puinean and Rotchell, 2006)","plainCitation":"(Puinean and Rotchell, 2006)","noteIndex":0},"citationItems":[{"id":"BhjTJc6p/SrSmt2pl","uris":["http://zotero.org/users/local/3Gep4yxL/items/BKKYLUUC"],"itemData":{"id":1956,"type":"article-journal","abstract":"Vitellogenin levels are often used as a biomarker of endocrine disruption in ﬁsh. For invertebrates, there is a general lack of knowledge regarding endocrine regulation and, consequently, there are few direct biomarkers of endocrine disruption in such species. This study focuses on the marine mussel Mytilus edulis, which is often employed in biomonitoring studies. A partial vitellogenin mRNA has been isolated and gene expression quantiﬁed using real-time PCR.","container-title":"Marine Environmental Research","DOI":"10.1016/j.marenvres.2006.04.035","ISSN":"01411136","journalAbbreviation":"Marine Environmental Research","language":"en","license":"https://www.elsevier.com/tdm/userlicense/1.0/","page":"S211-S214","source":"DOI.org (Crossref)","title":"Vitellogenin gene expression as a biomarker of endocrine disruption in the invertebrate, Mytilus edulis","volume":"62","author":[{"family":"Puinean","given":"Alin-Mirel"},{"family":"Rotchell","given":"Jeanette M."}],"issued":{"date-parts":[["2006",1]]}}}],"schema":"https://github.com/citation-style-language/schema/raw/master/csl-citation.json"} </w:instrText>
            </w:r>
            <w:r>
              <w:rPr>
                <w:rFonts w:ascii="Arial" w:hAnsi="Arial" w:cs="Arial"/>
                <w:color w:val="000000" w:themeColor="text1"/>
                <w:sz w:val="16"/>
                <w:szCs w:val="16"/>
              </w:rPr>
              <w:fldChar w:fldCharType="separate"/>
            </w:r>
            <w:r>
              <w:rPr>
                <w:rFonts w:ascii="Arial" w:hAnsi="Arial" w:cs="Arial"/>
                <w:noProof/>
                <w:color w:val="000000" w:themeColor="text1"/>
                <w:sz w:val="16"/>
                <w:szCs w:val="16"/>
              </w:rPr>
              <w:t>(Puinean and Rotchell, 2006)</w:t>
            </w:r>
            <w:r>
              <w:rPr>
                <w:rFonts w:ascii="Arial" w:hAnsi="Arial" w:cs="Arial"/>
                <w:color w:val="000000" w:themeColor="text1"/>
                <w:sz w:val="16"/>
                <w:szCs w:val="16"/>
              </w:rPr>
              <w:fldChar w:fldCharType="end"/>
            </w:r>
          </w:p>
        </w:tc>
      </w:tr>
      <w:tr w:rsidR="00215FB2" w:rsidRPr="001423E5" w14:paraId="3C56AB55" w14:textId="77777777" w:rsidTr="00352840">
        <w:tc>
          <w:tcPr>
            <w:tcW w:w="9016" w:type="dxa"/>
            <w:gridSpan w:val="8"/>
          </w:tcPr>
          <w:p w14:paraId="5CEDE107" w14:textId="77777777" w:rsidR="00A13152" w:rsidRDefault="00A13152" w:rsidP="00ED34C7">
            <w:pPr>
              <w:rPr>
                <w:rFonts w:ascii="Arial" w:hAnsi="Arial" w:cs="Arial"/>
                <w:i/>
                <w:iCs/>
                <w:color w:val="000000" w:themeColor="text1"/>
                <w:sz w:val="16"/>
                <w:szCs w:val="16"/>
              </w:rPr>
            </w:pPr>
          </w:p>
          <w:p w14:paraId="0973D8F4" w14:textId="6BB013A0" w:rsidR="00215FB2" w:rsidRPr="00A13152" w:rsidRDefault="00215FB2" w:rsidP="00ED34C7">
            <w:pPr>
              <w:rPr>
                <w:rFonts w:ascii="Arial" w:hAnsi="Arial" w:cs="Arial"/>
                <w:i/>
                <w:iCs/>
                <w:color w:val="000000" w:themeColor="text1"/>
                <w:sz w:val="16"/>
                <w:szCs w:val="16"/>
              </w:rPr>
            </w:pPr>
            <w:r w:rsidRPr="00A13152">
              <w:rPr>
                <w:rFonts w:ascii="Arial" w:hAnsi="Arial" w:cs="Arial"/>
                <w:i/>
                <w:iCs/>
                <w:color w:val="000000" w:themeColor="text1"/>
                <w:sz w:val="16"/>
                <w:szCs w:val="16"/>
              </w:rPr>
              <w:t>Shell biomineralization</w:t>
            </w:r>
          </w:p>
        </w:tc>
      </w:tr>
      <w:tr w:rsidR="002B072C" w:rsidRPr="001423E5" w14:paraId="46755094" w14:textId="77777777" w:rsidTr="00352840">
        <w:tc>
          <w:tcPr>
            <w:tcW w:w="1515" w:type="dxa"/>
          </w:tcPr>
          <w:p w14:paraId="63F7B98A"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Chitin synthase</w:t>
            </w:r>
          </w:p>
          <w:p w14:paraId="3195BEEC"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w:t>
            </w:r>
            <w:r w:rsidRPr="001423E5">
              <w:rPr>
                <w:rFonts w:ascii="Arial" w:hAnsi="Arial" w:cs="Arial"/>
                <w:i/>
                <w:iCs/>
                <w:color w:val="000000" w:themeColor="text1"/>
                <w:sz w:val="16"/>
                <w:szCs w:val="16"/>
              </w:rPr>
              <w:t>CS</w:t>
            </w:r>
            <w:r w:rsidRPr="001423E5">
              <w:rPr>
                <w:rFonts w:ascii="Arial" w:hAnsi="Arial" w:cs="Arial"/>
                <w:color w:val="000000" w:themeColor="text1"/>
                <w:sz w:val="16"/>
                <w:szCs w:val="16"/>
              </w:rPr>
              <w:t>)</w:t>
            </w:r>
          </w:p>
        </w:tc>
        <w:tc>
          <w:tcPr>
            <w:tcW w:w="1778" w:type="dxa"/>
            <w:gridSpan w:val="2"/>
          </w:tcPr>
          <w:p w14:paraId="73C3D3EF" w14:textId="4DD3EA7A" w:rsidR="002B072C" w:rsidRPr="00494BB4" w:rsidRDefault="006B7956" w:rsidP="00ED34C7">
            <w:pPr>
              <w:contextualSpacing/>
              <w:jc w:val="center"/>
              <w:rPr>
                <w:rFonts w:ascii="Arial" w:hAnsi="Arial" w:cs="Arial"/>
                <w:color w:val="000000" w:themeColor="text1"/>
                <w:sz w:val="16"/>
                <w:szCs w:val="16"/>
              </w:rPr>
            </w:pPr>
            <w:r>
              <w:rPr>
                <w:rFonts w:ascii="Arial" w:hAnsi="Arial" w:cs="Arial"/>
                <w:color w:val="000000" w:themeColor="text1"/>
                <w:sz w:val="16"/>
                <w:szCs w:val="16"/>
              </w:rPr>
              <w:t>Chitin polymerization and trafficking</w:t>
            </w:r>
          </w:p>
        </w:tc>
        <w:tc>
          <w:tcPr>
            <w:tcW w:w="2992" w:type="dxa"/>
            <w:gridSpan w:val="2"/>
            <w:vAlign w:val="center"/>
          </w:tcPr>
          <w:p w14:paraId="58CA2AC4" w14:textId="3CF73BF4" w:rsidR="002B072C" w:rsidRPr="00494BB4" w:rsidRDefault="002B072C" w:rsidP="00ED34C7">
            <w:pPr>
              <w:contextualSpacing/>
              <w:jc w:val="center"/>
              <w:rPr>
                <w:rFonts w:ascii="Arial" w:hAnsi="Arial" w:cs="Arial"/>
                <w:color w:val="000000" w:themeColor="text1"/>
                <w:sz w:val="16"/>
                <w:szCs w:val="16"/>
              </w:rPr>
            </w:pPr>
            <w:r w:rsidRPr="00494BB4">
              <w:rPr>
                <w:rFonts w:ascii="Arial" w:hAnsi="Arial" w:cs="Arial"/>
                <w:color w:val="000000" w:themeColor="text1"/>
                <w:sz w:val="16"/>
                <w:szCs w:val="16"/>
              </w:rPr>
              <w:t xml:space="preserve">AACAGAAGCCAGGCACTATATC GTCAGAACCAGCACAGTAGTC </w:t>
            </w:r>
          </w:p>
          <w:p w14:paraId="5ED78289" w14:textId="77777777" w:rsidR="002B072C" w:rsidRPr="001423E5" w:rsidRDefault="002B072C" w:rsidP="00ED34C7">
            <w:pPr>
              <w:contextualSpacing/>
              <w:jc w:val="center"/>
              <w:rPr>
                <w:rFonts w:ascii="Arial" w:hAnsi="Arial" w:cs="Arial"/>
                <w:color w:val="000000" w:themeColor="text1"/>
                <w:sz w:val="16"/>
                <w:szCs w:val="16"/>
              </w:rPr>
            </w:pPr>
          </w:p>
        </w:tc>
        <w:tc>
          <w:tcPr>
            <w:tcW w:w="1260" w:type="dxa"/>
            <w:gridSpan w:val="2"/>
          </w:tcPr>
          <w:p w14:paraId="0CB799BD"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104</w:t>
            </w:r>
          </w:p>
        </w:tc>
        <w:tc>
          <w:tcPr>
            <w:tcW w:w="1471" w:type="dxa"/>
            <w:vAlign w:val="center"/>
          </w:tcPr>
          <w:p w14:paraId="7A91A493" w14:textId="77777777" w:rsidR="002B072C" w:rsidRPr="00494BB4" w:rsidRDefault="002B072C" w:rsidP="00ED34C7">
            <w:pPr>
              <w:jc w:val="center"/>
              <w:rPr>
                <w:rFonts w:ascii="Arial" w:hAnsi="Arial" w:cs="Arial"/>
                <w:color w:val="000000" w:themeColor="text1"/>
                <w:sz w:val="16"/>
                <w:szCs w:val="16"/>
              </w:rPr>
            </w:pPr>
            <w:r w:rsidRPr="00494BB4">
              <w:rPr>
                <w:rFonts w:ascii="Arial" w:hAnsi="Arial" w:cs="Arial"/>
                <w:color w:val="000000" w:themeColor="text1"/>
                <w:sz w:val="16"/>
                <w:szCs w:val="16"/>
              </w:rPr>
              <w:t>EF535882</w:t>
            </w:r>
          </w:p>
          <w:p w14:paraId="40638F18" w14:textId="789A28B2" w:rsidR="002B072C" w:rsidRPr="001423E5" w:rsidRDefault="002B072C" w:rsidP="00ED34C7">
            <w:pPr>
              <w:jc w:val="center"/>
              <w:rPr>
                <w:rFonts w:ascii="Arial" w:hAnsi="Arial" w:cs="Arial"/>
                <w:color w:val="000000" w:themeColor="text1"/>
                <w:sz w:val="16"/>
                <w:szCs w:val="16"/>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{"citationID":"5V4j9fz7","properties":{"formattedCitation":"(Balbi et al., 2017)","plainCitation":"(Balbi et al., 2017)","noteIndex":0},"citationItems":[{"id":"BhjTJc6p/p7u9M0OO","uris":["http://zotero.org/users/local/3Gep4yxL/items/CW5KMMXH"],"itemData":{"id":276,"type":"article-journal","container-title":"Chemosphere","DOI":"10.1016/j.chemosphere.2017.07.120","ISSN":"00456535","journalAbbreviation":"Chemosphere","language":"en","page":"1-9","source":"DOI.org (Crossref)","title":"Impact of cationic polystyrene nanoparticles (PS-NH2) on early embryo development of Mytilus galloprovincialis: Effects on shell formation","title-short":"Impact of cationic polystyrene nanoparticles (PS-NH2) on early embryo development of Mytilus galloprovincialis","volume":"186","author":[{"family":"Balbi","given":"Teresa"},{"family":"Camisassi","given":"Giulia"},{"family":"Montagna","given":"Michele"},{"family":"Fabbri","given":"Rita"},{"family":"Franzellitti","given":"Silvia"},{"family":"Carbone","given":"Cristina"},{"family":"Dawson","given":"Kenneth"},{"family":"Canesi","given":"Laura"}],"issued":{"date-parts":[["2017",11]]}}}],"schema":"https://github.com/citation-style-language/schema/raw/master/csl-citation.json"} </w:instrText>
            </w:r>
            <w:r>
              <w:rPr>
                <w:rFonts w:ascii="Arial" w:hAnsi="Arial" w:cs="Arial"/>
                <w:color w:val="000000" w:themeColor="text1"/>
                <w:sz w:val="16"/>
                <w:szCs w:val="16"/>
              </w:rPr>
              <w:fldChar w:fldCharType="separate"/>
            </w:r>
            <w:r>
              <w:rPr>
                <w:rFonts w:ascii="Arial" w:hAnsi="Arial" w:cs="Arial"/>
                <w:noProof/>
                <w:color w:val="000000" w:themeColor="text1"/>
                <w:sz w:val="16"/>
                <w:szCs w:val="16"/>
              </w:rPr>
              <w:t>(Balbi et al., 2017)</w:t>
            </w:r>
            <w:r>
              <w:rPr>
                <w:rFonts w:ascii="Arial" w:hAnsi="Arial" w:cs="Arial"/>
                <w:color w:val="000000" w:themeColor="text1"/>
                <w:sz w:val="16"/>
                <w:szCs w:val="16"/>
              </w:rPr>
              <w:fldChar w:fldCharType="end"/>
            </w:r>
          </w:p>
        </w:tc>
      </w:tr>
      <w:tr w:rsidR="002B072C" w:rsidRPr="001423E5" w14:paraId="45AED3D6" w14:textId="77777777" w:rsidTr="00352840">
        <w:tc>
          <w:tcPr>
            <w:tcW w:w="1515" w:type="dxa"/>
          </w:tcPr>
          <w:p w14:paraId="1DA114D6"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Carbonic anhydrase</w:t>
            </w:r>
          </w:p>
          <w:p w14:paraId="47A90BC4"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w:t>
            </w:r>
            <w:r w:rsidRPr="001423E5">
              <w:rPr>
                <w:rFonts w:ascii="Arial" w:hAnsi="Arial" w:cs="Arial"/>
                <w:i/>
                <w:iCs/>
                <w:color w:val="000000" w:themeColor="text1"/>
                <w:sz w:val="16"/>
                <w:szCs w:val="16"/>
              </w:rPr>
              <w:t>CA</w:t>
            </w:r>
            <w:r w:rsidRPr="001423E5">
              <w:rPr>
                <w:rFonts w:ascii="Arial" w:hAnsi="Arial" w:cs="Arial"/>
                <w:color w:val="000000" w:themeColor="text1"/>
                <w:sz w:val="16"/>
                <w:szCs w:val="16"/>
              </w:rPr>
              <w:t>)</w:t>
            </w:r>
          </w:p>
        </w:tc>
        <w:tc>
          <w:tcPr>
            <w:tcW w:w="1778" w:type="dxa"/>
            <w:gridSpan w:val="2"/>
          </w:tcPr>
          <w:p w14:paraId="7A1B17CF" w14:textId="1D879615" w:rsidR="002B072C" w:rsidRPr="00494BB4" w:rsidRDefault="003E3D13" w:rsidP="00ED34C7">
            <w:pPr>
              <w:contextualSpacing/>
              <w:jc w:val="center"/>
              <w:rPr>
                <w:rFonts w:ascii="Arial" w:hAnsi="Arial" w:cs="Arial"/>
                <w:color w:val="000000" w:themeColor="text1"/>
                <w:sz w:val="16"/>
                <w:szCs w:val="16"/>
              </w:rPr>
            </w:pPr>
            <w:r>
              <w:rPr>
                <w:rFonts w:ascii="Arial" w:hAnsi="Arial" w:cs="Arial"/>
                <w:color w:val="000000" w:themeColor="text1"/>
                <w:sz w:val="16"/>
                <w:szCs w:val="16"/>
              </w:rPr>
              <w:t>CaCO</w:t>
            </w:r>
            <w:r w:rsidRPr="003E3D13">
              <w:rPr>
                <w:rFonts w:ascii="Arial" w:hAnsi="Arial" w:cs="Arial"/>
                <w:color w:val="000000" w:themeColor="text1"/>
                <w:sz w:val="16"/>
                <w:szCs w:val="16"/>
                <w:vertAlign w:val="subscript"/>
              </w:rPr>
              <w:t>3</w:t>
            </w:r>
            <w:r>
              <w:rPr>
                <w:rFonts w:ascii="Arial" w:hAnsi="Arial" w:cs="Arial"/>
                <w:color w:val="000000" w:themeColor="text1"/>
                <w:sz w:val="16"/>
                <w:szCs w:val="16"/>
              </w:rPr>
              <w:t xml:space="preserve"> homeostasis </w:t>
            </w:r>
          </w:p>
        </w:tc>
        <w:tc>
          <w:tcPr>
            <w:tcW w:w="2992" w:type="dxa"/>
            <w:gridSpan w:val="2"/>
            <w:vAlign w:val="center"/>
          </w:tcPr>
          <w:p w14:paraId="3B35369E" w14:textId="2B3A6400" w:rsidR="002B072C" w:rsidRPr="00494BB4" w:rsidRDefault="002B072C" w:rsidP="00ED34C7">
            <w:pPr>
              <w:contextualSpacing/>
              <w:jc w:val="center"/>
              <w:rPr>
                <w:rFonts w:ascii="Arial" w:hAnsi="Arial" w:cs="Arial"/>
                <w:color w:val="000000" w:themeColor="text1"/>
                <w:sz w:val="16"/>
                <w:szCs w:val="16"/>
              </w:rPr>
            </w:pPr>
            <w:r w:rsidRPr="00494BB4">
              <w:rPr>
                <w:rFonts w:ascii="Arial" w:hAnsi="Arial" w:cs="Arial"/>
                <w:color w:val="000000" w:themeColor="text1"/>
                <w:sz w:val="16"/>
                <w:szCs w:val="16"/>
              </w:rPr>
              <w:t xml:space="preserve">ACCAGATGGTCTTGCAGTTT TCATCTCTGACTGCTGCTAATG </w:t>
            </w:r>
          </w:p>
          <w:p w14:paraId="037D3221" w14:textId="77777777" w:rsidR="002B072C" w:rsidRPr="001423E5" w:rsidRDefault="002B072C" w:rsidP="00ED34C7">
            <w:pPr>
              <w:contextualSpacing/>
              <w:jc w:val="center"/>
              <w:rPr>
                <w:rFonts w:ascii="Arial" w:hAnsi="Arial" w:cs="Arial"/>
                <w:color w:val="000000" w:themeColor="text1"/>
                <w:sz w:val="16"/>
                <w:szCs w:val="16"/>
              </w:rPr>
            </w:pPr>
          </w:p>
        </w:tc>
        <w:tc>
          <w:tcPr>
            <w:tcW w:w="1260" w:type="dxa"/>
            <w:gridSpan w:val="2"/>
          </w:tcPr>
          <w:p w14:paraId="74F8D096"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95</w:t>
            </w:r>
          </w:p>
        </w:tc>
        <w:tc>
          <w:tcPr>
            <w:tcW w:w="1471" w:type="dxa"/>
            <w:vAlign w:val="center"/>
          </w:tcPr>
          <w:p w14:paraId="0866F7F7" w14:textId="77777777" w:rsidR="002B072C" w:rsidRPr="00494BB4" w:rsidRDefault="002B072C" w:rsidP="00ED34C7">
            <w:pPr>
              <w:jc w:val="center"/>
              <w:rPr>
                <w:rFonts w:ascii="Arial" w:hAnsi="Arial" w:cs="Arial"/>
                <w:color w:val="000000" w:themeColor="text1"/>
                <w:sz w:val="16"/>
                <w:szCs w:val="16"/>
              </w:rPr>
            </w:pPr>
            <w:r w:rsidRPr="00494BB4">
              <w:rPr>
                <w:rFonts w:ascii="Arial" w:hAnsi="Arial" w:cs="Arial"/>
                <w:color w:val="000000" w:themeColor="text1"/>
                <w:sz w:val="16"/>
                <w:szCs w:val="16"/>
              </w:rPr>
              <w:t>LK934681</w:t>
            </w:r>
          </w:p>
          <w:p w14:paraId="714380BD" w14:textId="51ADE508" w:rsidR="002B072C" w:rsidRPr="001423E5" w:rsidRDefault="002B072C" w:rsidP="00ED34C7">
            <w:pPr>
              <w:jc w:val="center"/>
              <w:rPr>
                <w:rFonts w:ascii="Arial" w:hAnsi="Arial" w:cs="Arial"/>
                <w:color w:val="000000" w:themeColor="text1"/>
                <w:sz w:val="16"/>
                <w:szCs w:val="16"/>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{"citationID":"YVzKjHkN","properties":{"formattedCitation":"(Balbi et al., 2016)","plainCitation":"(Balbi et al., 2016)","noteIndex":0},"citationItems":[{"id":"BhjTJc6p/GNfifwP3","uris":["http://zotero.org/users/local/3Gep4yxL/items/WG282MTX"],"itemData":{"id":274,"type":"article-journal","abstract":"Bisphenol A (BPA), a monomer used in plastic manufacturing, is weakly estrogenic and a potential endocrine disruptor in mammals. Although it degrades quickly, it is pseudo-persistent in the environment because of continual inputs, with reported concentrations in aquatic environments between 0.0005 and 12 mg/L. BPA represents a potential concern for aquatic ecosystems, as shown by its reproductive and developmental effects in aquatic vertebrates.","container-title":"Environmental Pollution","DOI":"10.1016/j.envpol.2016.08.050","ISSN":"02697491","journalAbbreviation":"Environmental Pollution","language":"en","page":"996-1004","source":"DOI.org (Crossref)","title":"Impact of bisphenol A (BPA) on early embryo development in the marine mussel Mytilus galloprovincialis: Effects on gene transcription","title-short":"Impact of bisphenol A (BPA) on early embryo development in the marine mussel Mytilus galloprovincialis","volume":"218","author":[{"family":"Balbi","given":"Teresa"},{"family":"Franzellitti","given":"Silvia"},{"family":"Fabbri","given":"Rita"},{"family":"Montagna","given":"Michele"},{"family":"Fabbri","given":"Elena"},{"family":"Canesi","given":"Laura"}],"issued":{"date-parts":[["2016",11]]}}}],"schema":"https://github.com/citation-style-language/schema/raw/master/csl-citation.json"} </w:instrText>
            </w:r>
            <w:r>
              <w:rPr>
                <w:rFonts w:ascii="Arial" w:hAnsi="Arial" w:cs="Arial"/>
                <w:color w:val="000000" w:themeColor="text1"/>
                <w:sz w:val="16"/>
                <w:szCs w:val="16"/>
              </w:rPr>
              <w:fldChar w:fldCharType="separate"/>
            </w:r>
            <w:r>
              <w:rPr>
                <w:rFonts w:ascii="Arial" w:hAnsi="Arial" w:cs="Arial"/>
                <w:noProof/>
                <w:color w:val="000000" w:themeColor="text1"/>
                <w:sz w:val="16"/>
                <w:szCs w:val="16"/>
              </w:rPr>
              <w:t>(Balbi et al., 2016)</w:t>
            </w:r>
            <w:r>
              <w:rPr>
                <w:rFonts w:ascii="Arial" w:hAnsi="Arial" w:cs="Arial"/>
                <w:color w:val="000000" w:themeColor="text1"/>
                <w:sz w:val="16"/>
                <w:szCs w:val="16"/>
              </w:rPr>
              <w:fldChar w:fldCharType="end"/>
            </w:r>
          </w:p>
        </w:tc>
      </w:tr>
      <w:tr w:rsidR="002B072C" w:rsidRPr="001423E5" w14:paraId="3E19C4A3" w14:textId="77777777" w:rsidTr="00352840">
        <w:tc>
          <w:tcPr>
            <w:tcW w:w="1515" w:type="dxa"/>
          </w:tcPr>
          <w:p w14:paraId="5F019846"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 xml:space="preserve">Extrapallial protein </w:t>
            </w:r>
          </w:p>
          <w:p w14:paraId="5B3BA5F8"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w:t>
            </w:r>
            <w:r w:rsidRPr="001423E5">
              <w:rPr>
                <w:rFonts w:ascii="Arial" w:hAnsi="Arial" w:cs="Arial"/>
                <w:i/>
                <w:iCs/>
                <w:color w:val="000000" w:themeColor="text1"/>
                <w:sz w:val="16"/>
                <w:szCs w:val="16"/>
              </w:rPr>
              <w:t>EP</w:t>
            </w:r>
            <w:r w:rsidRPr="001423E5">
              <w:rPr>
                <w:rFonts w:ascii="Arial" w:hAnsi="Arial" w:cs="Arial"/>
                <w:color w:val="000000" w:themeColor="text1"/>
                <w:sz w:val="16"/>
                <w:szCs w:val="16"/>
              </w:rPr>
              <w:t>)</w:t>
            </w:r>
          </w:p>
        </w:tc>
        <w:tc>
          <w:tcPr>
            <w:tcW w:w="1778" w:type="dxa"/>
            <w:gridSpan w:val="2"/>
          </w:tcPr>
          <w:p w14:paraId="71A1C59C" w14:textId="7104AFC1" w:rsidR="002B072C" w:rsidRPr="00494BB4" w:rsidRDefault="003E3D13" w:rsidP="00ED34C7">
            <w:pPr>
              <w:contextualSpacing/>
              <w:jc w:val="center"/>
              <w:rPr>
                <w:rFonts w:ascii="Arial" w:hAnsi="Arial" w:cs="Arial"/>
                <w:color w:val="000000" w:themeColor="text1"/>
                <w:sz w:val="16"/>
                <w:szCs w:val="16"/>
              </w:rPr>
            </w:pPr>
            <w:r>
              <w:rPr>
                <w:rFonts w:ascii="Arial" w:hAnsi="Arial" w:cs="Arial"/>
                <w:color w:val="000000" w:themeColor="text1"/>
                <w:sz w:val="16"/>
                <w:szCs w:val="16"/>
              </w:rPr>
              <w:t>CaCO</w:t>
            </w:r>
            <w:r w:rsidRPr="003E3D13">
              <w:rPr>
                <w:rFonts w:ascii="Arial" w:hAnsi="Arial" w:cs="Arial"/>
                <w:color w:val="000000" w:themeColor="text1"/>
                <w:sz w:val="16"/>
                <w:szCs w:val="16"/>
                <w:vertAlign w:val="subscript"/>
              </w:rPr>
              <w:t>3</w:t>
            </w:r>
            <w:r>
              <w:rPr>
                <w:rFonts w:ascii="Arial" w:hAnsi="Arial" w:cs="Arial"/>
                <w:color w:val="000000" w:themeColor="text1"/>
                <w:sz w:val="16"/>
                <w:szCs w:val="16"/>
              </w:rPr>
              <w:t xml:space="preserve"> homeostasis</w:t>
            </w:r>
          </w:p>
        </w:tc>
        <w:tc>
          <w:tcPr>
            <w:tcW w:w="2992" w:type="dxa"/>
            <w:gridSpan w:val="2"/>
            <w:vAlign w:val="center"/>
          </w:tcPr>
          <w:p w14:paraId="1A5B148E" w14:textId="0715FD44" w:rsidR="002B072C" w:rsidRPr="001423E5" w:rsidRDefault="002B072C" w:rsidP="00ED34C7">
            <w:pPr>
              <w:contextualSpacing/>
              <w:jc w:val="center"/>
              <w:rPr>
                <w:rFonts w:ascii="Arial" w:hAnsi="Arial" w:cs="Arial"/>
                <w:color w:val="000000" w:themeColor="text1"/>
                <w:sz w:val="16"/>
                <w:szCs w:val="16"/>
              </w:rPr>
            </w:pPr>
            <w:r w:rsidRPr="00494BB4">
              <w:rPr>
                <w:rFonts w:ascii="Arial" w:hAnsi="Arial" w:cs="Arial"/>
                <w:color w:val="000000" w:themeColor="text1"/>
                <w:sz w:val="16"/>
                <w:szCs w:val="16"/>
              </w:rPr>
              <w:t>TAAACTCTGGACACGCATACC</w:t>
            </w:r>
          </w:p>
          <w:p w14:paraId="33304FEC" w14:textId="77777777" w:rsidR="002B072C" w:rsidRPr="00494BB4" w:rsidRDefault="002B072C" w:rsidP="00ED34C7">
            <w:pPr>
              <w:contextualSpacing/>
              <w:jc w:val="center"/>
              <w:rPr>
                <w:rFonts w:ascii="Arial" w:hAnsi="Arial" w:cs="Arial"/>
                <w:color w:val="000000" w:themeColor="text1"/>
                <w:sz w:val="16"/>
                <w:szCs w:val="16"/>
              </w:rPr>
            </w:pPr>
            <w:r w:rsidRPr="00494BB4">
              <w:rPr>
                <w:rFonts w:ascii="Arial" w:hAnsi="Arial" w:cs="Arial"/>
                <w:color w:val="000000" w:themeColor="text1"/>
                <w:sz w:val="16"/>
                <w:szCs w:val="16"/>
              </w:rPr>
              <w:t xml:space="preserve">GAGTCCCTCTTGGTGCATATT </w:t>
            </w:r>
          </w:p>
          <w:p w14:paraId="5F76DD62" w14:textId="77777777" w:rsidR="002B072C" w:rsidRPr="001423E5" w:rsidRDefault="002B072C" w:rsidP="00ED34C7">
            <w:pPr>
              <w:contextualSpacing/>
              <w:jc w:val="center"/>
              <w:rPr>
                <w:rFonts w:ascii="Arial" w:hAnsi="Arial" w:cs="Arial"/>
                <w:color w:val="000000" w:themeColor="text1"/>
                <w:sz w:val="16"/>
                <w:szCs w:val="16"/>
              </w:rPr>
            </w:pPr>
          </w:p>
        </w:tc>
        <w:tc>
          <w:tcPr>
            <w:tcW w:w="1260" w:type="dxa"/>
            <w:gridSpan w:val="2"/>
          </w:tcPr>
          <w:p w14:paraId="6E17F1D5"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100</w:t>
            </w:r>
          </w:p>
        </w:tc>
        <w:tc>
          <w:tcPr>
            <w:tcW w:w="1471" w:type="dxa"/>
            <w:vAlign w:val="center"/>
          </w:tcPr>
          <w:p w14:paraId="27A57489" w14:textId="77777777" w:rsidR="002B072C" w:rsidRPr="00494BB4" w:rsidRDefault="002B072C" w:rsidP="00ED34C7">
            <w:pPr>
              <w:jc w:val="center"/>
              <w:rPr>
                <w:rFonts w:ascii="Arial" w:hAnsi="Arial" w:cs="Arial"/>
                <w:color w:val="000000" w:themeColor="text1"/>
                <w:sz w:val="16"/>
                <w:szCs w:val="16"/>
              </w:rPr>
            </w:pPr>
            <w:r w:rsidRPr="00494BB4">
              <w:rPr>
                <w:rFonts w:ascii="Arial" w:hAnsi="Arial" w:cs="Arial"/>
                <w:color w:val="000000" w:themeColor="text1"/>
                <w:sz w:val="16"/>
                <w:szCs w:val="16"/>
              </w:rPr>
              <w:t>AY364453</w:t>
            </w:r>
          </w:p>
          <w:p w14:paraId="117484DD" w14:textId="0E288AAB" w:rsidR="002B072C" w:rsidRPr="001423E5" w:rsidRDefault="002B072C" w:rsidP="00ED34C7">
            <w:pPr>
              <w:jc w:val="center"/>
              <w:rPr>
                <w:rFonts w:ascii="Arial" w:hAnsi="Arial" w:cs="Arial"/>
                <w:color w:val="000000" w:themeColor="text1"/>
                <w:sz w:val="16"/>
                <w:szCs w:val="16"/>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{"citationID":"xQJwACNe","properties":{"formattedCitation":"(Balbi et al., 2016)","plainCitation":"(Balbi et al., 2016)","noteIndex":0},"citationItems":[{"id":"BhjTJc6p/GNfifwP3","uris":["http://zotero.org/users/local/3Gep4yxL/items/WG282MTX"],"itemData":{"id":274,"type":"article-journal","abstract":"Bisphenol A (BPA), a monomer used in plastic manufacturing, is weakly estrogenic and a potential endocrine disruptor in mammals. Although it degrades quickly, it is pseudo-persistent in the environment because of continual inputs, with reported concentrations in aquatic environments between 0.0005 and 12 mg/L. BPA represents a potential concern for aquatic ecosystems, as shown by its reproductive and developmental effects in aquatic vertebrates.","container-title":"Environmental Pollution","DOI":"10.1016/j.envpol.2016.08.050","ISSN":"02697491","journalAbbreviation":"Environmental Pollution","language":"en","page":"996-1004","source":"DOI.org (Crossref)","title":"Impact of bisphenol A (BPA) on early embryo development in the marine mussel Mytilus galloprovincialis: Effects on gene transcription","title-short":"Impact of bisphenol A (BPA) on early embryo development in the marine mussel Mytilus galloprovincialis","volume":"218","author":[{"family":"Balbi","given":"Teresa"},{"family":"Franzellitti","given":"Silvia"},{"family":"Fabbri","given":"Rita"},{"family":"Montagna","given":"Michele"},{"family":"Fabbri","given":"Elena"},{"family":"Canesi","given":"Laura"}],"issued":{"date-parts":[["2016",11]]}}}],"schema":"https://github.com/citation-style-language/schema/raw/master/csl-citation.json"} </w:instrText>
            </w:r>
            <w:r>
              <w:rPr>
                <w:rFonts w:ascii="Arial" w:hAnsi="Arial" w:cs="Arial"/>
                <w:color w:val="000000" w:themeColor="text1"/>
                <w:sz w:val="16"/>
                <w:szCs w:val="16"/>
              </w:rPr>
              <w:fldChar w:fldCharType="separate"/>
            </w:r>
            <w:r>
              <w:rPr>
                <w:rFonts w:ascii="Arial" w:hAnsi="Arial" w:cs="Arial"/>
                <w:noProof/>
                <w:color w:val="000000" w:themeColor="text1"/>
                <w:sz w:val="16"/>
                <w:szCs w:val="16"/>
              </w:rPr>
              <w:t>(Balbi et al., 2016)</w:t>
            </w:r>
            <w:r>
              <w:rPr>
                <w:rFonts w:ascii="Arial" w:hAnsi="Arial" w:cs="Arial"/>
                <w:color w:val="000000" w:themeColor="text1"/>
                <w:sz w:val="16"/>
                <w:szCs w:val="16"/>
              </w:rPr>
              <w:fldChar w:fldCharType="end"/>
            </w:r>
          </w:p>
        </w:tc>
      </w:tr>
      <w:tr w:rsidR="00215FB2" w:rsidRPr="001423E5" w14:paraId="046E95A0" w14:textId="77777777" w:rsidTr="00352840">
        <w:tc>
          <w:tcPr>
            <w:tcW w:w="9016" w:type="dxa"/>
            <w:gridSpan w:val="8"/>
          </w:tcPr>
          <w:p w14:paraId="517B0314" w14:textId="77777777" w:rsidR="00A13152" w:rsidRDefault="00A13152" w:rsidP="00ED34C7">
            <w:pPr>
              <w:rPr>
                <w:rFonts w:ascii="Arial" w:hAnsi="Arial" w:cs="Arial"/>
                <w:i/>
                <w:iCs/>
                <w:color w:val="000000" w:themeColor="text1"/>
                <w:sz w:val="16"/>
                <w:szCs w:val="16"/>
              </w:rPr>
            </w:pPr>
          </w:p>
          <w:p w14:paraId="7D997D73" w14:textId="082D6B53" w:rsidR="00215FB2" w:rsidRPr="00A13152" w:rsidRDefault="00215FB2" w:rsidP="00ED34C7">
            <w:pPr>
              <w:rPr>
                <w:rFonts w:ascii="Arial" w:hAnsi="Arial" w:cs="Arial"/>
                <w:i/>
                <w:iCs/>
                <w:color w:val="000000" w:themeColor="text1"/>
                <w:sz w:val="16"/>
                <w:szCs w:val="16"/>
              </w:rPr>
            </w:pPr>
            <w:r w:rsidRPr="00A13152">
              <w:rPr>
                <w:rFonts w:ascii="Arial" w:hAnsi="Arial" w:cs="Arial"/>
                <w:i/>
                <w:iCs/>
                <w:color w:val="000000" w:themeColor="text1"/>
                <w:sz w:val="16"/>
                <w:szCs w:val="16"/>
              </w:rPr>
              <w:t>Gender-specific genes</w:t>
            </w:r>
          </w:p>
        </w:tc>
      </w:tr>
      <w:tr w:rsidR="002B072C" w:rsidRPr="001423E5" w14:paraId="50B349B9" w14:textId="77777777" w:rsidTr="00352840">
        <w:tc>
          <w:tcPr>
            <w:tcW w:w="1515" w:type="dxa"/>
          </w:tcPr>
          <w:p w14:paraId="216EBD5F"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Vitelline coat lysin</w:t>
            </w:r>
          </w:p>
          <w:p w14:paraId="3063995D"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w:t>
            </w:r>
            <w:r w:rsidRPr="001423E5">
              <w:rPr>
                <w:rFonts w:ascii="Arial" w:hAnsi="Arial" w:cs="Arial"/>
                <w:i/>
                <w:iCs/>
                <w:color w:val="000000" w:themeColor="text1"/>
                <w:sz w:val="16"/>
                <w:szCs w:val="16"/>
              </w:rPr>
              <w:t>VCL</w:t>
            </w:r>
            <w:r w:rsidRPr="001423E5">
              <w:rPr>
                <w:rFonts w:ascii="Arial" w:hAnsi="Arial" w:cs="Arial"/>
                <w:color w:val="000000" w:themeColor="text1"/>
                <w:sz w:val="16"/>
                <w:szCs w:val="16"/>
              </w:rPr>
              <w:t>)</w:t>
            </w:r>
          </w:p>
        </w:tc>
        <w:tc>
          <w:tcPr>
            <w:tcW w:w="1778" w:type="dxa"/>
            <w:gridSpan w:val="2"/>
          </w:tcPr>
          <w:p w14:paraId="32A40535" w14:textId="72A2864A" w:rsidR="002B072C" w:rsidRPr="001423E5" w:rsidRDefault="00991BC8" w:rsidP="00ED34C7">
            <w:pPr>
              <w:pStyle w:val="Nessunaspaziatura"/>
              <w:jc w:val="center"/>
              <w:rPr>
                <w:rFonts w:ascii="Arial" w:hAnsi="Arial" w:cs="Arial"/>
                <w:sz w:val="16"/>
                <w:szCs w:val="16"/>
              </w:rPr>
            </w:pPr>
            <w:r>
              <w:rPr>
                <w:rFonts w:ascii="Arial" w:hAnsi="Arial" w:cs="Arial"/>
                <w:sz w:val="16"/>
                <w:szCs w:val="16"/>
              </w:rPr>
              <w:t xml:space="preserve">Sperm specific - </w:t>
            </w:r>
            <w:r w:rsidR="00F9370D">
              <w:rPr>
                <w:rFonts w:ascii="Arial" w:hAnsi="Arial" w:cs="Arial"/>
                <w:sz w:val="16"/>
                <w:szCs w:val="16"/>
              </w:rPr>
              <w:t xml:space="preserve">Acrosomal reaction </w:t>
            </w:r>
            <w:r>
              <w:rPr>
                <w:rFonts w:ascii="Arial" w:hAnsi="Arial" w:cs="Arial"/>
                <w:sz w:val="16"/>
                <w:szCs w:val="16"/>
              </w:rPr>
              <w:t>in fertilization</w:t>
            </w:r>
          </w:p>
        </w:tc>
        <w:tc>
          <w:tcPr>
            <w:tcW w:w="2992" w:type="dxa"/>
            <w:gridSpan w:val="2"/>
            <w:vAlign w:val="center"/>
          </w:tcPr>
          <w:p w14:paraId="77FF52EF" w14:textId="2904A7BF" w:rsidR="002B072C" w:rsidRPr="001423E5" w:rsidRDefault="002B072C" w:rsidP="00ED34C7">
            <w:pPr>
              <w:pStyle w:val="Nessunaspaziatura"/>
              <w:jc w:val="center"/>
              <w:rPr>
                <w:rFonts w:ascii="Arial" w:hAnsi="Arial" w:cs="Arial"/>
                <w:sz w:val="16"/>
                <w:szCs w:val="16"/>
              </w:rPr>
            </w:pPr>
            <w:r w:rsidRPr="001423E5">
              <w:rPr>
                <w:rFonts w:ascii="Arial" w:hAnsi="Arial" w:cs="Arial"/>
                <w:sz w:val="16"/>
                <w:szCs w:val="16"/>
              </w:rPr>
              <w:t>AGAGCTGTTTTGGCCACAGT</w:t>
            </w:r>
          </w:p>
          <w:p w14:paraId="191D85F9" w14:textId="77777777" w:rsidR="002B072C" w:rsidRPr="001423E5" w:rsidRDefault="002B072C" w:rsidP="00ED34C7">
            <w:pPr>
              <w:contextualSpacing/>
              <w:jc w:val="center"/>
              <w:rPr>
                <w:rFonts w:ascii="Arial" w:hAnsi="Arial" w:cs="Arial"/>
                <w:color w:val="000000" w:themeColor="text1"/>
                <w:sz w:val="16"/>
                <w:szCs w:val="16"/>
              </w:rPr>
            </w:pPr>
            <w:r w:rsidRPr="001423E5">
              <w:rPr>
                <w:rFonts w:ascii="Arial" w:hAnsi="Arial" w:cs="Arial"/>
                <w:sz w:val="16"/>
                <w:szCs w:val="16"/>
              </w:rPr>
              <w:t>TTGCGTTTGACATGGTTGAT</w:t>
            </w:r>
          </w:p>
        </w:tc>
        <w:tc>
          <w:tcPr>
            <w:tcW w:w="1260" w:type="dxa"/>
            <w:gridSpan w:val="2"/>
          </w:tcPr>
          <w:p w14:paraId="1CA9718F"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100</w:t>
            </w:r>
          </w:p>
        </w:tc>
        <w:tc>
          <w:tcPr>
            <w:tcW w:w="1471" w:type="dxa"/>
            <w:vAlign w:val="center"/>
          </w:tcPr>
          <w:p w14:paraId="2B763518"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FM995162</w:t>
            </w:r>
          </w:p>
          <w:p w14:paraId="70DFB1C2" w14:textId="0E9E7110" w:rsidR="002B072C" w:rsidRPr="001423E5" w:rsidRDefault="002B072C" w:rsidP="00ED34C7">
            <w:pPr>
              <w:jc w:val="center"/>
              <w:rPr>
                <w:rFonts w:ascii="Arial" w:hAnsi="Arial" w:cs="Arial"/>
                <w:color w:val="000000" w:themeColor="text1"/>
                <w:sz w:val="16"/>
                <w:szCs w:val="16"/>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{"citationID":"o92503l4","properties":{"formattedCitation":"(Anantharaman and Craft, 2012)","plainCitation":"(Anantharaman and Craft, 2012)","noteIndex":0},"citationItems":[{"id":"BhjTJc6p/TylU3grn","uris":["http://zotero.org/users/local/3Gep4yxL/items/T6GEZNMZ"],"itemData":{"id":1674,"type":"article-journal","abstract":"Mytilus species are used as sentinels for the assessment of environmental health but sex or stage in the reproduction cycle is rarely considered even though both parameters are likely to influence responses to pollution. We have validated the use of a qPCR assay for sex identification and related the levels of transcripts to the reproductive cycle. A temporal study of mantle of Mytilus edulis found transcripts of male-specific vitelline coat lysin (VCL) and female-specific vitelline envelope receptor for lysin (VERL) could identify sex over a complete year. The levels of VCL/VERL were proportional to the numbers of sperm/ ova and are indicative of the stage of the reproductive cycle. Maximal levels of VCL and VERL were found in February 2009 declining to minima between July – August before increasing and re-attaining a peak in February 2010. Water temperature may influence these transitions since they coincide with minimal water temperature in February and maximal temperature in August. An identical pattern of variation was found for a cryptic female-specific transcript (H5) but a very different pattern was observed for oestrogen receptor 2 (ER2). ER2 varied in a sex-specific way with male . female for most of the cycle, with a female maxima in July and a male maxima in December. Using artificially spawned animals, the transcripts for VCL, VERL and H5 were shown to be present in gametes and thus their disappearance from mantle is indicative of spawning. VCL and VERL are present at equivalent levels in February and July–August but during gametogenesis (August to January) and spawning (March to June) VCL is present at lower relative amounts than VERL. This may indicate sex-specific control mechanisms for these processes and highlight a potential pressure point leading to reduced reproductive output if environmental factors cause asynchrony to gamete maturation or release.","container-title":"PLoS ONE","DOI":"10.1371/journal.pone.0050861","ISSN":"1932-6203","issue":"11","journalAbbreviation":"PLoS ONE","language":"en","page":"e50861","source":"DOI.org (Crossref)","title":"Annual Variation in the Levels of Transcripts of Sex-Specific Genes in the Mantle of the Common Mussel, Mytilus edulis","volume":"7","author":[{"family":"Anantharaman","given":"Sandhya"},{"family":"Craft","given":"John A."}],"editor":[{"family":"Gilbert","given":"Jack Anthony"}],"issued":{"date-parts":[["2012",11,30]]}}}],"schema":"https://github.com/citation-style-language/schema/raw/master/csl-citation.json"} </w:instrText>
            </w:r>
            <w:r>
              <w:rPr>
                <w:rFonts w:ascii="Arial" w:hAnsi="Arial" w:cs="Arial"/>
                <w:color w:val="000000" w:themeColor="text1"/>
                <w:sz w:val="16"/>
                <w:szCs w:val="16"/>
              </w:rPr>
              <w:fldChar w:fldCharType="separate"/>
            </w:r>
            <w:r>
              <w:rPr>
                <w:rFonts w:ascii="Arial" w:hAnsi="Arial" w:cs="Arial"/>
                <w:noProof/>
                <w:color w:val="000000" w:themeColor="text1"/>
                <w:sz w:val="16"/>
                <w:szCs w:val="16"/>
              </w:rPr>
              <w:t>(Anantharaman and Craft, 2012)</w:t>
            </w:r>
            <w:r>
              <w:rPr>
                <w:rFonts w:ascii="Arial" w:hAnsi="Arial" w:cs="Arial"/>
                <w:color w:val="000000" w:themeColor="text1"/>
                <w:sz w:val="16"/>
                <w:szCs w:val="16"/>
              </w:rPr>
              <w:fldChar w:fldCharType="end"/>
            </w:r>
          </w:p>
        </w:tc>
      </w:tr>
      <w:tr w:rsidR="002B072C" w:rsidRPr="001423E5" w14:paraId="28EC5558" w14:textId="77777777" w:rsidTr="00352840">
        <w:tc>
          <w:tcPr>
            <w:tcW w:w="1515" w:type="dxa"/>
          </w:tcPr>
          <w:p w14:paraId="09202DC7"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vitelline envelope receptor for lysin</w:t>
            </w:r>
          </w:p>
          <w:p w14:paraId="3288F087" w14:textId="77777777" w:rsidR="002B072C" w:rsidRPr="001423E5" w:rsidRDefault="002B072C" w:rsidP="00ED34C7">
            <w:pPr>
              <w:rPr>
                <w:rFonts w:ascii="Arial" w:hAnsi="Arial" w:cs="Arial"/>
                <w:color w:val="000000" w:themeColor="text1"/>
                <w:sz w:val="16"/>
                <w:szCs w:val="16"/>
              </w:rPr>
            </w:pPr>
            <w:r w:rsidRPr="001423E5">
              <w:rPr>
                <w:rFonts w:ascii="Arial" w:hAnsi="Arial" w:cs="Arial"/>
                <w:color w:val="000000" w:themeColor="text1"/>
                <w:sz w:val="16"/>
                <w:szCs w:val="16"/>
              </w:rPr>
              <w:t>(</w:t>
            </w:r>
            <w:r w:rsidRPr="001423E5">
              <w:rPr>
                <w:rFonts w:ascii="Arial" w:hAnsi="Arial" w:cs="Arial"/>
                <w:i/>
                <w:iCs/>
                <w:color w:val="000000" w:themeColor="text1"/>
                <w:sz w:val="16"/>
                <w:szCs w:val="16"/>
              </w:rPr>
              <w:t>VERL</w:t>
            </w:r>
            <w:r w:rsidRPr="001423E5">
              <w:rPr>
                <w:rFonts w:ascii="Arial" w:hAnsi="Arial" w:cs="Arial"/>
                <w:color w:val="000000" w:themeColor="text1"/>
                <w:sz w:val="16"/>
                <w:szCs w:val="16"/>
              </w:rPr>
              <w:t>)</w:t>
            </w:r>
          </w:p>
        </w:tc>
        <w:tc>
          <w:tcPr>
            <w:tcW w:w="1778" w:type="dxa"/>
            <w:gridSpan w:val="2"/>
          </w:tcPr>
          <w:p w14:paraId="5F0CED49" w14:textId="4A985F50" w:rsidR="002B072C" w:rsidRPr="00494BB4" w:rsidRDefault="00B6299D" w:rsidP="00ED34C7">
            <w:pPr>
              <w:pStyle w:val="Nessunaspaziatura"/>
              <w:jc w:val="center"/>
              <w:rPr>
                <w:rFonts w:ascii="Arial" w:hAnsi="Arial" w:cs="Arial"/>
                <w:sz w:val="16"/>
                <w:szCs w:val="16"/>
              </w:rPr>
            </w:pPr>
            <w:r>
              <w:rPr>
                <w:rFonts w:ascii="Arial" w:hAnsi="Arial" w:cs="Arial"/>
                <w:sz w:val="16"/>
                <w:szCs w:val="16"/>
              </w:rPr>
              <w:t xml:space="preserve">Oocyte specific – fertilization </w:t>
            </w:r>
          </w:p>
        </w:tc>
        <w:tc>
          <w:tcPr>
            <w:tcW w:w="2992" w:type="dxa"/>
            <w:gridSpan w:val="2"/>
            <w:vAlign w:val="center"/>
          </w:tcPr>
          <w:p w14:paraId="4A803E96" w14:textId="4E138CCA" w:rsidR="002B072C" w:rsidRPr="00494BB4" w:rsidRDefault="002B072C" w:rsidP="00ED34C7">
            <w:pPr>
              <w:pStyle w:val="Nessunaspaziatura"/>
              <w:jc w:val="center"/>
              <w:rPr>
                <w:rFonts w:ascii="Arial" w:hAnsi="Arial" w:cs="Arial"/>
                <w:sz w:val="16"/>
                <w:szCs w:val="16"/>
              </w:rPr>
            </w:pPr>
            <w:r w:rsidRPr="00494BB4">
              <w:rPr>
                <w:rFonts w:ascii="Arial" w:hAnsi="Arial" w:cs="Arial"/>
                <w:sz w:val="16"/>
                <w:szCs w:val="16"/>
              </w:rPr>
              <w:t>CCGAAGGAAATGGAACTGAAA</w:t>
            </w:r>
          </w:p>
          <w:p w14:paraId="34EDEEA3" w14:textId="77777777" w:rsidR="002B072C" w:rsidRPr="00494BB4" w:rsidRDefault="002B072C" w:rsidP="00ED34C7">
            <w:pPr>
              <w:pStyle w:val="Nessunaspaziatura"/>
              <w:jc w:val="center"/>
              <w:rPr>
                <w:rFonts w:ascii="Arial" w:hAnsi="Arial" w:cs="Arial"/>
                <w:sz w:val="16"/>
                <w:szCs w:val="16"/>
              </w:rPr>
            </w:pPr>
            <w:r w:rsidRPr="00494BB4">
              <w:rPr>
                <w:rFonts w:ascii="Arial" w:hAnsi="Arial" w:cs="Arial"/>
                <w:sz w:val="16"/>
                <w:szCs w:val="16"/>
              </w:rPr>
              <w:t>CCCTGCAATCGTATGGAATC</w:t>
            </w:r>
          </w:p>
          <w:p w14:paraId="26E8BD81" w14:textId="77777777" w:rsidR="002B072C" w:rsidRPr="001423E5" w:rsidRDefault="002B072C" w:rsidP="00ED34C7">
            <w:pPr>
              <w:pStyle w:val="Nessunaspaziatura"/>
              <w:jc w:val="center"/>
              <w:rPr>
                <w:rFonts w:ascii="Arial" w:hAnsi="Arial" w:cs="Arial"/>
                <w:sz w:val="16"/>
                <w:szCs w:val="16"/>
              </w:rPr>
            </w:pPr>
          </w:p>
        </w:tc>
        <w:tc>
          <w:tcPr>
            <w:tcW w:w="1260" w:type="dxa"/>
            <w:gridSpan w:val="2"/>
          </w:tcPr>
          <w:p w14:paraId="49BAD2FB"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100</w:t>
            </w:r>
          </w:p>
        </w:tc>
        <w:tc>
          <w:tcPr>
            <w:tcW w:w="1471" w:type="dxa"/>
            <w:vAlign w:val="center"/>
          </w:tcPr>
          <w:p w14:paraId="1F3CCE36" w14:textId="77777777" w:rsidR="002B072C" w:rsidRPr="001423E5" w:rsidRDefault="002B072C" w:rsidP="00ED34C7">
            <w:pPr>
              <w:jc w:val="center"/>
              <w:rPr>
                <w:rFonts w:ascii="Arial" w:hAnsi="Arial" w:cs="Arial"/>
                <w:color w:val="000000" w:themeColor="text1"/>
                <w:sz w:val="16"/>
                <w:szCs w:val="16"/>
              </w:rPr>
            </w:pPr>
            <w:r w:rsidRPr="001423E5">
              <w:rPr>
                <w:rFonts w:ascii="Arial" w:hAnsi="Arial" w:cs="Arial"/>
                <w:color w:val="000000" w:themeColor="text1"/>
                <w:sz w:val="16"/>
                <w:szCs w:val="16"/>
              </w:rPr>
              <w:t>FM995161</w:t>
            </w:r>
          </w:p>
          <w:p w14:paraId="7ABFBE16" w14:textId="63518DDE" w:rsidR="002B072C" w:rsidRPr="001423E5" w:rsidRDefault="002B072C" w:rsidP="00ED34C7">
            <w:pPr>
              <w:jc w:val="center"/>
              <w:rPr>
                <w:rFonts w:ascii="Arial" w:hAnsi="Arial" w:cs="Arial"/>
                <w:color w:val="000000" w:themeColor="text1"/>
                <w:sz w:val="16"/>
                <w:szCs w:val="16"/>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{"citationID":"ChQIcDRA","properties":{"formattedCitation":"(Anantharaman and Craft, 2012)","plainCitation":"(Anantharaman and Craft, 2012)","noteIndex":0},"citationItems":[{"id":"BhjTJc6p/TylU3grn","uris":["http://zotero.org/users/local/3Gep4yxL/items/T6GEZNMZ"],"itemData":{"id":1674,"type":"article-journal","abstract":"Mytilus species are used as sentinels for the assessment of environmental health but sex or stage in the reproduction cycle is rarely considered even though both parameters are likely to influence responses to pollution. We have validated the use of a qPCR assay for sex identification and related the levels of transcripts to the reproductive cycle. A temporal study of mantle of Mytilus edulis found transcripts of male-specific vitelline coat lysin (VCL) and female-specific vitelline envelope receptor for lysin (VERL) could identify sex over a complete year. The levels of VCL/VERL were proportional to the numbers of sperm/ ova and are indicative of the stage of the reproductive cycle. Maximal levels of VCL and VERL were found in February 2009 declining to minima between July – August before increasing and re-attaining a peak in February 2010. Water temperature may influence these transitions since they coincide with minimal water temperature in February and maximal temperature in August. An identical pattern of variation was found for a cryptic female-specific transcript (H5) but a very different pattern was observed for oestrogen receptor 2 (ER2). ER2 varied in a sex-specific way with male . female for most of the cycle, with a female maxima in July and a male maxima in December. Using artificially spawned animals, the transcripts for VCL, VERL and H5 were shown to be present in gametes and thus their disappearance from mantle is indicative of spawning. VCL and VERL are present at equivalent levels in February and July–August but during gametogenesis (August to January) and spawning (March to June) VCL is present at lower relative amounts than VERL. This may indicate sex-specific control mechanisms for these processes and highlight a potential pressure point leading to reduced reproductive output if environmental factors cause asynchrony to gamete maturation or release.","container-title":"PLoS ONE","DOI":"10.1371/journal.pone.0050861","ISSN":"1932-6203","issue":"11","journalAbbreviation":"PLoS ONE","language":"en","page":"e50861","source":"DOI.org (Crossref)","title":"Annual Variation in the Levels of Transcripts of Sex-Specific Genes in the Mantle of the Common Mussel, Mytilus edulis","volume":"7","author":[{"family":"Anantharaman","given":"Sandhya"},{"family":"Craft","given":"John A."}],"editor":[{"family":"Gilbert","given":"Jack Anthony"}],"issued":{"date-parts":[["2012",11,30]]}}}],"schema":"https://github.com/citation-style-language/schema/raw/master/csl-citation.json"} </w:instrText>
            </w:r>
            <w:r>
              <w:rPr>
                <w:rFonts w:ascii="Arial" w:hAnsi="Arial" w:cs="Arial"/>
                <w:color w:val="000000" w:themeColor="text1"/>
                <w:sz w:val="16"/>
                <w:szCs w:val="16"/>
              </w:rPr>
              <w:fldChar w:fldCharType="separate"/>
            </w:r>
            <w:r>
              <w:rPr>
                <w:rFonts w:ascii="Arial" w:hAnsi="Arial" w:cs="Arial"/>
                <w:noProof/>
                <w:color w:val="000000" w:themeColor="text1"/>
                <w:sz w:val="16"/>
                <w:szCs w:val="16"/>
              </w:rPr>
              <w:t>(Anantharaman and Craft, 2012)</w:t>
            </w:r>
            <w:r>
              <w:rPr>
                <w:rFonts w:ascii="Arial" w:hAnsi="Arial" w:cs="Arial"/>
                <w:color w:val="000000" w:themeColor="text1"/>
                <w:sz w:val="16"/>
                <w:szCs w:val="16"/>
              </w:rPr>
              <w:fldChar w:fldCharType="end"/>
            </w:r>
          </w:p>
        </w:tc>
      </w:tr>
      <w:tr w:rsidR="00215FB2" w:rsidRPr="001423E5" w14:paraId="54EE3F69" w14:textId="77777777" w:rsidTr="00352840">
        <w:tc>
          <w:tcPr>
            <w:tcW w:w="9016" w:type="dxa"/>
            <w:gridSpan w:val="8"/>
          </w:tcPr>
          <w:p w14:paraId="0B80331D" w14:textId="77777777" w:rsidR="00215FB2" w:rsidRDefault="00215FB2" w:rsidP="00ED34C7">
            <w:pPr>
              <w:jc w:val="center"/>
              <w:rPr>
                <w:rFonts w:ascii="Arial" w:hAnsi="Arial" w:cs="Arial"/>
                <w:b/>
                <w:bCs/>
                <w:i/>
                <w:iCs/>
                <w:color w:val="000000" w:themeColor="text1"/>
                <w:sz w:val="16"/>
                <w:szCs w:val="16"/>
              </w:rPr>
            </w:pPr>
            <w:r w:rsidRPr="001F38FE">
              <w:rPr>
                <w:rFonts w:ascii="Arial" w:hAnsi="Arial" w:cs="Arial"/>
                <w:b/>
                <w:bCs/>
                <w:i/>
                <w:iCs/>
                <w:color w:val="000000" w:themeColor="text1"/>
                <w:sz w:val="16"/>
                <w:szCs w:val="16"/>
              </w:rPr>
              <w:t>Reference genes assessed in digestive glands and mantle</w:t>
            </w:r>
            <w:r>
              <w:rPr>
                <w:rFonts w:ascii="Arial" w:hAnsi="Arial" w:cs="Arial"/>
                <w:b/>
                <w:bCs/>
                <w:i/>
                <w:iCs/>
                <w:color w:val="000000" w:themeColor="text1"/>
                <w:sz w:val="16"/>
                <w:szCs w:val="16"/>
              </w:rPr>
              <w:t>s</w:t>
            </w:r>
          </w:p>
          <w:p w14:paraId="0D92D47C" w14:textId="2C3B6600" w:rsidR="006E51EA" w:rsidRPr="001F38FE" w:rsidRDefault="006E51EA" w:rsidP="00ED34C7">
            <w:pPr>
              <w:jc w:val="center"/>
              <w:rPr>
                <w:rFonts w:ascii="Arial" w:hAnsi="Arial" w:cs="Arial"/>
                <w:b/>
                <w:bCs/>
                <w:i/>
                <w:iCs/>
                <w:color w:val="000000" w:themeColor="text1"/>
                <w:sz w:val="16"/>
                <w:szCs w:val="16"/>
              </w:rPr>
            </w:pPr>
          </w:p>
        </w:tc>
      </w:tr>
      <w:tr w:rsidR="00352840" w:rsidRPr="001423E5" w14:paraId="158EDE28" w14:textId="77777777" w:rsidTr="00352840">
        <w:tc>
          <w:tcPr>
            <w:tcW w:w="1515" w:type="dxa"/>
          </w:tcPr>
          <w:p w14:paraId="530378FC" w14:textId="77777777" w:rsidR="00352840" w:rsidRPr="001423E5" w:rsidRDefault="00352840" w:rsidP="00352840">
            <w:pPr>
              <w:rPr>
                <w:rFonts w:ascii="Arial" w:hAnsi="Arial" w:cs="Arial"/>
                <w:color w:val="000000" w:themeColor="text1"/>
                <w:sz w:val="16"/>
                <w:szCs w:val="16"/>
              </w:rPr>
            </w:pPr>
            <w:r w:rsidRPr="001423E5">
              <w:rPr>
                <w:rFonts w:ascii="Arial" w:hAnsi="Arial" w:cs="Arial"/>
                <w:color w:val="000000" w:themeColor="text1"/>
                <w:sz w:val="16"/>
                <w:szCs w:val="16"/>
              </w:rPr>
              <w:t>18S rRNA</w:t>
            </w:r>
          </w:p>
          <w:p w14:paraId="47452D38" w14:textId="77777777" w:rsidR="00352840" w:rsidRPr="001423E5" w:rsidRDefault="00352840" w:rsidP="00352840">
            <w:pPr>
              <w:rPr>
                <w:rFonts w:ascii="Arial" w:hAnsi="Arial" w:cs="Arial"/>
                <w:color w:val="000000" w:themeColor="text1"/>
                <w:sz w:val="16"/>
                <w:szCs w:val="16"/>
              </w:rPr>
            </w:pPr>
            <w:r w:rsidRPr="001423E5">
              <w:rPr>
                <w:rFonts w:ascii="Arial" w:hAnsi="Arial" w:cs="Arial"/>
                <w:color w:val="000000" w:themeColor="text1"/>
                <w:sz w:val="16"/>
                <w:szCs w:val="16"/>
              </w:rPr>
              <w:t>(</w:t>
            </w:r>
            <w:r w:rsidRPr="001423E5">
              <w:rPr>
                <w:rFonts w:ascii="Arial" w:hAnsi="Arial" w:cs="Arial"/>
                <w:i/>
                <w:iCs/>
                <w:color w:val="000000" w:themeColor="text1"/>
                <w:sz w:val="16"/>
                <w:szCs w:val="16"/>
              </w:rPr>
              <w:t>18S</w:t>
            </w:r>
            <w:r w:rsidRPr="001423E5">
              <w:rPr>
                <w:rFonts w:ascii="Arial" w:hAnsi="Arial" w:cs="Arial"/>
                <w:color w:val="000000" w:themeColor="text1"/>
                <w:sz w:val="16"/>
                <w:szCs w:val="16"/>
              </w:rPr>
              <w:t>)</w:t>
            </w:r>
          </w:p>
        </w:tc>
        <w:tc>
          <w:tcPr>
            <w:tcW w:w="1778" w:type="dxa"/>
            <w:gridSpan w:val="2"/>
          </w:tcPr>
          <w:p w14:paraId="337EE4E0" w14:textId="47FEF83C" w:rsidR="00352840" w:rsidRPr="00494BB4" w:rsidRDefault="00352840" w:rsidP="00352840">
            <w:pPr>
              <w:pStyle w:val="Nessunaspaziatura"/>
              <w:jc w:val="center"/>
              <w:rPr>
                <w:rFonts w:ascii="Arial" w:hAnsi="Arial" w:cs="Arial"/>
                <w:sz w:val="16"/>
                <w:szCs w:val="16"/>
              </w:rPr>
            </w:pPr>
            <w:r>
              <w:rPr>
                <w:rFonts w:ascii="Arial" w:hAnsi="Arial" w:cs="Arial"/>
                <w:color w:val="000000" w:themeColor="text1"/>
                <w:sz w:val="16"/>
                <w:szCs w:val="16"/>
              </w:rPr>
              <w:t xml:space="preserve">Protein synthesis </w:t>
            </w:r>
          </w:p>
        </w:tc>
        <w:tc>
          <w:tcPr>
            <w:tcW w:w="2992" w:type="dxa"/>
            <w:gridSpan w:val="2"/>
            <w:vAlign w:val="center"/>
          </w:tcPr>
          <w:p w14:paraId="43E496BC" w14:textId="5BA3BC62" w:rsidR="00352840" w:rsidRPr="00494BB4" w:rsidRDefault="00352840" w:rsidP="00352840">
            <w:pPr>
              <w:pStyle w:val="Nessunaspaziatura"/>
              <w:jc w:val="center"/>
              <w:rPr>
                <w:rFonts w:ascii="Arial" w:hAnsi="Arial" w:cs="Arial"/>
                <w:sz w:val="16"/>
                <w:szCs w:val="16"/>
              </w:rPr>
            </w:pPr>
            <w:r w:rsidRPr="00494BB4">
              <w:rPr>
                <w:rFonts w:ascii="Arial" w:hAnsi="Arial" w:cs="Arial"/>
                <w:sz w:val="16"/>
                <w:szCs w:val="16"/>
              </w:rPr>
              <w:t>TCGATGGTACGTGATATGCC</w:t>
            </w:r>
          </w:p>
          <w:p w14:paraId="33777886" w14:textId="77777777" w:rsidR="00352840" w:rsidRPr="001423E5" w:rsidRDefault="00352840" w:rsidP="00352840">
            <w:pPr>
              <w:pStyle w:val="Nessunaspaziatura"/>
              <w:jc w:val="center"/>
              <w:rPr>
                <w:rFonts w:ascii="Arial" w:hAnsi="Arial" w:cs="Arial"/>
                <w:sz w:val="16"/>
                <w:szCs w:val="16"/>
              </w:rPr>
            </w:pPr>
            <w:r w:rsidRPr="001423E5">
              <w:rPr>
                <w:rFonts w:ascii="Arial" w:hAnsi="Arial" w:cs="Arial"/>
                <w:sz w:val="16"/>
                <w:szCs w:val="16"/>
                <w:lang w:val="it-IT"/>
              </w:rPr>
              <w:t>CGTTTCTCATGCTCCCTCTC</w:t>
            </w:r>
          </w:p>
        </w:tc>
        <w:tc>
          <w:tcPr>
            <w:tcW w:w="1260" w:type="dxa"/>
            <w:gridSpan w:val="2"/>
          </w:tcPr>
          <w:p w14:paraId="09577870" w14:textId="77777777" w:rsidR="00352840" w:rsidRPr="001423E5" w:rsidRDefault="00352840" w:rsidP="00352840">
            <w:pPr>
              <w:jc w:val="center"/>
              <w:rPr>
                <w:rFonts w:ascii="Arial" w:hAnsi="Arial" w:cs="Arial"/>
                <w:color w:val="000000" w:themeColor="text1"/>
                <w:sz w:val="16"/>
                <w:szCs w:val="16"/>
              </w:rPr>
            </w:pPr>
            <w:r w:rsidRPr="001423E5">
              <w:rPr>
                <w:rFonts w:ascii="Arial" w:hAnsi="Arial" w:cs="Arial"/>
                <w:color w:val="000000" w:themeColor="text1"/>
                <w:sz w:val="16"/>
                <w:szCs w:val="16"/>
              </w:rPr>
              <w:t>95</w:t>
            </w:r>
          </w:p>
        </w:tc>
        <w:tc>
          <w:tcPr>
            <w:tcW w:w="1471" w:type="dxa"/>
            <w:vAlign w:val="center"/>
          </w:tcPr>
          <w:p w14:paraId="7BB4064C" w14:textId="77777777" w:rsidR="00352840" w:rsidRPr="001423E5" w:rsidRDefault="00352840" w:rsidP="00352840">
            <w:pPr>
              <w:jc w:val="center"/>
              <w:rPr>
                <w:rFonts w:ascii="Arial" w:hAnsi="Arial" w:cs="Arial"/>
                <w:color w:val="000000" w:themeColor="text1"/>
                <w:sz w:val="16"/>
                <w:szCs w:val="16"/>
              </w:rPr>
            </w:pPr>
            <w:r w:rsidRPr="001423E5">
              <w:rPr>
                <w:rFonts w:ascii="Arial" w:hAnsi="Arial" w:cs="Arial"/>
                <w:color w:val="000000" w:themeColor="text1"/>
                <w:sz w:val="16"/>
                <w:szCs w:val="16"/>
              </w:rPr>
              <w:t>L33451</w:t>
            </w:r>
          </w:p>
          <w:p w14:paraId="446298DB" w14:textId="54A1AC6B" w:rsidR="00352840" w:rsidRPr="001423E5" w:rsidRDefault="00352840" w:rsidP="00352840">
            <w:pPr>
              <w:jc w:val="center"/>
              <w:rPr>
                <w:rFonts w:ascii="Arial" w:hAnsi="Arial" w:cs="Arial"/>
                <w:color w:val="000000" w:themeColor="text1"/>
                <w:sz w:val="16"/>
                <w:szCs w:val="16"/>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{"citationID":"OEDFLLGP","properties":{"formattedCitation":"(Dondero et al., 2005)","plainCitation":"(Dondero et al., 2005)","noteIndex":0},"citationItems":[{"id":"BhjTJc6p/1JnXUz9E","uris":["http://zotero.org/users/local/3Gep4yxL/items/4P7GRKA3"],"itemData":{"id":1958,"type":"article-journal","abstract":"The mRNA levels of two components of the mussel (Mytilus galloprovincialis) metallothionein (MT) gene families, MT10 and MT20, were evaluated using real-time quantitative-PCR and Sybr Green I chemistry in animals exposed to heavy metals in vivo and in primary cell cultures. This method was highly specific in detecting the expression of the two genes over a widely dynamic range of starting DNA amounts, showing that the basal level of MT expression is mostly due to MT10 mRNA. Basal MT expression reflected the intracellular concentration of heavy metal as indicated by the use of the heavy metal chelator TPEN on primary cells. MT10 was observed to be inducible by Cd, Zn, and Cu ions, and to a lesser extent by Hg. By contrast, the MT20 expression level was very low under basal conditions, while its mRNA increased dramatically in response to Cd exposure, and to a lesser extend to Hg, leading to levels of expression similar to those of the MT10 gene. The essential metals Cu and Zn had a very small effect on the MT20 gene, whereas the concomitant exposure to Cu and H2O2 produced a rapid rise of expression. In summary, data indicate that the MT isogenes are differentially regulated by heavy metals, while hydroxyl radicals may have a role in MT20 gene activation. Also, protein expression showed metal inducibility only after Cd exposure, suggesting the occurrence of posttranscriptional control mechanisms.","container-title":"Gene","DOI":"10.1016/j.gene.2004.11.031","ISSN":"03781119","issue":"2","journalAbbreviation":"Gene","language":"en","license":"https://www.elsevier.com/tdm/userlicense/1.0/","page":"259-270","source":"DOI.org (Crossref)","title":"Quantitative PCR analysis of two molluscan metallothionein genes unveils differential expression and regulation","volume":"345","author":[{"family":"Dondero","given":"Francesco"},{"family":"Piacentini","given":"Luciana"},{"family":"Banni","given":"Mohamed"},{"family":"Rebelo","given":"Mauro"},{"family":"Burlando","given":"Bruno"},{"family":"Viarengo","given":"Aldo"}],"issued":{"date-parts":[["2005",1]]}}}],"schema":"https://github.com/citation-style-language/schema/raw/master/csl-citation.json"} </w:instrText>
            </w:r>
            <w:r>
              <w:rPr>
                <w:rFonts w:ascii="Arial" w:hAnsi="Arial" w:cs="Arial"/>
                <w:color w:val="000000" w:themeColor="text1"/>
                <w:sz w:val="16"/>
                <w:szCs w:val="16"/>
              </w:rPr>
              <w:fldChar w:fldCharType="separate"/>
            </w:r>
            <w:r>
              <w:rPr>
                <w:rFonts w:ascii="Arial" w:hAnsi="Arial" w:cs="Arial"/>
                <w:noProof/>
                <w:color w:val="000000" w:themeColor="text1"/>
                <w:sz w:val="16"/>
                <w:szCs w:val="16"/>
              </w:rPr>
              <w:t>(Dondero et al., 2005)</w:t>
            </w:r>
            <w:r>
              <w:rPr>
                <w:rFonts w:ascii="Arial" w:hAnsi="Arial" w:cs="Arial"/>
                <w:color w:val="000000" w:themeColor="text1"/>
                <w:sz w:val="16"/>
                <w:szCs w:val="16"/>
              </w:rPr>
              <w:fldChar w:fldCharType="end"/>
            </w:r>
          </w:p>
        </w:tc>
      </w:tr>
      <w:tr w:rsidR="00352840" w:rsidRPr="001423E5" w14:paraId="4BD7E198" w14:textId="77777777" w:rsidTr="00352840">
        <w:tc>
          <w:tcPr>
            <w:tcW w:w="1515" w:type="dxa"/>
          </w:tcPr>
          <w:p w14:paraId="24ED5AC8" w14:textId="77777777" w:rsidR="00352840" w:rsidRPr="001423E5" w:rsidRDefault="00352840" w:rsidP="00352840">
            <w:pPr>
              <w:rPr>
                <w:rFonts w:ascii="Arial" w:hAnsi="Arial" w:cs="Arial"/>
                <w:color w:val="000000" w:themeColor="text1"/>
                <w:sz w:val="16"/>
                <w:szCs w:val="16"/>
              </w:rPr>
            </w:pPr>
            <w:r w:rsidRPr="001423E5">
              <w:rPr>
                <w:rFonts w:ascii="Arial" w:hAnsi="Arial" w:cs="Arial"/>
                <w:color w:val="000000" w:themeColor="text1"/>
                <w:sz w:val="16"/>
                <w:szCs w:val="16"/>
              </w:rPr>
              <w:t>28S rRNA</w:t>
            </w:r>
          </w:p>
          <w:p w14:paraId="40C0719D" w14:textId="77777777" w:rsidR="00352840" w:rsidRPr="001423E5" w:rsidRDefault="00352840" w:rsidP="00352840">
            <w:pPr>
              <w:rPr>
                <w:rFonts w:ascii="Arial" w:hAnsi="Arial" w:cs="Arial"/>
                <w:color w:val="000000" w:themeColor="text1"/>
                <w:sz w:val="16"/>
                <w:szCs w:val="16"/>
              </w:rPr>
            </w:pPr>
            <w:r w:rsidRPr="001423E5">
              <w:rPr>
                <w:rFonts w:ascii="Arial" w:hAnsi="Arial" w:cs="Arial"/>
                <w:color w:val="000000" w:themeColor="text1"/>
                <w:sz w:val="16"/>
                <w:szCs w:val="16"/>
              </w:rPr>
              <w:t>(</w:t>
            </w:r>
            <w:r w:rsidRPr="001423E5">
              <w:rPr>
                <w:rFonts w:ascii="Arial" w:hAnsi="Arial" w:cs="Arial"/>
                <w:i/>
                <w:iCs/>
                <w:color w:val="000000" w:themeColor="text1"/>
                <w:sz w:val="16"/>
                <w:szCs w:val="16"/>
              </w:rPr>
              <w:t>28S</w:t>
            </w:r>
            <w:r w:rsidRPr="001423E5">
              <w:rPr>
                <w:rFonts w:ascii="Arial" w:hAnsi="Arial" w:cs="Arial"/>
                <w:color w:val="000000" w:themeColor="text1"/>
                <w:sz w:val="16"/>
                <w:szCs w:val="16"/>
              </w:rPr>
              <w:t>)</w:t>
            </w:r>
          </w:p>
        </w:tc>
        <w:tc>
          <w:tcPr>
            <w:tcW w:w="1778" w:type="dxa"/>
            <w:gridSpan w:val="2"/>
          </w:tcPr>
          <w:p w14:paraId="06CE54F8" w14:textId="1B85FB2D" w:rsidR="00352840" w:rsidRPr="001423E5" w:rsidRDefault="00352840" w:rsidP="00352840">
            <w:pPr>
              <w:pStyle w:val="Nessunaspaziatura"/>
              <w:jc w:val="center"/>
              <w:rPr>
                <w:rFonts w:ascii="Arial" w:hAnsi="Arial" w:cs="Arial"/>
                <w:sz w:val="16"/>
                <w:szCs w:val="16"/>
              </w:rPr>
            </w:pPr>
            <w:r>
              <w:rPr>
                <w:rFonts w:ascii="Arial" w:hAnsi="Arial" w:cs="Arial"/>
                <w:color w:val="000000" w:themeColor="text1"/>
                <w:sz w:val="16"/>
                <w:szCs w:val="16"/>
              </w:rPr>
              <w:t xml:space="preserve">mRNA translation </w:t>
            </w:r>
          </w:p>
        </w:tc>
        <w:tc>
          <w:tcPr>
            <w:tcW w:w="2992" w:type="dxa"/>
            <w:gridSpan w:val="2"/>
            <w:vAlign w:val="center"/>
          </w:tcPr>
          <w:p w14:paraId="31D36E66" w14:textId="4DF33894" w:rsidR="00352840" w:rsidRPr="001423E5" w:rsidRDefault="00352840" w:rsidP="00352840">
            <w:pPr>
              <w:pStyle w:val="Nessunaspaziatura"/>
              <w:jc w:val="center"/>
              <w:rPr>
                <w:rFonts w:ascii="Arial" w:hAnsi="Arial" w:cs="Arial"/>
                <w:sz w:val="16"/>
                <w:szCs w:val="16"/>
              </w:rPr>
            </w:pPr>
            <w:r w:rsidRPr="001423E5">
              <w:rPr>
                <w:rFonts w:ascii="Arial" w:hAnsi="Arial" w:cs="Arial"/>
                <w:sz w:val="16"/>
                <w:szCs w:val="16"/>
              </w:rPr>
              <w:t>AGCCACTGCTTGCAGTTCTC</w:t>
            </w:r>
          </w:p>
          <w:p w14:paraId="173F1B25" w14:textId="77777777" w:rsidR="00352840" w:rsidRPr="001423E5" w:rsidRDefault="00352840" w:rsidP="00352840">
            <w:pPr>
              <w:pStyle w:val="Nessunaspaziatura"/>
              <w:jc w:val="center"/>
              <w:rPr>
                <w:rFonts w:ascii="Arial" w:hAnsi="Arial" w:cs="Arial"/>
                <w:sz w:val="16"/>
                <w:szCs w:val="16"/>
              </w:rPr>
            </w:pPr>
            <w:r w:rsidRPr="001423E5">
              <w:rPr>
                <w:rFonts w:ascii="Arial" w:hAnsi="Arial" w:cs="Arial"/>
                <w:sz w:val="16"/>
                <w:szCs w:val="16"/>
                <w:lang w:val="it-IT"/>
              </w:rPr>
              <w:t>ACTCGCGCACATGTTAGACTC</w:t>
            </w:r>
          </w:p>
        </w:tc>
        <w:tc>
          <w:tcPr>
            <w:tcW w:w="1260" w:type="dxa"/>
            <w:gridSpan w:val="2"/>
          </w:tcPr>
          <w:p w14:paraId="6B0116FB" w14:textId="77777777" w:rsidR="00352840" w:rsidRPr="001423E5" w:rsidRDefault="00352840" w:rsidP="00352840">
            <w:pPr>
              <w:jc w:val="center"/>
              <w:rPr>
                <w:rFonts w:ascii="Arial" w:hAnsi="Arial" w:cs="Arial"/>
                <w:color w:val="000000" w:themeColor="text1"/>
                <w:sz w:val="16"/>
                <w:szCs w:val="16"/>
              </w:rPr>
            </w:pPr>
            <w:r w:rsidRPr="001423E5">
              <w:rPr>
                <w:rFonts w:ascii="Arial" w:hAnsi="Arial" w:cs="Arial"/>
                <w:color w:val="000000" w:themeColor="text1"/>
                <w:sz w:val="16"/>
                <w:szCs w:val="16"/>
              </w:rPr>
              <w:t>94</w:t>
            </w:r>
          </w:p>
        </w:tc>
        <w:tc>
          <w:tcPr>
            <w:tcW w:w="1471" w:type="dxa"/>
            <w:vAlign w:val="center"/>
          </w:tcPr>
          <w:p w14:paraId="23DB9266" w14:textId="77777777" w:rsidR="00352840" w:rsidRPr="001423E5" w:rsidRDefault="00352840" w:rsidP="00352840">
            <w:pPr>
              <w:jc w:val="center"/>
              <w:rPr>
                <w:rFonts w:ascii="Arial" w:hAnsi="Arial" w:cs="Arial"/>
                <w:color w:val="000000" w:themeColor="text1"/>
                <w:sz w:val="16"/>
                <w:szCs w:val="16"/>
              </w:rPr>
            </w:pPr>
            <w:r w:rsidRPr="001423E5">
              <w:rPr>
                <w:rFonts w:ascii="Arial" w:hAnsi="Arial" w:cs="Arial"/>
                <w:color w:val="000000" w:themeColor="text1"/>
                <w:sz w:val="16"/>
                <w:szCs w:val="16"/>
              </w:rPr>
              <w:t>DQ158078</w:t>
            </w:r>
          </w:p>
          <w:p w14:paraId="398C063B" w14:textId="731F4252" w:rsidR="00352840" w:rsidRPr="001423E5" w:rsidRDefault="00352840" w:rsidP="00352840">
            <w:pPr>
              <w:jc w:val="center"/>
              <w:rPr>
                <w:rFonts w:ascii="Arial" w:hAnsi="Arial" w:cs="Arial"/>
                <w:color w:val="000000" w:themeColor="text1"/>
                <w:sz w:val="16"/>
                <w:szCs w:val="16"/>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{"citationID":"KyLm4cot","properties":{"formattedCitation":"(Ciocan et al., 2011)","plainCitation":"(Ciocan et al., 2011)","noteIndex":0},"citationItems":[{"id":"BhjTJc6p/Ne0ldH17","uris":["http://zotero.org/users/local/3Gep4yxL/items/YHSL7MY7"],"itemData":{"id":951,"type":"article-journal","abstract":"Background: While it is established that vertebrate-like steroids, particularly estrogens (estradiol, estrone) and androgens (testosterone), are present in various tissues of molluscs, it is still unclear what role these play in reproductive endocrinology in such organisms. This is despite the significant commercial shellfishery interest in several bivalve species and their decline.\nMethodology/Principal Findings: Using suppression subtraction hybridisation of mussel gonad samples at two stages (early and mature) of gametogenesis and (in parallel) following controlled laboratory estrogen exposure, we isolate several differentially regulated genes including testis-specific kinases, vitelline lysin and envelope sequences.\nConclusions: The differentially expressed mRNAs isolated provide evidence that mussels may be impacted by exogenous estrogen exposure.","container-title":"PLoS ONE","DOI":"10.1371/journal.pone.0022326","ISSN":"1932-6203","issue":"7","journalAbbreviation":"PLoS ONE","language":"en","page":"e22326","source":"DOI.org (Crossref)","title":"Identification of Reproduction-Specific Genes Associated with Maturation and Estrogen Exposure in a Marine Bivalve Mytilus edulis","volume":"6","author":[{"family":"Ciocan","given":"Corina M."},{"family":"Cubero-Leon","given":"Elena"},{"family":"Minier","given":"Christophe"},{"family":"Rotchell","given":"Jeanette M."}],"editor":[{"family":"Laudet","given":"Vincent"}],"issued":{"date-parts":[["2011",7,27]]}}}],"schema":"https://github.com/citation-style-language/schema/raw/master/csl-citation.json"} </w:instrText>
            </w:r>
            <w:r>
              <w:rPr>
                <w:rFonts w:ascii="Arial" w:hAnsi="Arial" w:cs="Arial"/>
                <w:color w:val="000000" w:themeColor="text1"/>
                <w:sz w:val="16"/>
                <w:szCs w:val="16"/>
              </w:rPr>
              <w:fldChar w:fldCharType="separate"/>
            </w:r>
            <w:r>
              <w:rPr>
                <w:rFonts w:ascii="Arial" w:hAnsi="Arial" w:cs="Arial"/>
                <w:noProof/>
                <w:color w:val="000000" w:themeColor="text1"/>
                <w:sz w:val="16"/>
                <w:szCs w:val="16"/>
              </w:rPr>
              <w:t>(Ciocan et al., 2011)</w:t>
            </w:r>
            <w:r>
              <w:rPr>
                <w:rFonts w:ascii="Arial" w:hAnsi="Arial" w:cs="Arial"/>
                <w:color w:val="000000" w:themeColor="text1"/>
                <w:sz w:val="16"/>
                <w:szCs w:val="16"/>
              </w:rPr>
              <w:fldChar w:fldCharType="end"/>
            </w:r>
          </w:p>
        </w:tc>
      </w:tr>
      <w:tr w:rsidR="00352840" w:rsidRPr="001423E5" w14:paraId="51C7132E" w14:textId="77777777" w:rsidTr="00352840">
        <w:tc>
          <w:tcPr>
            <w:tcW w:w="1515" w:type="dxa"/>
          </w:tcPr>
          <w:p w14:paraId="33F66E18" w14:textId="77777777" w:rsidR="00352840" w:rsidRPr="001423E5" w:rsidRDefault="00352840" w:rsidP="00352840">
            <w:pPr>
              <w:rPr>
                <w:rFonts w:ascii="Arial" w:hAnsi="Arial" w:cs="Arial"/>
                <w:color w:val="000000" w:themeColor="text1"/>
                <w:sz w:val="16"/>
                <w:szCs w:val="16"/>
              </w:rPr>
            </w:pPr>
            <w:r w:rsidRPr="001423E5">
              <w:rPr>
                <w:rFonts w:ascii="Arial" w:hAnsi="Arial" w:cs="Arial"/>
                <w:color w:val="000000" w:themeColor="text1"/>
                <w:sz w:val="16"/>
                <w:szCs w:val="16"/>
              </w:rPr>
              <w:t>Actin</w:t>
            </w:r>
          </w:p>
          <w:p w14:paraId="0FEA5B73" w14:textId="77777777" w:rsidR="00352840" w:rsidRPr="001423E5" w:rsidRDefault="00352840" w:rsidP="00352840">
            <w:pPr>
              <w:rPr>
                <w:rFonts w:ascii="Arial" w:hAnsi="Arial" w:cs="Arial"/>
                <w:color w:val="000000" w:themeColor="text1"/>
                <w:sz w:val="16"/>
                <w:szCs w:val="16"/>
              </w:rPr>
            </w:pPr>
            <w:r w:rsidRPr="001423E5">
              <w:rPr>
                <w:rFonts w:ascii="Arial" w:hAnsi="Arial" w:cs="Arial"/>
                <w:color w:val="000000" w:themeColor="text1"/>
                <w:sz w:val="16"/>
                <w:szCs w:val="16"/>
              </w:rPr>
              <w:t>(</w:t>
            </w:r>
            <w:r w:rsidRPr="001423E5">
              <w:rPr>
                <w:rFonts w:ascii="Arial" w:hAnsi="Arial" w:cs="Arial"/>
                <w:i/>
                <w:iCs/>
                <w:color w:val="000000" w:themeColor="text1"/>
                <w:sz w:val="16"/>
                <w:szCs w:val="16"/>
              </w:rPr>
              <w:t>ACT</w:t>
            </w:r>
            <w:r w:rsidRPr="001423E5">
              <w:rPr>
                <w:rFonts w:ascii="Arial" w:hAnsi="Arial" w:cs="Arial"/>
                <w:color w:val="000000" w:themeColor="text1"/>
                <w:sz w:val="16"/>
                <w:szCs w:val="16"/>
              </w:rPr>
              <w:t>)</w:t>
            </w:r>
          </w:p>
        </w:tc>
        <w:tc>
          <w:tcPr>
            <w:tcW w:w="1778" w:type="dxa"/>
            <w:gridSpan w:val="2"/>
          </w:tcPr>
          <w:p w14:paraId="7E01BDF8" w14:textId="77777777" w:rsidR="00352840" w:rsidRDefault="00352840" w:rsidP="009E1888">
            <w:pPr>
              <w:spacing w:line="240" w:lineRule="auto"/>
              <w:contextualSpacing/>
              <w:jc w:val="center"/>
              <w:rPr>
                <w:rFonts w:ascii="Arial" w:hAnsi="Arial" w:cs="Arial"/>
                <w:color w:val="000000" w:themeColor="text1"/>
                <w:sz w:val="16"/>
                <w:szCs w:val="16"/>
              </w:rPr>
            </w:pPr>
            <w:r w:rsidRPr="00F044BD">
              <w:rPr>
                <w:rFonts w:ascii="Arial" w:hAnsi="Arial" w:cs="Arial"/>
                <w:color w:val="000000" w:themeColor="text1"/>
                <w:sz w:val="16"/>
                <w:szCs w:val="16"/>
              </w:rPr>
              <w:t>structure and function of the cytoskeleton</w:t>
            </w:r>
            <w:r>
              <w:rPr>
                <w:rFonts w:ascii="Arial" w:hAnsi="Arial" w:cs="Arial"/>
                <w:color w:val="000000" w:themeColor="text1"/>
                <w:sz w:val="16"/>
                <w:szCs w:val="16"/>
              </w:rPr>
              <w:t>,</w:t>
            </w:r>
            <w:r w:rsidRPr="00F044BD">
              <w:rPr>
                <w:rFonts w:ascii="Arial" w:hAnsi="Arial" w:cs="Arial"/>
                <w:color w:val="000000" w:themeColor="text1"/>
                <w:sz w:val="16"/>
                <w:szCs w:val="16"/>
              </w:rPr>
              <w:t xml:space="preserve"> and component of cell microfilaments </w:t>
            </w:r>
          </w:p>
          <w:p w14:paraId="52F042D8" w14:textId="77777777" w:rsidR="00352840" w:rsidRPr="001423E5" w:rsidRDefault="00352840" w:rsidP="009E1888">
            <w:pPr>
              <w:pStyle w:val="Nessunaspaziatura"/>
              <w:jc w:val="center"/>
              <w:rPr>
                <w:rFonts w:ascii="Arial" w:hAnsi="Arial" w:cs="Arial"/>
                <w:sz w:val="16"/>
                <w:szCs w:val="16"/>
              </w:rPr>
            </w:pPr>
          </w:p>
        </w:tc>
        <w:tc>
          <w:tcPr>
            <w:tcW w:w="2992" w:type="dxa"/>
            <w:gridSpan w:val="2"/>
            <w:vAlign w:val="center"/>
          </w:tcPr>
          <w:p w14:paraId="2CC2FE41" w14:textId="6F52B4D5" w:rsidR="00352840" w:rsidRPr="001423E5" w:rsidRDefault="00352840" w:rsidP="00352840">
            <w:pPr>
              <w:pStyle w:val="Nessunaspaziatura"/>
              <w:jc w:val="center"/>
              <w:rPr>
                <w:rFonts w:ascii="Arial" w:hAnsi="Arial" w:cs="Arial"/>
                <w:sz w:val="16"/>
                <w:szCs w:val="16"/>
              </w:rPr>
            </w:pPr>
            <w:r w:rsidRPr="001423E5">
              <w:rPr>
                <w:rFonts w:ascii="Arial" w:hAnsi="Arial" w:cs="Arial"/>
                <w:sz w:val="16"/>
                <w:szCs w:val="16"/>
              </w:rPr>
              <w:t>GTGTGATGTCATATCCGTAAGGA</w:t>
            </w:r>
          </w:p>
          <w:p w14:paraId="4FA0D549" w14:textId="77777777" w:rsidR="00352840" w:rsidRPr="001423E5" w:rsidRDefault="00352840" w:rsidP="00352840">
            <w:pPr>
              <w:pStyle w:val="Nessunaspaziatura"/>
              <w:jc w:val="center"/>
              <w:rPr>
                <w:rFonts w:ascii="Arial" w:hAnsi="Arial" w:cs="Arial"/>
                <w:sz w:val="16"/>
                <w:szCs w:val="16"/>
              </w:rPr>
            </w:pPr>
            <w:r w:rsidRPr="001423E5">
              <w:rPr>
                <w:rFonts w:ascii="Arial" w:hAnsi="Arial" w:cs="Arial"/>
                <w:sz w:val="16"/>
                <w:szCs w:val="16"/>
                <w:lang w:val="it-IT"/>
              </w:rPr>
              <w:t>GCTTGGAGCAAGTGCTGTGA</w:t>
            </w:r>
          </w:p>
        </w:tc>
        <w:tc>
          <w:tcPr>
            <w:tcW w:w="1260" w:type="dxa"/>
            <w:gridSpan w:val="2"/>
          </w:tcPr>
          <w:p w14:paraId="68232AE8" w14:textId="77777777" w:rsidR="00352840" w:rsidRPr="001423E5" w:rsidRDefault="00352840" w:rsidP="00352840">
            <w:pPr>
              <w:jc w:val="center"/>
              <w:rPr>
                <w:rFonts w:ascii="Arial" w:hAnsi="Arial" w:cs="Arial"/>
                <w:color w:val="000000" w:themeColor="text1"/>
                <w:sz w:val="16"/>
                <w:szCs w:val="16"/>
              </w:rPr>
            </w:pPr>
            <w:r w:rsidRPr="001423E5">
              <w:rPr>
                <w:rFonts w:ascii="Arial" w:hAnsi="Arial" w:cs="Arial"/>
                <w:color w:val="000000" w:themeColor="text1"/>
                <w:sz w:val="16"/>
                <w:szCs w:val="16"/>
              </w:rPr>
              <w:t>114</w:t>
            </w:r>
          </w:p>
        </w:tc>
        <w:tc>
          <w:tcPr>
            <w:tcW w:w="1471" w:type="dxa"/>
            <w:vAlign w:val="center"/>
          </w:tcPr>
          <w:p w14:paraId="2831FADF" w14:textId="77777777" w:rsidR="00352840" w:rsidRPr="001423E5" w:rsidRDefault="00352840" w:rsidP="00352840">
            <w:pPr>
              <w:jc w:val="center"/>
              <w:rPr>
                <w:rFonts w:ascii="Arial" w:hAnsi="Arial" w:cs="Arial"/>
                <w:color w:val="000000" w:themeColor="text1"/>
                <w:sz w:val="16"/>
                <w:szCs w:val="16"/>
              </w:rPr>
            </w:pPr>
            <w:r w:rsidRPr="001423E5">
              <w:rPr>
                <w:rFonts w:ascii="Arial" w:hAnsi="Arial" w:cs="Arial"/>
                <w:color w:val="000000" w:themeColor="text1"/>
                <w:sz w:val="16"/>
                <w:szCs w:val="16"/>
              </w:rPr>
              <w:t>AF157491</w:t>
            </w:r>
          </w:p>
          <w:p w14:paraId="207208C4" w14:textId="0183C35C" w:rsidR="00352840" w:rsidRPr="001423E5" w:rsidRDefault="00352840" w:rsidP="00352840">
            <w:pPr>
              <w:jc w:val="center"/>
              <w:rPr>
                <w:rFonts w:ascii="Arial" w:hAnsi="Arial" w:cs="Arial"/>
                <w:color w:val="000000" w:themeColor="text1"/>
                <w:sz w:val="16"/>
                <w:szCs w:val="16"/>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{"citationID":"Cb7btKig","properties":{"formattedCitation":"(Banni et al., 2011)","plainCitation":"(Banni et al., 2011)","noteIndex":0},"citationItems":[{"id":"BhjTJc6p/fhoh8DGo","uris":["http://zotero.org/users/local/3Gep4yxL/items/33IMQUJI"],"itemData":{"id":1960,"type":"article-journal","abstract":"Seasonal environmental changes may affect the physiology of Mytilus galloprovincialis (Lam.), an intertidal filter-feeder bivalve occurring commonly in Mediterranean and Atlantic coastal areas. We investigated seasonal variations in relative transcript abundance of the digestive gland and the mantle (gonads) of males and females. To identify gene expression trends – in terms of relative mRNA abundance- we used a medium-density cDNA microarray (1.7 K probes) in dual-color competitive hybridization analyses. Hierarchical clustering of digestive gland microarray data showed two main branches, distinguishing profiles associated with the ‘‘hot’’ months (May–August) from the other months. Genes involved in chitin metabolism, associated with mussel nutrition and digestion showed higher mRNA levels during summer. Moreover, we found different gene transcriptomic patterns in the digestive glands of males when compared to females, during the four stages of mussel gonadal development. Microarray data from gonadal transcripts also displayed clear patterns during the different developmental phases respect to the resting period (stage I) with peak relative mRNA abundance at the ripe phase (stage III) for both sexes. These data showed a clear temporal pattern in transcriptomic profiles of mussels sampled over an annual cycle. Physiological response to thermal variation, food availability, and reproductive status across months may contribute to variation in relative mRNA abundance.","container-title":"PLoS ONE","DOI":"10.1371/journal.pone.0018904","ISSN":"1932-6203","issue":"5","journalAbbreviation":"PLoS ONE","language":"en","page":"e18904","source":"DOI.org (Crossref)","title":"Gene Expression Rhythms in the Mussel Mytilus galloprovincialis (Lam.) across an Annual Cycle","volume":"6","author":[{"family":"Banni","given":"Mohamed"},{"family":"Negri","given":"Alessandro"},{"family":"Mignone","given":"Flavio"},{"family":"Boussetta","given":"Hamadi"},{"family":"Viarengo","given":"Aldo"},{"family":"Dondero","given":"Francesco"}],"editor":[{"family":"Gibas","given":"Cynthia"}],"issued":{"date-parts":[["2011",5,5]]}}}],"schema":"https://github.com/citation-style-language/schema/raw/master/csl-citation.json"} </w:instrText>
            </w:r>
            <w:r>
              <w:rPr>
                <w:rFonts w:ascii="Arial" w:hAnsi="Arial" w:cs="Arial"/>
                <w:color w:val="000000" w:themeColor="text1"/>
                <w:sz w:val="16"/>
                <w:szCs w:val="16"/>
              </w:rPr>
              <w:fldChar w:fldCharType="separate"/>
            </w:r>
            <w:r>
              <w:rPr>
                <w:rFonts w:ascii="Arial" w:hAnsi="Arial" w:cs="Arial"/>
                <w:noProof/>
                <w:color w:val="000000" w:themeColor="text1"/>
                <w:sz w:val="16"/>
                <w:szCs w:val="16"/>
              </w:rPr>
              <w:t>(Banni et al., 2011)</w:t>
            </w:r>
            <w:r>
              <w:rPr>
                <w:rFonts w:ascii="Arial" w:hAnsi="Arial" w:cs="Arial"/>
                <w:color w:val="000000" w:themeColor="text1"/>
                <w:sz w:val="16"/>
                <w:szCs w:val="16"/>
              </w:rPr>
              <w:fldChar w:fldCharType="end"/>
            </w:r>
          </w:p>
        </w:tc>
      </w:tr>
      <w:tr w:rsidR="00352840" w:rsidRPr="008B67C3" w14:paraId="16D8C3D2" w14:textId="77777777" w:rsidTr="00352840">
        <w:tc>
          <w:tcPr>
            <w:tcW w:w="1515" w:type="dxa"/>
          </w:tcPr>
          <w:p w14:paraId="5D37AC97" w14:textId="77777777" w:rsidR="00352840" w:rsidRPr="001423E5" w:rsidRDefault="00352840" w:rsidP="00352840">
            <w:pPr>
              <w:rPr>
                <w:rFonts w:ascii="Arial" w:hAnsi="Arial" w:cs="Arial"/>
                <w:color w:val="000000" w:themeColor="text1"/>
                <w:sz w:val="16"/>
                <w:szCs w:val="16"/>
              </w:rPr>
            </w:pPr>
            <w:r w:rsidRPr="001423E5">
              <w:rPr>
                <w:rFonts w:ascii="Arial" w:hAnsi="Arial" w:cs="Arial"/>
                <w:color w:val="000000" w:themeColor="text1"/>
                <w:sz w:val="16"/>
                <w:szCs w:val="16"/>
              </w:rPr>
              <w:t>Tubulin</w:t>
            </w:r>
          </w:p>
          <w:p w14:paraId="3BE517BD" w14:textId="77777777" w:rsidR="00352840" w:rsidRPr="001423E5" w:rsidRDefault="00352840" w:rsidP="00352840">
            <w:pPr>
              <w:rPr>
                <w:rFonts w:ascii="Arial" w:hAnsi="Arial" w:cs="Arial"/>
                <w:color w:val="000000" w:themeColor="text1"/>
                <w:sz w:val="16"/>
                <w:szCs w:val="16"/>
              </w:rPr>
            </w:pPr>
            <w:r w:rsidRPr="001423E5">
              <w:rPr>
                <w:rFonts w:ascii="Arial" w:hAnsi="Arial" w:cs="Arial"/>
                <w:color w:val="000000" w:themeColor="text1"/>
                <w:sz w:val="16"/>
                <w:szCs w:val="16"/>
              </w:rPr>
              <w:t>(</w:t>
            </w:r>
            <w:r w:rsidRPr="001423E5">
              <w:rPr>
                <w:rFonts w:ascii="Arial" w:hAnsi="Arial" w:cs="Arial"/>
                <w:i/>
                <w:iCs/>
                <w:color w:val="000000" w:themeColor="text1"/>
                <w:sz w:val="16"/>
                <w:szCs w:val="16"/>
              </w:rPr>
              <w:t>TUB</w:t>
            </w:r>
            <w:r w:rsidRPr="001423E5">
              <w:rPr>
                <w:rFonts w:ascii="Arial" w:hAnsi="Arial" w:cs="Arial"/>
                <w:color w:val="000000" w:themeColor="text1"/>
                <w:sz w:val="16"/>
                <w:szCs w:val="16"/>
              </w:rPr>
              <w:t>)</w:t>
            </w:r>
          </w:p>
        </w:tc>
        <w:tc>
          <w:tcPr>
            <w:tcW w:w="1778" w:type="dxa"/>
            <w:gridSpan w:val="2"/>
          </w:tcPr>
          <w:p w14:paraId="10A6698A" w14:textId="77777777" w:rsidR="00352840" w:rsidRDefault="00352840" w:rsidP="00352840">
            <w:pPr>
              <w:pStyle w:val="Nessunaspaziatura"/>
              <w:jc w:val="center"/>
              <w:rPr>
                <w:rFonts w:ascii="Arial" w:hAnsi="Arial" w:cs="Arial"/>
                <w:color w:val="000000" w:themeColor="text1"/>
                <w:sz w:val="16"/>
                <w:szCs w:val="16"/>
              </w:rPr>
            </w:pPr>
            <w:r w:rsidRPr="00B06C36">
              <w:rPr>
                <w:rFonts w:ascii="Arial" w:hAnsi="Arial" w:cs="Arial"/>
                <w:color w:val="000000" w:themeColor="text1"/>
                <w:sz w:val="16"/>
                <w:szCs w:val="16"/>
              </w:rPr>
              <w:t xml:space="preserve">composition and maintenance of cytoskeletal structures </w:t>
            </w:r>
          </w:p>
          <w:p w14:paraId="582785E4" w14:textId="23E1BE05" w:rsidR="009E1888" w:rsidRPr="001423E5" w:rsidRDefault="009E1888" w:rsidP="00352840">
            <w:pPr>
              <w:pStyle w:val="Nessunaspaziatura"/>
              <w:jc w:val="center"/>
              <w:rPr>
                <w:rFonts w:ascii="Arial" w:hAnsi="Arial" w:cs="Arial"/>
                <w:sz w:val="16"/>
                <w:szCs w:val="16"/>
              </w:rPr>
            </w:pPr>
          </w:p>
        </w:tc>
        <w:tc>
          <w:tcPr>
            <w:tcW w:w="2992" w:type="dxa"/>
            <w:gridSpan w:val="2"/>
            <w:vAlign w:val="center"/>
          </w:tcPr>
          <w:p w14:paraId="5ECC834D" w14:textId="047358EF" w:rsidR="00352840" w:rsidRPr="001423E5" w:rsidRDefault="00352840" w:rsidP="00352840">
            <w:pPr>
              <w:pStyle w:val="Nessunaspaziatura"/>
              <w:jc w:val="center"/>
              <w:rPr>
                <w:rFonts w:ascii="Arial" w:hAnsi="Arial" w:cs="Arial"/>
                <w:sz w:val="16"/>
                <w:szCs w:val="16"/>
              </w:rPr>
            </w:pPr>
            <w:r w:rsidRPr="001423E5">
              <w:rPr>
                <w:rFonts w:ascii="Arial" w:hAnsi="Arial" w:cs="Arial"/>
                <w:sz w:val="16"/>
                <w:szCs w:val="16"/>
              </w:rPr>
              <w:t>TTGCAACCATCAAGACCAAG</w:t>
            </w:r>
          </w:p>
          <w:p w14:paraId="66D61269" w14:textId="77777777" w:rsidR="00352840" w:rsidRPr="001423E5" w:rsidRDefault="00352840" w:rsidP="00352840">
            <w:pPr>
              <w:pStyle w:val="Nessunaspaziatura"/>
              <w:jc w:val="center"/>
              <w:rPr>
                <w:rFonts w:ascii="Arial" w:hAnsi="Arial" w:cs="Arial"/>
                <w:sz w:val="16"/>
                <w:szCs w:val="16"/>
              </w:rPr>
            </w:pPr>
            <w:r w:rsidRPr="001423E5">
              <w:rPr>
                <w:rFonts w:ascii="Arial" w:hAnsi="Arial" w:cs="Arial"/>
                <w:sz w:val="16"/>
                <w:szCs w:val="16"/>
                <w:lang w:val="it-IT"/>
              </w:rPr>
              <w:t>TGCAGACGGCTCTCTGT</w:t>
            </w:r>
          </w:p>
        </w:tc>
        <w:tc>
          <w:tcPr>
            <w:tcW w:w="1260" w:type="dxa"/>
            <w:gridSpan w:val="2"/>
          </w:tcPr>
          <w:p w14:paraId="3D8D467F" w14:textId="77777777" w:rsidR="00352840" w:rsidRPr="001423E5" w:rsidRDefault="00352840" w:rsidP="00352840">
            <w:pPr>
              <w:jc w:val="center"/>
              <w:rPr>
                <w:rFonts w:ascii="Arial" w:hAnsi="Arial" w:cs="Arial"/>
                <w:color w:val="000000" w:themeColor="text1"/>
                <w:sz w:val="16"/>
                <w:szCs w:val="16"/>
              </w:rPr>
            </w:pPr>
            <w:r w:rsidRPr="001423E5">
              <w:rPr>
                <w:rFonts w:ascii="Arial" w:hAnsi="Arial" w:cs="Arial"/>
                <w:color w:val="000000" w:themeColor="text1"/>
                <w:sz w:val="16"/>
                <w:szCs w:val="16"/>
              </w:rPr>
              <w:t>102</w:t>
            </w:r>
          </w:p>
        </w:tc>
        <w:tc>
          <w:tcPr>
            <w:tcW w:w="1471" w:type="dxa"/>
            <w:vAlign w:val="center"/>
          </w:tcPr>
          <w:p w14:paraId="6FD655BE" w14:textId="77777777" w:rsidR="00352840" w:rsidRPr="00B30A68" w:rsidRDefault="00352840" w:rsidP="00352840">
            <w:pPr>
              <w:jc w:val="center"/>
              <w:rPr>
                <w:rFonts w:ascii="Arial" w:hAnsi="Arial" w:cs="Arial"/>
                <w:color w:val="000000" w:themeColor="text1"/>
                <w:sz w:val="16"/>
                <w:szCs w:val="16"/>
                <w:lang w:val="it-IT"/>
              </w:rPr>
            </w:pPr>
            <w:r w:rsidRPr="00B30A68">
              <w:rPr>
                <w:rFonts w:ascii="Arial" w:hAnsi="Arial" w:cs="Arial"/>
                <w:color w:val="000000" w:themeColor="text1"/>
                <w:sz w:val="16"/>
                <w:szCs w:val="16"/>
                <w:lang w:val="it-IT"/>
              </w:rPr>
              <w:t>HM537081</w:t>
            </w:r>
          </w:p>
          <w:p w14:paraId="0CA4518A" w14:textId="2D401B3E" w:rsidR="00352840" w:rsidRPr="00B30A68" w:rsidRDefault="00352840" w:rsidP="00352840">
            <w:pPr>
              <w:jc w:val="center"/>
              <w:rPr>
                <w:rFonts w:ascii="Arial" w:hAnsi="Arial" w:cs="Arial"/>
                <w:color w:val="000000" w:themeColor="text1"/>
                <w:sz w:val="16"/>
                <w:szCs w:val="16"/>
                <w:lang w:val="it-IT"/>
              </w:rPr>
            </w:pPr>
            <w:r>
              <w:rPr>
                <w:rFonts w:ascii="Arial" w:hAnsi="Arial" w:cs="Arial"/>
                <w:color w:val="000000" w:themeColor="text1"/>
                <w:sz w:val="16"/>
                <w:szCs w:val="16"/>
              </w:rPr>
              <w:fldChar w:fldCharType="begin"/>
            </w:r>
            <w:r w:rsidR="00CD4039">
              <w:rPr>
                <w:rFonts w:ascii="Arial" w:hAnsi="Arial" w:cs="Arial"/>
                <w:color w:val="000000" w:themeColor="text1"/>
                <w:sz w:val="16"/>
                <w:szCs w:val="16"/>
                <w:lang w:val="it-IT"/>
              </w:rPr>
              <w:instrText xml:space="preserve"> ADDIN ZOTERO_ITEM CSL_CITATION {"citationID":"jNEqcecm","properties":{"formattedCitation":"(Cubero-Leon et al., 2012)","plainCitation":"(Cubero-Leon et al., 2012)","noteIndex":0},"citationItems":[{"id":"BhjTJc6p/pXDo06NE","uris":["http://zotero.org/users/local/3Gep4yxL/items/ADPVF6EY"],"itemData":{"id":1789,"type":"article-journal","abstract":"Purpose The aim of this study is to develop a normalization method for real-time PCR data by analyzing the most stably expressed control genes in mussel (Mytilus edulis) reproductive tissue.\nMethods To facilitate this, six candidate genes, including several commonly used in the literature, were investigated in mussels at different stages of gametogenesis and following experimental exposure to a model estrogen (17b-estradiol). GeNorm and NormFinder softwares were employed to assess the stability of the reference genes.\nResults Our results demonstrate that the most stable reference genes are not the same in mussels at different stages of gametogenesis and in experimentally E2-exposed mussels. Interestingly, HEL (helicase) and ACT (actin) mRNA expression levels were most affected by the stage of gametogenesis and yet, in molluscan studies, ACT is possibly the most frequently used reference gene.\nConclusions We demonstrate that the experimental results are highly dependent on the reference gene chosen and that","container-title":"Environmental Science and Pollution Research","DOI":"10.1007/s11356-012-0772-9","ISSN":"0944-1344, 1614-7499","issue":"7","journalAbbreviation":"Environ Sci Pollut Res","language":"en","license":"http://www.springer.com/tdm","page":"2728-2733","source":"DOI.org (Crossref)","title":"Reference gene selection for qPCR in mussel, Mytilus edulis, during gametogenesis and exogenous estrogen exposure","volume":"19","author":[{"family":"Cubero-Leon","given":"Elena"},{"family":"Ciocan","given":"Corina M."},{"family":"Minier","given":"Christophe"},{"family":"Rotchell","given":"Jeanette M."}],"issued":{"date-parts":[["2012",8]]}}}],"schema":"https://github.com/citation-style-language/schema/raw/master/csl-citation.json"} </w:instrText>
            </w:r>
            <w:r>
              <w:rPr>
                <w:rFonts w:ascii="Arial" w:hAnsi="Arial" w:cs="Arial"/>
                <w:color w:val="000000" w:themeColor="text1"/>
                <w:sz w:val="16"/>
                <w:szCs w:val="16"/>
              </w:rPr>
              <w:fldChar w:fldCharType="separate"/>
            </w:r>
            <w:r w:rsidRPr="00B30A68">
              <w:rPr>
                <w:rFonts w:ascii="Arial" w:hAnsi="Arial" w:cs="Arial"/>
                <w:noProof/>
                <w:color w:val="000000" w:themeColor="text1"/>
                <w:sz w:val="16"/>
                <w:szCs w:val="16"/>
                <w:lang w:val="it-IT"/>
              </w:rPr>
              <w:t>(Cubero-Leon et al., 2012)</w:t>
            </w:r>
            <w:r>
              <w:rPr>
                <w:rFonts w:ascii="Arial" w:hAnsi="Arial" w:cs="Arial"/>
                <w:color w:val="000000" w:themeColor="text1"/>
                <w:sz w:val="16"/>
                <w:szCs w:val="16"/>
              </w:rPr>
              <w:fldChar w:fldCharType="end"/>
            </w:r>
          </w:p>
        </w:tc>
      </w:tr>
      <w:tr w:rsidR="00352840" w:rsidRPr="001423E5" w14:paraId="374F00BF" w14:textId="77777777" w:rsidTr="00352840">
        <w:tc>
          <w:tcPr>
            <w:tcW w:w="1515" w:type="dxa"/>
          </w:tcPr>
          <w:p w14:paraId="14DD1AF8" w14:textId="77777777" w:rsidR="00352840" w:rsidRPr="001423E5" w:rsidRDefault="00352840" w:rsidP="00352840">
            <w:pPr>
              <w:rPr>
                <w:rFonts w:ascii="Arial" w:hAnsi="Arial" w:cs="Arial"/>
                <w:iCs/>
                <w:color w:val="000000" w:themeColor="text1"/>
                <w:sz w:val="16"/>
                <w:szCs w:val="16"/>
              </w:rPr>
            </w:pPr>
            <w:r w:rsidRPr="001423E5">
              <w:rPr>
                <w:rFonts w:ascii="Arial" w:hAnsi="Arial" w:cs="Arial"/>
                <w:iCs/>
                <w:color w:val="000000" w:themeColor="text1"/>
                <w:sz w:val="16"/>
                <w:szCs w:val="16"/>
              </w:rPr>
              <w:t>Elongation factor-1α</w:t>
            </w:r>
          </w:p>
          <w:p w14:paraId="0160611B" w14:textId="77777777" w:rsidR="00352840" w:rsidRPr="001423E5" w:rsidRDefault="00352840" w:rsidP="00352840">
            <w:pPr>
              <w:rPr>
                <w:rFonts w:ascii="Arial" w:hAnsi="Arial" w:cs="Arial"/>
                <w:color w:val="000000" w:themeColor="text1"/>
                <w:sz w:val="16"/>
                <w:szCs w:val="16"/>
              </w:rPr>
            </w:pPr>
            <w:r w:rsidRPr="001423E5">
              <w:rPr>
                <w:rFonts w:ascii="Arial" w:hAnsi="Arial" w:cs="Arial"/>
                <w:i/>
                <w:color w:val="000000" w:themeColor="text1"/>
                <w:sz w:val="16"/>
                <w:szCs w:val="16"/>
              </w:rPr>
              <w:t>(EF1)</w:t>
            </w:r>
          </w:p>
        </w:tc>
        <w:tc>
          <w:tcPr>
            <w:tcW w:w="1778" w:type="dxa"/>
            <w:gridSpan w:val="2"/>
          </w:tcPr>
          <w:p w14:paraId="342253AA" w14:textId="26438116" w:rsidR="00352840" w:rsidRPr="001423E5" w:rsidRDefault="00352840" w:rsidP="00352840">
            <w:pPr>
              <w:pStyle w:val="Nessunaspaziatura"/>
              <w:jc w:val="center"/>
              <w:rPr>
                <w:rFonts w:ascii="Arial" w:hAnsi="Arial" w:cs="Arial"/>
                <w:sz w:val="16"/>
                <w:szCs w:val="16"/>
              </w:rPr>
            </w:pPr>
            <w:r w:rsidRPr="00F044BD">
              <w:rPr>
                <w:rFonts w:ascii="Arial" w:hAnsi="Arial" w:cs="Arial"/>
                <w:color w:val="000000" w:themeColor="text1"/>
                <w:sz w:val="16"/>
                <w:szCs w:val="16"/>
              </w:rPr>
              <w:t>control of translation</w:t>
            </w:r>
          </w:p>
        </w:tc>
        <w:tc>
          <w:tcPr>
            <w:tcW w:w="2992" w:type="dxa"/>
            <w:gridSpan w:val="2"/>
            <w:vAlign w:val="center"/>
          </w:tcPr>
          <w:p w14:paraId="697A0772" w14:textId="1DADEB23" w:rsidR="00352840" w:rsidRPr="001423E5" w:rsidRDefault="00352840" w:rsidP="00352840">
            <w:pPr>
              <w:pStyle w:val="Nessunaspaziatura"/>
              <w:jc w:val="center"/>
              <w:rPr>
                <w:rFonts w:ascii="Arial" w:hAnsi="Arial" w:cs="Arial"/>
                <w:sz w:val="16"/>
                <w:szCs w:val="16"/>
              </w:rPr>
            </w:pPr>
            <w:r w:rsidRPr="001423E5">
              <w:rPr>
                <w:rFonts w:ascii="Arial" w:hAnsi="Arial" w:cs="Arial"/>
                <w:sz w:val="16"/>
                <w:szCs w:val="16"/>
              </w:rPr>
              <w:t>CGTTTTGCTGTCCGAGACATG</w:t>
            </w:r>
          </w:p>
          <w:p w14:paraId="097C9AED" w14:textId="77777777" w:rsidR="00352840" w:rsidRPr="001423E5" w:rsidRDefault="00352840" w:rsidP="00352840">
            <w:pPr>
              <w:pStyle w:val="Nessunaspaziatura"/>
              <w:jc w:val="center"/>
              <w:rPr>
                <w:rFonts w:ascii="Arial" w:hAnsi="Arial" w:cs="Arial"/>
                <w:sz w:val="16"/>
                <w:szCs w:val="16"/>
              </w:rPr>
            </w:pPr>
            <w:r w:rsidRPr="001423E5">
              <w:rPr>
                <w:rFonts w:ascii="Arial" w:hAnsi="Arial" w:cs="Arial"/>
                <w:sz w:val="16"/>
                <w:szCs w:val="16"/>
                <w:lang w:val="it-IT"/>
              </w:rPr>
              <w:t>CCACGCCTCACATCATTTCTTG</w:t>
            </w:r>
          </w:p>
        </w:tc>
        <w:tc>
          <w:tcPr>
            <w:tcW w:w="1260" w:type="dxa"/>
            <w:gridSpan w:val="2"/>
          </w:tcPr>
          <w:p w14:paraId="0C50345E" w14:textId="77777777" w:rsidR="00352840" w:rsidRPr="001423E5" w:rsidRDefault="00352840" w:rsidP="00352840">
            <w:pPr>
              <w:jc w:val="center"/>
              <w:rPr>
                <w:rFonts w:ascii="Arial" w:hAnsi="Arial" w:cs="Arial"/>
                <w:color w:val="000000" w:themeColor="text1"/>
                <w:sz w:val="16"/>
                <w:szCs w:val="16"/>
              </w:rPr>
            </w:pPr>
            <w:r w:rsidRPr="001423E5">
              <w:rPr>
                <w:rFonts w:ascii="Arial" w:hAnsi="Arial" w:cs="Arial"/>
                <w:color w:val="000000" w:themeColor="text1"/>
                <w:sz w:val="16"/>
                <w:szCs w:val="16"/>
              </w:rPr>
              <w:t>99</w:t>
            </w:r>
          </w:p>
        </w:tc>
        <w:tc>
          <w:tcPr>
            <w:tcW w:w="1471" w:type="dxa"/>
            <w:vAlign w:val="center"/>
          </w:tcPr>
          <w:p w14:paraId="7BF5AB73" w14:textId="77777777" w:rsidR="00352840" w:rsidRPr="001423E5" w:rsidRDefault="00352840" w:rsidP="00352840">
            <w:pPr>
              <w:jc w:val="center"/>
              <w:rPr>
                <w:rFonts w:ascii="Arial" w:hAnsi="Arial" w:cs="Arial"/>
                <w:color w:val="000000" w:themeColor="text1"/>
                <w:sz w:val="16"/>
                <w:szCs w:val="16"/>
              </w:rPr>
            </w:pPr>
            <w:r w:rsidRPr="001423E5">
              <w:rPr>
                <w:rFonts w:ascii="Arial" w:hAnsi="Arial" w:cs="Arial"/>
                <w:color w:val="000000" w:themeColor="text1"/>
                <w:sz w:val="16"/>
                <w:szCs w:val="16"/>
              </w:rPr>
              <w:t>AB162021</w:t>
            </w:r>
          </w:p>
          <w:p w14:paraId="1ABF488D" w14:textId="0CFF3A84" w:rsidR="00352840" w:rsidRPr="001423E5" w:rsidRDefault="00352840" w:rsidP="00352840">
            <w:pPr>
              <w:jc w:val="center"/>
              <w:rPr>
                <w:rFonts w:ascii="Arial" w:hAnsi="Arial" w:cs="Arial"/>
                <w:color w:val="000000" w:themeColor="text1"/>
                <w:sz w:val="16"/>
                <w:szCs w:val="16"/>
              </w:rPr>
            </w:pPr>
            <w:r>
              <w:rPr>
                <w:rFonts w:ascii="Arial" w:hAnsi="Arial" w:cs="Arial"/>
                <w:color w:val="000000" w:themeColor="text1"/>
                <w:sz w:val="16"/>
                <w:szCs w:val="16"/>
              </w:rPr>
              <w:fldChar w:fldCharType="begin"/>
            </w:r>
            <w:r w:rsidR="00CD4039">
              <w:rPr>
                <w:rFonts w:ascii="Arial" w:hAnsi="Arial" w:cs="Arial"/>
                <w:color w:val="000000" w:themeColor="text1"/>
                <w:sz w:val="16"/>
                <w:szCs w:val="16"/>
              </w:rPr>
              <w:instrText xml:space="preserve"> ADDIN ZOTERO_ITEM CSL_CITATION {"citationID":"cHRU3bEF","properties":{"formattedCitation":"(Ciocan et al., 2011)","plainCitation":"(Ciocan et al., 2011)","noteIndex":0},"citationItems":[{"id":"BhjTJc6p/Ne0ldH17","uris":["http://zotero.org/users/local/3Gep4yxL/items/YHSL7MY7"],"itemData":{"id":951,"type":"article-journal","abstract":"Background: While it is established that vertebrate-like steroids, particularly estrogens (estradiol, estrone) and androgens (testosterone), are present in various tissues of molluscs, it is still unclear what role these play in reproductive endocrinology in such organisms. This is despite the significant commercial shellfishery interest in several bivalve species and their decline.\nMethodology/Principal Findings: Using suppression subtraction hybridisation of mussel gonad samples at two stages (early and mature) of gametogenesis and (in parallel) following controlled laboratory estrogen exposure, we isolate several differentially regulated genes including testis-specific kinases, vitelline lysin and envelope sequences.\nConclusions: The differentially expressed mRNAs isolated provide evidence that mussels may be impacted by exogenous estrogen exposure.","container-title":"PLoS ONE","DOI":"10.1371/journal.pone.0022326","ISSN":"1932-6203","issue":"7","journalAbbreviation":"PLoS ONE","language":"en","page":"e22326","source":"DOI.org (Crossref)","title":"Identification of Reproduction-Specific Genes Associated with Maturation and Estrogen Exposure in a Marine Bivalve Mytilus edulis","volume":"6","author":[{"family":"Ciocan","given":"Corina M."},{"family":"Cubero-Leon","given":"Elena"},{"family":"Minier","given":"Christophe"},{"family":"Rotchell","given":"Jeanette M."}],"editor":[{"family":"Laudet","given":"Vincent"}],"issued":{"date-parts":[["2011",7,27]]}}}],"schema":"https://github.com/citation-style-language/schema/raw/master/csl-citation.json"} </w:instrText>
            </w:r>
            <w:r>
              <w:rPr>
                <w:rFonts w:ascii="Arial" w:hAnsi="Arial" w:cs="Arial"/>
                <w:color w:val="000000" w:themeColor="text1"/>
                <w:sz w:val="16"/>
                <w:szCs w:val="16"/>
              </w:rPr>
              <w:fldChar w:fldCharType="separate"/>
            </w:r>
            <w:r>
              <w:rPr>
                <w:rFonts w:ascii="Arial" w:hAnsi="Arial" w:cs="Arial"/>
                <w:noProof/>
                <w:color w:val="000000" w:themeColor="text1"/>
                <w:sz w:val="16"/>
                <w:szCs w:val="16"/>
              </w:rPr>
              <w:t>(Ciocan et al., 2011)</w:t>
            </w:r>
            <w:r>
              <w:rPr>
                <w:rFonts w:ascii="Arial" w:hAnsi="Arial" w:cs="Arial"/>
                <w:color w:val="000000" w:themeColor="text1"/>
                <w:sz w:val="16"/>
                <w:szCs w:val="16"/>
              </w:rPr>
              <w:fldChar w:fldCharType="end"/>
            </w:r>
          </w:p>
        </w:tc>
      </w:tr>
      <w:tr w:rsidR="00352840" w:rsidRPr="008B67C3" w14:paraId="4F2874FD" w14:textId="77777777" w:rsidTr="00352840">
        <w:tc>
          <w:tcPr>
            <w:tcW w:w="1515" w:type="dxa"/>
          </w:tcPr>
          <w:p w14:paraId="6CDC69B7" w14:textId="77777777" w:rsidR="00352840" w:rsidRPr="001423E5" w:rsidRDefault="00352840" w:rsidP="00352840">
            <w:pPr>
              <w:rPr>
                <w:rFonts w:ascii="Arial" w:hAnsi="Arial" w:cs="Arial"/>
                <w:iCs/>
                <w:color w:val="000000" w:themeColor="text1"/>
                <w:sz w:val="16"/>
                <w:szCs w:val="16"/>
              </w:rPr>
            </w:pPr>
            <w:r w:rsidRPr="001423E5">
              <w:rPr>
                <w:rFonts w:ascii="Arial" w:hAnsi="Arial" w:cs="Arial"/>
                <w:iCs/>
                <w:color w:val="000000" w:themeColor="text1"/>
                <w:sz w:val="16"/>
                <w:szCs w:val="16"/>
              </w:rPr>
              <w:t xml:space="preserve">Helicase </w:t>
            </w:r>
          </w:p>
          <w:p w14:paraId="5ED07283" w14:textId="77777777" w:rsidR="00352840" w:rsidRPr="001423E5" w:rsidRDefault="00352840" w:rsidP="00352840">
            <w:pPr>
              <w:rPr>
                <w:rFonts w:ascii="Arial" w:hAnsi="Arial" w:cs="Arial"/>
                <w:iCs/>
                <w:color w:val="000000" w:themeColor="text1"/>
                <w:sz w:val="16"/>
                <w:szCs w:val="16"/>
              </w:rPr>
            </w:pPr>
            <w:r w:rsidRPr="001423E5">
              <w:rPr>
                <w:rFonts w:ascii="Arial" w:hAnsi="Arial" w:cs="Arial"/>
                <w:iCs/>
                <w:color w:val="000000" w:themeColor="text1"/>
                <w:sz w:val="16"/>
                <w:szCs w:val="16"/>
              </w:rPr>
              <w:t>(</w:t>
            </w:r>
            <w:r w:rsidRPr="001423E5">
              <w:rPr>
                <w:rFonts w:ascii="Arial" w:hAnsi="Arial" w:cs="Arial"/>
                <w:i/>
                <w:color w:val="000000" w:themeColor="text1"/>
                <w:sz w:val="16"/>
                <w:szCs w:val="16"/>
              </w:rPr>
              <w:t>HEL</w:t>
            </w:r>
            <w:r w:rsidRPr="001423E5">
              <w:rPr>
                <w:rFonts w:ascii="Arial" w:hAnsi="Arial" w:cs="Arial"/>
                <w:iCs/>
                <w:color w:val="000000" w:themeColor="text1"/>
                <w:sz w:val="16"/>
                <w:szCs w:val="16"/>
              </w:rPr>
              <w:t>)</w:t>
            </w:r>
          </w:p>
        </w:tc>
        <w:tc>
          <w:tcPr>
            <w:tcW w:w="1778" w:type="dxa"/>
            <w:gridSpan w:val="2"/>
          </w:tcPr>
          <w:p w14:paraId="55087B14" w14:textId="77777777" w:rsidR="00352840" w:rsidRDefault="00352840" w:rsidP="00352840">
            <w:pPr>
              <w:pStyle w:val="Nessunaspaziatura"/>
              <w:jc w:val="center"/>
              <w:rPr>
                <w:rFonts w:ascii="Arial" w:hAnsi="Arial" w:cs="Arial"/>
                <w:color w:val="000000" w:themeColor="text1"/>
                <w:sz w:val="16"/>
                <w:szCs w:val="16"/>
              </w:rPr>
            </w:pPr>
            <w:r>
              <w:rPr>
                <w:rFonts w:ascii="Arial" w:hAnsi="Arial" w:cs="Arial"/>
                <w:color w:val="000000" w:themeColor="text1"/>
                <w:sz w:val="16"/>
                <w:szCs w:val="16"/>
              </w:rPr>
              <w:t>Maintaining</w:t>
            </w:r>
            <w:r w:rsidRPr="00B06C36">
              <w:rPr>
                <w:rFonts w:ascii="Arial" w:hAnsi="Arial" w:cs="Arial"/>
                <w:color w:val="000000" w:themeColor="text1"/>
                <w:sz w:val="16"/>
                <w:szCs w:val="16"/>
              </w:rPr>
              <w:t xml:space="preserve"> RNA </w:t>
            </w:r>
            <w:r>
              <w:rPr>
                <w:rFonts w:ascii="Arial" w:hAnsi="Arial" w:cs="Arial"/>
                <w:color w:val="000000" w:themeColor="text1"/>
                <w:sz w:val="16"/>
                <w:szCs w:val="16"/>
              </w:rPr>
              <w:t>structures</w:t>
            </w:r>
            <w:r w:rsidRPr="00B06C36">
              <w:rPr>
                <w:rFonts w:ascii="Arial" w:hAnsi="Arial" w:cs="Arial"/>
                <w:color w:val="000000" w:themeColor="text1"/>
                <w:sz w:val="16"/>
                <w:szCs w:val="16"/>
              </w:rPr>
              <w:t xml:space="preserve"> during transcription, splicing, and translation</w:t>
            </w:r>
          </w:p>
          <w:p w14:paraId="305F11E1" w14:textId="06BBF679" w:rsidR="009E1888" w:rsidRPr="001423E5" w:rsidRDefault="009E1888" w:rsidP="00352840">
            <w:pPr>
              <w:pStyle w:val="Nessunaspaziatura"/>
              <w:jc w:val="center"/>
              <w:rPr>
                <w:rFonts w:ascii="Arial" w:hAnsi="Arial" w:cs="Arial"/>
                <w:sz w:val="16"/>
                <w:szCs w:val="16"/>
              </w:rPr>
            </w:pPr>
          </w:p>
        </w:tc>
        <w:tc>
          <w:tcPr>
            <w:tcW w:w="2992" w:type="dxa"/>
            <w:gridSpan w:val="2"/>
            <w:vAlign w:val="center"/>
          </w:tcPr>
          <w:p w14:paraId="7DC5EE1E" w14:textId="4E80703F" w:rsidR="00352840" w:rsidRPr="001423E5" w:rsidRDefault="00352840" w:rsidP="00352840">
            <w:pPr>
              <w:pStyle w:val="Nessunaspaziatura"/>
              <w:jc w:val="center"/>
              <w:rPr>
                <w:rFonts w:ascii="Arial" w:hAnsi="Arial" w:cs="Arial"/>
                <w:sz w:val="16"/>
                <w:szCs w:val="16"/>
              </w:rPr>
            </w:pPr>
            <w:r w:rsidRPr="001423E5">
              <w:rPr>
                <w:rFonts w:ascii="Arial" w:hAnsi="Arial" w:cs="Arial"/>
                <w:sz w:val="16"/>
                <w:szCs w:val="16"/>
              </w:rPr>
              <w:t>GCACTCATCAGAAGAAGGTGGC</w:t>
            </w:r>
          </w:p>
          <w:p w14:paraId="2D4CEFA2" w14:textId="77777777" w:rsidR="00352840" w:rsidRPr="001423E5" w:rsidRDefault="00352840" w:rsidP="00352840">
            <w:pPr>
              <w:pStyle w:val="Nessunaspaziatura"/>
              <w:jc w:val="center"/>
              <w:rPr>
                <w:rFonts w:ascii="Arial" w:hAnsi="Arial" w:cs="Arial"/>
                <w:sz w:val="16"/>
                <w:szCs w:val="16"/>
              </w:rPr>
            </w:pPr>
            <w:r w:rsidRPr="001423E5">
              <w:rPr>
                <w:rFonts w:ascii="Arial" w:hAnsi="Arial" w:cs="Arial"/>
                <w:sz w:val="16"/>
                <w:szCs w:val="16"/>
                <w:lang w:val="it-IT"/>
              </w:rPr>
              <w:t>GCTCTCACTTGTGAAGGGTGAC</w:t>
            </w:r>
          </w:p>
        </w:tc>
        <w:tc>
          <w:tcPr>
            <w:tcW w:w="1260" w:type="dxa"/>
            <w:gridSpan w:val="2"/>
          </w:tcPr>
          <w:p w14:paraId="7B91E18E" w14:textId="77777777" w:rsidR="00352840" w:rsidRPr="001423E5" w:rsidRDefault="00352840" w:rsidP="00352840">
            <w:pPr>
              <w:jc w:val="center"/>
              <w:rPr>
                <w:rFonts w:ascii="Arial" w:hAnsi="Arial" w:cs="Arial"/>
                <w:color w:val="000000" w:themeColor="text1"/>
                <w:sz w:val="16"/>
                <w:szCs w:val="16"/>
              </w:rPr>
            </w:pPr>
            <w:r w:rsidRPr="001423E5">
              <w:rPr>
                <w:rFonts w:ascii="Arial" w:hAnsi="Arial" w:cs="Arial"/>
                <w:color w:val="000000" w:themeColor="text1"/>
                <w:sz w:val="16"/>
                <w:szCs w:val="16"/>
              </w:rPr>
              <w:t>132</w:t>
            </w:r>
          </w:p>
        </w:tc>
        <w:tc>
          <w:tcPr>
            <w:tcW w:w="1471" w:type="dxa"/>
            <w:vAlign w:val="center"/>
          </w:tcPr>
          <w:p w14:paraId="2686FE45" w14:textId="77777777" w:rsidR="00352840" w:rsidRPr="00B30A68" w:rsidRDefault="00352840" w:rsidP="00352840">
            <w:pPr>
              <w:jc w:val="center"/>
              <w:rPr>
                <w:rFonts w:ascii="Arial" w:hAnsi="Arial" w:cs="Arial"/>
                <w:color w:val="000000" w:themeColor="text1"/>
                <w:sz w:val="16"/>
                <w:szCs w:val="16"/>
                <w:lang w:val="it-IT"/>
              </w:rPr>
            </w:pPr>
            <w:r w:rsidRPr="00B30A68">
              <w:rPr>
                <w:rFonts w:ascii="Arial" w:hAnsi="Arial" w:cs="Arial"/>
                <w:color w:val="000000" w:themeColor="text1"/>
                <w:sz w:val="16"/>
                <w:szCs w:val="16"/>
                <w:lang w:val="it-IT"/>
              </w:rPr>
              <w:t>DQ158075</w:t>
            </w:r>
          </w:p>
          <w:p w14:paraId="23D5764F" w14:textId="17E4121F" w:rsidR="00352840" w:rsidRPr="00B30A68" w:rsidRDefault="00352840" w:rsidP="00352840">
            <w:pPr>
              <w:jc w:val="center"/>
              <w:rPr>
                <w:rFonts w:ascii="Arial" w:hAnsi="Arial" w:cs="Arial"/>
                <w:color w:val="000000" w:themeColor="text1"/>
                <w:sz w:val="16"/>
                <w:szCs w:val="16"/>
                <w:lang w:val="it-IT"/>
              </w:rPr>
            </w:pPr>
            <w:r>
              <w:rPr>
                <w:rFonts w:ascii="Arial" w:hAnsi="Arial" w:cs="Arial"/>
                <w:color w:val="000000" w:themeColor="text1"/>
                <w:sz w:val="16"/>
                <w:szCs w:val="16"/>
              </w:rPr>
              <w:fldChar w:fldCharType="begin"/>
            </w:r>
            <w:r w:rsidR="00CD4039">
              <w:rPr>
                <w:rFonts w:ascii="Arial" w:hAnsi="Arial" w:cs="Arial"/>
                <w:color w:val="000000" w:themeColor="text1"/>
                <w:sz w:val="16"/>
                <w:szCs w:val="16"/>
                <w:lang w:val="it-IT"/>
              </w:rPr>
              <w:instrText xml:space="preserve"> ADDIN ZOTERO_ITEM CSL_CITATION {"citationID":"nE8imRtV","properties":{"formattedCitation":"(Cubero-Leon et al., 2012)","plainCitation":"(Cubero-Leon et al., 2012)","noteIndex":0},"citationItems":[{"id":"BhjTJc6p/pXDo06NE","uris":["http://zotero.org/users/local/3Gep4yxL/items/ADPVF6EY"],"itemData":{"id":1789,"type":"article-journal","abstract":"Purpose The aim of this study is to develop a normalization method for real-time PCR data by analyzing the most stably expressed control genes in mussel (Mytilus edulis) reproductive tissue.\nMethods To facilitate this, six candidate genes, including several commonly used in the literature, were investigated in mussels at different stages of gametogenesis and following experimental exposure to a model estrogen (17b-estradiol). GeNorm and NormFinder softwares were employed to assess the stability of the reference genes.\nResults Our results demonstrate that the most stable reference genes are not the same in mussels at different stages of gametogenesis and in experimentally E2-exposed mussels. Interestingly, HEL (helicase) and ACT (actin) mRNA expression levels were most affected by the stage of gametogenesis and yet, in molluscan studies, ACT is possibly the most frequently used reference gene.\nConclusions We demonstrate that the experimental results are highly dependent on the reference gene chosen and that","container-title":"Environmental Science and Pollution Research","DOI":"10.1007/s11356-012-0772-9","ISSN":"0944-1344, 1614-7499","issue":"7","journalAbbreviation":"Environ Sci Pollut Res","language":"en","license":"http://www.springer.com/tdm","page":"2728-2733","source":"DOI.org (Crossref)","title":"Reference gene selection for qPCR in mussel, Mytilus edulis, during gametogenesis and exogenous estrogen exposure","volume":"19","author":[{"family":"Cubero-Leon","given":"Elena"},{"family":"Ciocan","given":"Corina M."},{"family":"Minier","given":"Christophe"},{"family":"Rotchell","given":"Jeanette M."}],"issued":{"date-parts":[["2012",8]]}}}],"schema":"https://github.com/citation-style-language/schema/raw/master/csl-citation.json"} </w:instrText>
            </w:r>
            <w:r>
              <w:rPr>
                <w:rFonts w:ascii="Arial" w:hAnsi="Arial" w:cs="Arial"/>
                <w:color w:val="000000" w:themeColor="text1"/>
                <w:sz w:val="16"/>
                <w:szCs w:val="16"/>
              </w:rPr>
              <w:fldChar w:fldCharType="separate"/>
            </w:r>
            <w:r w:rsidRPr="00B30A68">
              <w:rPr>
                <w:rFonts w:ascii="Arial" w:hAnsi="Arial" w:cs="Arial"/>
                <w:noProof/>
                <w:color w:val="000000" w:themeColor="text1"/>
                <w:sz w:val="16"/>
                <w:szCs w:val="16"/>
                <w:lang w:val="it-IT"/>
              </w:rPr>
              <w:t>(Cubero-Leon et al., 2012)</w:t>
            </w:r>
            <w:r>
              <w:rPr>
                <w:rFonts w:ascii="Arial" w:hAnsi="Arial" w:cs="Arial"/>
                <w:color w:val="000000" w:themeColor="text1"/>
                <w:sz w:val="16"/>
                <w:szCs w:val="16"/>
              </w:rPr>
              <w:fldChar w:fldCharType="end"/>
            </w:r>
          </w:p>
        </w:tc>
      </w:tr>
    </w:tbl>
    <w:p w14:paraId="3FE04AF1" w14:textId="77777777" w:rsidR="004B1B87" w:rsidRDefault="004B1B87" w:rsidP="007B6410">
      <w:pPr>
        <w:spacing w:line="480" w:lineRule="auto"/>
        <w:rPr>
          <w:rFonts w:ascii="Arial" w:hAnsi="Arial" w:cs="Arial"/>
          <w:sz w:val="20"/>
          <w:szCs w:val="20"/>
          <w:lang w:val="it-IT"/>
        </w:rPr>
      </w:pPr>
    </w:p>
    <w:p w14:paraId="7601C78B" w14:textId="77777777" w:rsidR="00523D0D" w:rsidRPr="004B1B87" w:rsidRDefault="00523D0D" w:rsidP="007B6410">
      <w:pPr>
        <w:spacing w:line="480" w:lineRule="auto"/>
        <w:rPr>
          <w:rFonts w:ascii="Arial" w:hAnsi="Arial" w:cs="Arial"/>
          <w:sz w:val="20"/>
          <w:szCs w:val="20"/>
          <w:lang w:val="it-IT"/>
        </w:rPr>
      </w:pPr>
    </w:p>
    <w:p w14:paraId="33D00890" w14:textId="77777777" w:rsidR="004B1B87" w:rsidRPr="004B1B87" w:rsidRDefault="004B1B87" w:rsidP="007B6410">
      <w:pPr>
        <w:spacing w:line="480" w:lineRule="auto"/>
        <w:rPr>
          <w:rFonts w:ascii="Arial" w:hAnsi="Arial" w:cs="Arial"/>
          <w:sz w:val="20"/>
          <w:szCs w:val="20"/>
          <w:lang w:val="it-IT"/>
        </w:rPr>
      </w:pPr>
    </w:p>
    <w:p w14:paraId="4CE521D5" w14:textId="77777777" w:rsidR="004B1B87" w:rsidRPr="004B1B87" w:rsidRDefault="004B1B87">
      <w:pPr>
        <w:spacing w:line="278" w:lineRule="auto"/>
        <w:rPr>
          <w:rFonts w:ascii="Arial" w:hAnsi="Arial" w:cs="Arial"/>
          <w:b/>
          <w:bCs/>
          <w:sz w:val="20"/>
          <w:szCs w:val="20"/>
          <w:lang w:val="it-IT"/>
        </w:rPr>
      </w:pPr>
      <w:r w:rsidRPr="004B1B87">
        <w:rPr>
          <w:rFonts w:ascii="Arial" w:hAnsi="Arial" w:cs="Arial"/>
          <w:b/>
          <w:bCs/>
          <w:sz w:val="20"/>
          <w:szCs w:val="20"/>
          <w:lang w:val="it-IT"/>
        </w:rPr>
        <w:br w:type="page"/>
      </w:r>
    </w:p>
    <w:p w14:paraId="00F5F053" w14:textId="0A21C938" w:rsidR="001F38FE" w:rsidRDefault="00394C1C" w:rsidP="001F38FE">
      <w:pPr>
        <w:rPr>
          <w:rFonts w:ascii="Arial" w:hAnsi="Arial" w:cs="Arial"/>
          <w:sz w:val="16"/>
          <w:szCs w:val="16"/>
          <w:lang w:val="it-IT"/>
        </w:rPr>
      </w:pPr>
      <w:r w:rsidRPr="00013D5D">
        <w:rPr>
          <w:rFonts w:ascii="Arial" w:hAnsi="Arial" w:cs="Arial"/>
          <w:noProof/>
          <w:sz w:val="16"/>
          <w:szCs w:val="16"/>
          <w:lang w:val="it-IT"/>
        </w:rPr>
        <w:lastRenderedPageBreak/>
        <w:drawing>
          <wp:anchor distT="0" distB="0" distL="114300" distR="114300" simplePos="0" relativeHeight="251660289" behindDoc="0" locked="0" layoutInCell="1" allowOverlap="1" wp14:anchorId="14EAFF10" wp14:editId="115BBE42">
            <wp:simplePos x="0" y="0"/>
            <wp:positionH relativeFrom="column">
              <wp:posOffset>14920</wp:posOffset>
            </wp:positionH>
            <wp:positionV relativeFrom="paragraph">
              <wp:posOffset>15240</wp:posOffset>
            </wp:positionV>
            <wp:extent cx="5743339" cy="6715186"/>
            <wp:effectExtent l="0" t="0" r="0" b="3175"/>
            <wp:wrapNone/>
            <wp:docPr id="944356960" name="Immagine 1" descr="Immagine che contiene testo, diagramma, schermata, Pian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4356960" name="Immagine 1" descr="Immagine che contiene testo, diagramma, schermata, Piano&#10;&#10;Il contenuto generato dall'IA potrebbe non essere corretto."/>
                    <pic:cNvPicPr/>
                  </pic:nvPicPr>
                  <pic:blipFill rotWithShape="1">
                    <a:blip r:embed="rId6">
                      <a:extLst>
                        <a:ext uri="{28A0092B-C50C-407E-A947-70E740481C1C}">
                          <a14:useLocalDpi xmlns:a14="http://schemas.microsoft.com/office/drawing/2010/main" val="0"/>
                        </a:ext>
                      </a:extLst>
                    </a:blip>
                    <a:srcRect r="4277"/>
                    <a:stretch/>
                  </pic:blipFill>
                  <pic:spPr bwMode="auto">
                    <a:xfrm>
                      <a:off x="0" y="0"/>
                      <a:ext cx="5743339" cy="671518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EEB3719" w14:textId="77777777" w:rsidR="00394C1C" w:rsidRDefault="00394C1C" w:rsidP="001B7F76">
      <w:pPr>
        <w:spacing w:line="240" w:lineRule="auto"/>
        <w:jc w:val="both"/>
        <w:rPr>
          <w:rFonts w:ascii="Arial" w:hAnsi="Arial" w:cs="Arial"/>
          <w:b/>
          <w:bCs/>
        </w:rPr>
      </w:pPr>
    </w:p>
    <w:p w14:paraId="69874AA7" w14:textId="77777777" w:rsidR="00394C1C" w:rsidRDefault="00394C1C" w:rsidP="001B7F76">
      <w:pPr>
        <w:spacing w:line="240" w:lineRule="auto"/>
        <w:jc w:val="both"/>
        <w:rPr>
          <w:rFonts w:ascii="Arial" w:hAnsi="Arial" w:cs="Arial"/>
          <w:b/>
          <w:bCs/>
        </w:rPr>
      </w:pPr>
    </w:p>
    <w:p w14:paraId="0C36ED4C" w14:textId="77777777" w:rsidR="00394C1C" w:rsidRDefault="00394C1C" w:rsidP="001B7F76">
      <w:pPr>
        <w:spacing w:line="240" w:lineRule="auto"/>
        <w:jc w:val="both"/>
        <w:rPr>
          <w:rFonts w:ascii="Arial" w:hAnsi="Arial" w:cs="Arial"/>
          <w:b/>
          <w:bCs/>
        </w:rPr>
      </w:pPr>
    </w:p>
    <w:p w14:paraId="7BB5A049" w14:textId="77777777" w:rsidR="00394C1C" w:rsidRDefault="00394C1C" w:rsidP="001B7F76">
      <w:pPr>
        <w:spacing w:line="240" w:lineRule="auto"/>
        <w:jc w:val="both"/>
        <w:rPr>
          <w:rFonts w:ascii="Arial" w:hAnsi="Arial" w:cs="Arial"/>
          <w:b/>
          <w:bCs/>
        </w:rPr>
      </w:pPr>
    </w:p>
    <w:p w14:paraId="16163EE9" w14:textId="77777777" w:rsidR="00394C1C" w:rsidRDefault="00394C1C" w:rsidP="001B7F76">
      <w:pPr>
        <w:spacing w:line="240" w:lineRule="auto"/>
        <w:jc w:val="both"/>
        <w:rPr>
          <w:rFonts w:ascii="Arial" w:hAnsi="Arial" w:cs="Arial"/>
          <w:b/>
          <w:bCs/>
        </w:rPr>
      </w:pPr>
    </w:p>
    <w:p w14:paraId="0ACD7817" w14:textId="77777777" w:rsidR="00394C1C" w:rsidRDefault="00394C1C" w:rsidP="001B7F76">
      <w:pPr>
        <w:spacing w:line="240" w:lineRule="auto"/>
        <w:jc w:val="both"/>
        <w:rPr>
          <w:rFonts w:ascii="Arial" w:hAnsi="Arial" w:cs="Arial"/>
          <w:b/>
          <w:bCs/>
        </w:rPr>
      </w:pPr>
    </w:p>
    <w:p w14:paraId="0ADAE166" w14:textId="77777777" w:rsidR="00394C1C" w:rsidRDefault="00394C1C" w:rsidP="001B7F76">
      <w:pPr>
        <w:spacing w:line="240" w:lineRule="auto"/>
        <w:jc w:val="both"/>
        <w:rPr>
          <w:rFonts w:ascii="Arial" w:hAnsi="Arial" w:cs="Arial"/>
          <w:b/>
          <w:bCs/>
        </w:rPr>
      </w:pPr>
    </w:p>
    <w:p w14:paraId="195DA010" w14:textId="77777777" w:rsidR="00394C1C" w:rsidRDefault="00394C1C" w:rsidP="001B7F76">
      <w:pPr>
        <w:spacing w:line="240" w:lineRule="auto"/>
        <w:jc w:val="both"/>
        <w:rPr>
          <w:rFonts w:ascii="Arial" w:hAnsi="Arial" w:cs="Arial"/>
          <w:b/>
          <w:bCs/>
        </w:rPr>
      </w:pPr>
    </w:p>
    <w:p w14:paraId="18CF87D5" w14:textId="77777777" w:rsidR="00394C1C" w:rsidRDefault="00394C1C" w:rsidP="001B7F76">
      <w:pPr>
        <w:spacing w:line="240" w:lineRule="auto"/>
        <w:jc w:val="both"/>
        <w:rPr>
          <w:rFonts w:ascii="Arial" w:hAnsi="Arial" w:cs="Arial"/>
          <w:b/>
          <w:bCs/>
        </w:rPr>
      </w:pPr>
    </w:p>
    <w:p w14:paraId="041CCC1D" w14:textId="77777777" w:rsidR="00394C1C" w:rsidRDefault="00394C1C" w:rsidP="001B7F76">
      <w:pPr>
        <w:spacing w:line="240" w:lineRule="auto"/>
        <w:jc w:val="both"/>
        <w:rPr>
          <w:rFonts w:ascii="Arial" w:hAnsi="Arial" w:cs="Arial"/>
          <w:b/>
          <w:bCs/>
        </w:rPr>
      </w:pPr>
    </w:p>
    <w:p w14:paraId="2A753ECC" w14:textId="77777777" w:rsidR="00394C1C" w:rsidRDefault="00394C1C" w:rsidP="001B7F76">
      <w:pPr>
        <w:spacing w:line="240" w:lineRule="auto"/>
        <w:jc w:val="both"/>
        <w:rPr>
          <w:rFonts w:ascii="Arial" w:hAnsi="Arial" w:cs="Arial"/>
          <w:b/>
          <w:bCs/>
        </w:rPr>
      </w:pPr>
    </w:p>
    <w:p w14:paraId="0F263190" w14:textId="77777777" w:rsidR="00394C1C" w:rsidRDefault="00394C1C" w:rsidP="001B7F76">
      <w:pPr>
        <w:spacing w:line="240" w:lineRule="auto"/>
        <w:jc w:val="both"/>
        <w:rPr>
          <w:rFonts w:ascii="Arial" w:hAnsi="Arial" w:cs="Arial"/>
          <w:b/>
          <w:bCs/>
        </w:rPr>
      </w:pPr>
    </w:p>
    <w:p w14:paraId="31B46DAE" w14:textId="77777777" w:rsidR="00394C1C" w:rsidRDefault="00394C1C" w:rsidP="001B7F76">
      <w:pPr>
        <w:spacing w:line="240" w:lineRule="auto"/>
        <w:jc w:val="both"/>
        <w:rPr>
          <w:rFonts w:ascii="Arial" w:hAnsi="Arial" w:cs="Arial"/>
          <w:b/>
          <w:bCs/>
        </w:rPr>
      </w:pPr>
    </w:p>
    <w:p w14:paraId="4A645659" w14:textId="77777777" w:rsidR="00394C1C" w:rsidRDefault="00394C1C" w:rsidP="001B7F76">
      <w:pPr>
        <w:spacing w:line="240" w:lineRule="auto"/>
        <w:jc w:val="both"/>
        <w:rPr>
          <w:rFonts w:ascii="Arial" w:hAnsi="Arial" w:cs="Arial"/>
          <w:b/>
          <w:bCs/>
        </w:rPr>
      </w:pPr>
    </w:p>
    <w:p w14:paraId="3F65F8AC" w14:textId="77777777" w:rsidR="00394C1C" w:rsidRDefault="00394C1C" w:rsidP="001B7F76">
      <w:pPr>
        <w:spacing w:line="240" w:lineRule="auto"/>
        <w:jc w:val="both"/>
        <w:rPr>
          <w:rFonts w:ascii="Arial" w:hAnsi="Arial" w:cs="Arial"/>
          <w:b/>
          <w:bCs/>
        </w:rPr>
      </w:pPr>
    </w:p>
    <w:p w14:paraId="4740E2AE" w14:textId="77777777" w:rsidR="00394C1C" w:rsidRDefault="00394C1C" w:rsidP="001B7F76">
      <w:pPr>
        <w:spacing w:line="240" w:lineRule="auto"/>
        <w:jc w:val="both"/>
        <w:rPr>
          <w:rFonts w:ascii="Arial" w:hAnsi="Arial" w:cs="Arial"/>
          <w:b/>
          <w:bCs/>
        </w:rPr>
      </w:pPr>
    </w:p>
    <w:p w14:paraId="36B64930" w14:textId="77777777" w:rsidR="00394C1C" w:rsidRDefault="00394C1C" w:rsidP="001B7F76">
      <w:pPr>
        <w:spacing w:line="240" w:lineRule="auto"/>
        <w:jc w:val="both"/>
        <w:rPr>
          <w:rFonts w:ascii="Arial" w:hAnsi="Arial" w:cs="Arial"/>
          <w:b/>
          <w:bCs/>
        </w:rPr>
      </w:pPr>
    </w:p>
    <w:p w14:paraId="6A0E9096" w14:textId="77777777" w:rsidR="00394C1C" w:rsidRDefault="00394C1C" w:rsidP="001B7F76">
      <w:pPr>
        <w:spacing w:line="240" w:lineRule="auto"/>
        <w:jc w:val="both"/>
        <w:rPr>
          <w:rFonts w:ascii="Arial" w:hAnsi="Arial" w:cs="Arial"/>
          <w:b/>
          <w:bCs/>
        </w:rPr>
      </w:pPr>
    </w:p>
    <w:p w14:paraId="2C73938D" w14:textId="77777777" w:rsidR="00394C1C" w:rsidRDefault="00394C1C" w:rsidP="001B7F76">
      <w:pPr>
        <w:spacing w:line="240" w:lineRule="auto"/>
        <w:jc w:val="both"/>
        <w:rPr>
          <w:rFonts w:ascii="Arial" w:hAnsi="Arial" w:cs="Arial"/>
          <w:b/>
          <w:bCs/>
        </w:rPr>
      </w:pPr>
    </w:p>
    <w:p w14:paraId="7C21E97B" w14:textId="77777777" w:rsidR="00394C1C" w:rsidRDefault="00394C1C" w:rsidP="001B7F76">
      <w:pPr>
        <w:spacing w:line="240" w:lineRule="auto"/>
        <w:jc w:val="both"/>
        <w:rPr>
          <w:rFonts w:ascii="Arial" w:hAnsi="Arial" w:cs="Arial"/>
          <w:b/>
          <w:bCs/>
        </w:rPr>
      </w:pPr>
    </w:p>
    <w:p w14:paraId="7772F31F" w14:textId="77777777" w:rsidR="00394C1C" w:rsidRDefault="00394C1C" w:rsidP="001B7F76">
      <w:pPr>
        <w:spacing w:line="240" w:lineRule="auto"/>
        <w:jc w:val="both"/>
        <w:rPr>
          <w:rFonts w:ascii="Arial" w:hAnsi="Arial" w:cs="Arial"/>
          <w:b/>
          <w:bCs/>
        </w:rPr>
      </w:pPr>
    </w:p>
    <w:p w14:paraId="0179D0BF" w14:textId="77777777" w:rsidR="00394C1C" w:rsidRDefault="00394C1C" w:rsidP="001B7F76">
      <w:pPr>
        <w:spacing w:line="240" w:lineRule="auto"/>
        <w:jc w:val="both"/>
        <w:rPr>
          <w:rFonts w:ascii="Arial" w:hAnsi="Arial" w:cs="Arial"/>
          <w:b/>
          <w:bCs/>
        </w:rPr>
      </w:pPr>
    </w:p>
    <w:p w14:paraId="5F974C3A" w14:textId="77777777" w:rsidR="00394C1C" w:rsidRDefault="00394C1C" w:rsidP="001B7F76">
      <w:pPr>
        <w:spacing w:line="240" w:lineRule="auto"/>
        <w:jc w:val="both"/>
        <w:rPr>
          <w:rFonts w:ascii="Arial" w:hAnsi="Arial" w:cs="Arial"/>
          <w:b/>
          <w:bCs/>
        </w:rPr>
      </w:pPr>
    </w:p>
    <w:p w14:paraId="080EAE3E" w14:textId="77777777" w:rsidR="00394C1C" w:rsidRDefault="00394C1C" w:rsidP="001B7F76">
      <w:pPr>
        <w:spacing w:line="240" w:lineRule="auto"/>
        <w:jc w:val="both"/>
        <w:rPr>
          <w:rFonts w:ascii="Arial" w:hAnsi="Arial" w:cs="Arial"/>
          <w:b/>
          <w:bCs/>
        </w:rPr>
      </w:pPr>
    </w:p>
    <w:p w14:paraId="2EE30AD1" w14:textId="77777777" w:rsidR="00394C1C" w:rsidRDefault="00394C1C" w:rsidP="001B7F76">
      <w:pPr>
        <w:spacing w:line="240" w:lineRule="auto"/>
        <w:jc w:val="both"/>
        <w:rPr>
          <w:rFonts w:ascii="Arial" w:hAnsi="Arial" w:cs="Arial"/>
          <w:b/>
          <w:bCs/>
        </w:rPr>
      </w:pPr>
    </w:p>
    <w:p w14:paraId="3D9994C6" w14:textId="5722C96B" w:rsidR="001B7F76" w:rsidRPr="001B7F76" w:rsidRDefault="00267383" w:rsidP="001B7F76">
      <w:pPr>
        <w:spacing w:line="240" w:lineRule="auto"/>
        <w:jc w:val="both"/>
        <w:rPr>
          <w:rFonts w:ascii="Arial" w:hAnsi="Arial" w:cs="Arial"/>
        </w:rPr>
      </w:pPr>
      <w:r w:rsidRPr="001B7F76">
        <w:rPr>
          <w:rFonts w:ascii="Arial" w:hAnsi="Arial" w:cs="Arial"/>
          <w:b/>
          <w:bCs/>
        </w:rPr>
        <w:t>Figure S3</w:t>
      </w:r>
      <w:r w:rsidR="00175B23" w:rsidRPr="001B7F76">
        <w:rPr>
          <w:rFonts w:ascii="Arial" w:hAnsi="Arial" w:cs="Arial"/>
          <w:b/>
          <w:bCs/>
        </w:rPr>
        <w:t>.</w:t>
      </w:r>
      <w:r w:rsidR="00175B23" w:rsidRPr="001B7F76">
        <w:rPr>
          <w:rFonts w:ascii="Arial" w:hAnsi="Arial" w:cs="Arial"/>
        </w:rPr>
        <w:t xml:space="preserve"> </w:t>
      </w:r>
      <w:r w:rsidR="008C7A2C" w:rsidRPr="001B7F76">
        <w:rPr>
          <w:rFonts w:ascii="Arial" w:hAnsi="Arial" w:cs="Arial"/>
          <w:b/>
          <w:bCs/>
        </w:rPr>
        <w:t>Transcriptional profiles of metabolic (</w:t>
      </w:r>
      <w:r w:rsidR="008C7A2C" w:rsidRPr="001B7F76">
        <w:rPr>
          <w:rFonts w:ascii="Arial" w:hAnsi="Arial" w:cs="Arial"/>
          <w:b/>
          <w:bCs/>
          <w:i/>
          <w:iCs/>
        </w:rPr>
        <w:t>AMYL</w:t>
      </w:r>
      <w:r w:rsidR="008C7A2C" w:rsidRPr="001B7F76">
        <w:rPr>
          <w:rFonts w:ascii="Arial" w:hAnsi="Arial" w:cs="Arial"/>
          <w:b/>
          <w:bCs/>
        </w:rPr>
        <w:t>, PK,</w:t>
      </w:r>
      <w:r w:rsidR="008C7A2C" w:rsidRPr="001B7F76">
        <w:rPr>
          <w:rFonts w:ascii="Arial" w:hAnsi="Arial" w:cs="Arial"/>
          <w:b/>
          <w:bCs/>
          <w:i/>
          <w:iCs/>
        </w:rPr>
        <w:t xml:space="preserve"> IDH</w:t>
      </w:r>
      <w:r w:rsidR="008C7A2C" w:rsidRPr="001B7F76">
        <w:rPr>
          <w:rFonts w:ascii="Arial" w:hAnsi="Arial" w:cs="Arial"/>
          <w:b/>
          <w:bCs/>
        </w:rPr>
        <w:t>), lysosomal (CTSL, GUSB, HEX), antioxidant (</w:t>
      </w:r>
      <w:r w:rsidR="008C7A2C" w:rsidRPr="001B7F76">
        <w:rPr>
          <w:rFonts w:ascii="Arial" w:hAnsi="Arial" w:cs="Arial"/>
          <w:b/>
          <w:bCs/>
          <w:i/>
          <w:iCs/>
        </w:rPr>
        <w:t>CAT,</w:t>
      </w:r>
      <w:r w:rsidR="008C7A2C" w:rsidRPr="001B7F76">
        <w:rPr>
          <w:rFonts w:ascii="Arial" w:hAnsi="Arial" w:cs="Arial"/>
          <w:b/>
          <w:bCs/>
        </w:rPr>
        <w:t xml:space="preserve"> </w:t>
      </w:r>
      <w:r w:rsidR="008C7A2C" w:rsidRPr="001B7F76">
        <w:rPr>
          <w:rFonts w:ascii="Arial" w:hAnsi="Arial" w:cs="Arial"/>
          <w:b/>
          <w:bCs/>
          <w:i/>
          <w:iCs/>
        </w:rPr>
        <w:t>GST</w:t>
      </w:r>
      <w:r w:rsidR="008C7A2C" w:rsidRPr="001B7F76">
        <w:rPr>
          <w:rFonts w:ascii="Arial" w:hAnsi="Arial" w:cs="Arial"/>
          <w:b/>
          <w:bCs/>
        </w:rPr>
        <w:t>,</w:t>
      </w:r>
      <w:r w:rsidR="008C7A2C" w:rsidRPr="001B7F76">
        <w:rPr>
          <w:rFonts w:ascii="Arial" w:hAnsi="Arial" w:cs="Arial"/>
          <w:b/>
          <w:bCs/>
          <w:i/>
          <w:iCs/>
        </w:rPr>
        <w:t xml:space="preserve"> SOD</w:t>
      </w:r>
      <w:r w:rsidR="008C7A2C" w:rsidRPr="001B7F76">
        <w:rPr>
          <w:rFonts w:ascii="Arial" w:hAnsi="Arial" w:cs="Arial"/>
          <w:b/>
          <w:bCs/>
        </w:rPr>
        <w:t>) and cytoprotective/detoxification (</w:t>
      </w:r>
      <w:r w:rsidR="008C7A2C" w:rsidRPr="001B7F76">
        <w:rPr>
          <w:rFonts w:ascii="Arial" w:hAnsi="Arial" w:cs="Arial"/>
          <w:b/>
          <w:bCs/>
          <w:i/>
          <w:iCs/>
        </w:rPr>
        <w:t>ABCB</w:t>
      </w:r>
      <w:r w:rsidR="008C7A2C" w:rsidRPr="001B7F76">
        <w:rPr>
          <w:rFonts w:ascii="Arial" w:hAnsi="Arial" w:cs="Arial"/>
          <w:b/>
          <w:bCs/>
        </w:rPr>
        <w:t xml:space="preserve">, </w:t>
      </w:r>
      <w:r w:rsidR="008C7A2C" w:rsidRPr="001B7F76">
        <w:rPr>
          <w:rFonts w:ascii="Arial" w:hAnsi="Arial" w:cs="Arial"/>
          <w:b/>
          <w:bCs/>
          <w:i/>
          <w:iCs/>
        </w:rPr>
        <w:t>LYS</w:t>
      </w:r>
      <w:r w:rsidR="008C7A2C" w:rsidRPr="001B7F76">
        <w:rPr>
          <w:rFonts w:ascii="Arial" w:hAnsi="Arial" w:cs="Arial"/>
          <w:b/>
          <w:bCs/>
        </w:rPr>
        <w:t>, H</w:t>
      </w:r>
      <w:r w:rsidR="008C7A2C" w:rsidRPr="001B7F76">
        <w:rPr>
          <w:rFonts w:ascii="Arial" w:hAnsi="Arial" w:cs="Arial"/>
          <w:b/>
          <w:bCs/>
          <w:i/>
          <w:iCs/>
        </w:rPr>
        <w:t>; MT20</w:t>
      </w:r>
      <w:r w:rsidR="008C7A2C" w:rsidRPr="001B7F76">
        <w:rPr>
          <w:rFonts w:ascii="Arial" w:hAnsi="Arial" w:cs="Arial"/>
          <w:b/>
          <w:bCs/>
        </w:rPr>
        <w:t xml:space="preserve">) gene products assessed in digestive glands of </w:t>
      </w:r>
      <w:r w:rsidR="008C7A2C" w:rsidRPr="001B7F76">
        <w:rPr>
          <w:rFonts w:ascii="Arial" w:hAnsi="Arial" w:cs="Arial"/>
          <w:b/>
          <w:bCs/>
          <w:i/>
          <w:iCs/>
        </w:rPr>
        <w:t xml:space="preserve">M. </w:t>
      </w:r>
      <w:proofErr w:type="spellStart"/>
      <w:r w:rsidR="008C7A2C" w:rsidRPr="001B7F76">
        <w:rPr>
          <w:rFonts w:ascii="Arial" w:hAnsi="Arial" w:cs="Arial"/>
          <w:b/>
          <w:bCs/>
          <w:i/>
          <w:iCs/>
        </w:rPr>
        <w:t>galloprovincialis</w:t>
      </w:r>
      <w:proofErr w:type="spellEnd"/>
      <w:r w:rsidR="008C7A2C" w:rsidRPr="001B7F76">
        <w:rPr>
          <w:rFonts w:ascii="Arial" w:hAnsi="Arial" w:cs="Arial"/>
          <w:b/>
          <w:bCs/>
        </w:rPr>
        <w:t xml:space="preserve"> digestive glands during the 2022 MHW in the NW Adriatic Sea. </w:t>
      </w:r>
      <w:r w:rsidR="008C7A2C" w:rsidRPr="001B7F76">
        <w:rPr>
          <w:rFonts w:ascii="Arial" w:hAnsi="Arial" w:cs="Arial"/>
        </w:rPr>
        <w:t xml:space="preserve">Box plots </w:t>
      </w:r>
      <w:r w:rsidR="002617BE" w:rsidRPr="001B7F76">
        <w:rPr>
          <w:rFonts w:ascii="Arial" w:hAnsi="Arial" w:cs="Arial"/>
        </w:rPr>
        <w:t xml:space="preserve">(median, upper and lower quartiles; N = 10) </w:t>
      </w:r>
      <w:r w:rsidR="008C7A2C" w:rsidRPr="001B7F76">
        <w:rPr>
          <w:rFonts w:ascii="Arial" w:hAnsi="Arial" w:cs="Arial"/>
        </w:rPr>
        <w:t>show the expression levels across sampling timepoints. Different letters indicate statistical differences betwee</w:t>
      </w:r>
      <w:r w:rsidR="001B7F76" w:rsidRPr="001B7F76">
        <w:rPr>
          <w:rFonts w:ascii="Arial" w:hAnsi="Arial" w:cs="Arial"/>
        </w:rPr>
        <w:t>n Different letters indicate statistical differences between sampling months (p &lt; 0.05, Mann-Whitney U-test; N = 10).</w:t>
      </w:r>
      <w:r w:rsidR="00004F82">
        <w:rPr>
          <w:rFonts w:ascii="Arial" w:hAnsi="Arial" w:cs="Arial"/>
        </w:rPr>
        <w:t xml:space="preserve"> </w:t>
      </w:r>
      <w:r w:rsidR="00004F82" w:rsidRPr="00CE52B0">
        <w:rPr>
          <w:rFonts w:ascii="Arial" w:hAnsi="Arial" w:cs="Arial"/>
        </w:rPr>
        <w:t>Full gene transcripts names are reported in Table S1.</w:t>
      </w:r>
    </w:p>
    <w:p w14:paraId="03639E85" w14:textId="77777777" w:rsidR="00323E5D" w:rsidRDefault="00323E5D"/>
    <w:p w14:paraId="6677F504" w14:textId="22FF95DD" w:rsidR="00323E5D" w:rsidRDefault="00323E5D">
      <w:pPr>
        <w:spacing w:line="278" w:lineRule="auto"/>
      </w:pPr>
      <w:r>
        <w:br w:type="page"/>
      </w:r>
    </w:p>
    <w:p w14:paraId="6802D4C3" w14:textId="262213AA" w:rsidR="00B01F9D" w:rsidRDefault="00394C1C">
      <w:r w:rsidRPr="00394C1C">
        <w:rPr>
          <w:noProof/>
        </w:rPr>
        <w:lastRenderedPageBreak/>
        <w:drawing>
          <wp:anchor distT="0" distB="0" distL="114300" distR="114300" simplePos="0" relativeHeight="251659265" behindDoc="0" locked="0" layoutInCell="1" allowOverlap="1" wp14:anchorId="04593489" wp14:editId="69E81969">
            <wp:simplePos x="0" y="0"/>
            <wp:positionH relativeFrom="column">
              <wp:posOffset>22671</wp:posOffset>
            </wp:positionH>
            <wp:positionV relativeFrom="paragraph">
              <wp:posOffset>-52899</wp:posOffset>
            </wp:positionV>
            <wp:extent cx="5682883" cy="4299058"/>
            <wp:effectExtent l="0" t="0" r="0" b="0"/>
            <wp:wrapNone/>
            <wp:docPr id="1566700773" name="Immagine 1" descr="Immagine che contiene testo, diagramma, Piano,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6700773" name="Immagine 1" descr="Immagine che contiene testo, diagramma, Piano, schermata&#10;&#10;Il contenuto generato dall'IA potrebbe non essere corretto."/>
                    <pic:cNvPicPr/>
                  </pic:nvPicPr>
                  <pic:blipFill rotWithShape="1">
                    <a:blip r:embed="rId7">
                      <a:extLst>
                        <a:ext uri="{28A0092B-C50C-407E-A947-70E740481C1C}">
                          <a14:useLocalDpi xmlns:a14="http://schemas.microsoft.com/office/drawing/2010/main" val="0"/>
                        </a:ext>
                      </a:extLst>
                    </a:blip>
                    <a:srcRect r="8627"/>
                    <a:stretch/>
                  </pic:blipFill>
                  <pic:spPr bwMode="auto">
                    <a:xfrm>
                      <a:off x="0" y="0"/>
                      <a:ext cx="5695522" cy="430861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8CBB55D" w14:textId="1A5575D1" w:rsidR="00B01F9D" w:rsidRDefault="00B01F9D"/>
    <w:p w14:paraId="608AE45F" w14:textId="75454782" w:rsidR="00B01F9D" w:rsidRDefault="00B01F9D"/>
    <w:p w14:paraId="6E6DBB28" w14:textId="123D5157" w:rsidR="00B01F9D" w:rsidRDefault="00B01F9D"/>
    <w:p w14:paraId="4224F8FB" w14:textId="6E533596" w:rsidR="00323E5D" w:rsidRDefault="00323E5D"/>
    <w:p w14:paraId="5E6B2C30" w14:textId="77777777" w:rsidR="00B01F9D" w:rsidRDefault="00B01F9D"/>
    <w:p w14:paraId="614671DD" w14:textId="77777777" w:rsidR="00B01F9D" w:rsidRDefault="00B01F9D"/>
    <w:p w14:paraId="03413566" w14:textId="77777777" w:rsidR="00B01F9D" w:rsidRDefault="00B01F9D"/>
    <w:p w14:paraId="576F2E72" w14:textId="77777777" w:rsidR="00B01F9D" w:rsidRDefault="00B01F9D"/>
    <w:p w14:paraId="72C5CAE3" w14:textId="77777777" w:rsidR="00B01F9D" w:rsidRDefault="00B01F9D"/>
    <w:p w14:paraId="4E158D51" w14:textId="77777777" w:rsidR="00B01F9D" w:rsidRDefault="00B01F9D"/>
    <w:p w14:paraId="15B4A9BF" w14:textId="77777777" w:rsidR="00B01F9D" w:rsidRDefault="00B01F9D"/>
    <w:p w14:paraId="22976C90" w14:textId="77777777" w:rsidR="00394C1C" w:rsidRDefault="00394C1C"/>
    <w:p w14:paraId="17918DFC" w14:textId="77777777" w:rsidR="00394C1C" w:rsidRDefault="00394C1C"/>
    <w:p w14:paraId="79398639" w14:textId="77777777" w:rsidR="00394C1C" w:rsidRDefault="00394C1C" w:rsidP="001B7F76">
      <w:pPr>
        <w:spacing w:line="240" w:lineRule="auto"/>
        <w:jc w:val="both"/>
        <w:rPr>
          <w:rFonts w:ascii="Arial" w:hAnsi="Arial" w:cs="Arial"/>
          <w:b/>
          <w:bCs/>
        </w:rPr>
      </w:pPr>
    </w:p>
    <w:p w14:paraId="5839D04C" w14:textId="2EDF26B4" w:rsidR="001B7F76" w:rsidRPr="001B7F76" w:rsidRDefault="001B7F76" w:rsidP="001B7F76">
      <w:pPr>
        <w:spacing w:line="240" w:lineRule="auto"/>
        <w:jc w:val="both"/>
        <w:rPr>
          <w:rFonts w:ascii="Arial" w:hAnsi="Arial" w:cs="Arial"/>
        </w:rPr>
      </w:pPr>
      <w:r w:rsidRPr="001B7F76">
        <w:rPr>
          <w:rFonts w:ascii="Arial" w:hAnsi="Arial" w:cs="Arial"/>
          <w:b/>
          <w:bCs/>
        </w:rPr>
        <w:t>Figure S</w:t>
      </w:r>
      <w:r w:rsidR="009268BA">
        <w:rPr>
          <w:rFonts w:ascii="Arial" w:hAnsi="Arial" w:cs="Arial"/>
          <w:b/>
          <w:bCs/>
        </w:rPr>
        <w:t>4</w:t>
      </w:r>
      <w:r w:rsidRPr="001B7F76">
        <w:rPr>
          <w:rFonts w:ascii="Arial" w:hAnsi="Arial" w:cs="Arial"/>
          <w:b/>
          <w:bCs/>
        </w:rPr>
        <w:t>.</w:t>
      </w:r>
      <w:r w:rsidRPr="001B7F76">
        <w:rPr>
          <w:rFonts w:ascii="Arial" w:hAnsi="Arial" w:cs="Arial"/>
        </w:rPr>
        <w:t xml:space="preserve"> </w:t>
      </w:r>
      <w:r w:rsidRPr="001B7F76">
        <w:rPr>
          <w:rFonts w:ascii="Arial" w:hAnsi="Arial" w:cs="Arial"/>
          <w:b/>
          <w:bCs/>
        </w:rPr>
        <w:t xml:space="preserve">Transcriptional profiles of </w:t>
      </w:r>
      <w:r>
        <w:rPr>
          <w:rFonts w:ascii="Arial" w:hAnsi="Arial" w:cs="Arial"/>
          <w:b/>
          <w:bCs/>
        </w:rPr>
        <w:t>neuroendocrine</w:t>
      </w:r>
      <w:r w:rsidRPr="001B7F76">
        <w:rPr>
          <w:rFonts w:ascii="Arial" w:hAnsi="Arial" w:cs="Arial"/>
          <w:b/>
          <w:bCs/>
        </w:rPr>
        <w:t xml:space="preserve"> (</w:t>
      </w:r>
      <w:r>
        <w:rPr>
          <w:rFonts w:ascii="Arial" w:hAnsi="Arial" w:cs="Arial"/>
          <w:b/>
          <w:bCs/>
          <w:i/>
          <w:iCs/>
        </w:rPr>
        <w:t>MeER1</w:t>
      </w:r>
      <w:r w:rsidR="00F04575">
        <w:rPr>
          <w:rFonts w:ascii="Arial" w:hAnsi="Arial" w:cs="Arial"/>
          <w:b/>
          <w:bCs/>
          <w:i/>
          <w:iCs/>
        </w:rPr>
        <w:t>, MeER2, 5-HT1</w:t>
      </w:r>
      <w:r w:rsidRPr="001B7F76">
        <w:rPr>
          <w:rFonts w:ascii="Arial" w:hAnsi="Arial" w:cs="Arial"/>
          <w:b/>
          <w:bCs/>
        </w:rPr>
        <w:t xml:space="preserve">), </w:t>
      </w:r>
      <w:r w:rsidR="00F04575">
        <w:rPr>
          <w:rFonts w:ascii="Arial" w:hAnsi="Arial" w:cs="Arial"/>
          <w:b/>
          <w:bCs/>
        </w:rPr>
        <w:t>and shell biomineralization (</w:t>
      </w:r>
      <w:r w:rsidR="00F04575" w:rsidRPr="00461604">
        <w:rPr>
          <w:rFonts w:ascii="Arial" w:hAnsi="Arial" w:cs="Arial"/>
          <w:b/>
          <w:bCs/>
          <w:i/>
          <w:iCs/>
        </w:rPr>
        <w:t>CA, CS, EP</w:t>
      </w:r>
      <w:r w:rsidR="00F04575">
        <w:rPr>
          <w:rFonts w:ascii="Arial" w:hAnsi="Arial" w:cs="Arial"/>
          <w:b/>
          <w:bCs/>
        </w:rPr>
        <w:t xml:space="preserve">) related </w:t>
      </w:r>
      <w:r w:rsidRPr="001B7F76">
        <w:rPr>
          <w:rFonts w:ascii="Arial" w:hAnsi="Arial" w:cs="Arial"/>
          <w:b/>
          <w:bCs/>
        </w:rPr>
        <w:t xml:space="preserve">gene products assessed in </w:t>
      </w:r>
      <w:r w:rsidR="00F04575">
        <w:rPr>
          <w:rFonts w:ascii="Arial" w:hAnsi="Arial" w:cs="Arial"/>
          <w:b/>
          <w:bCs/>
        </w:rPr>
        <w:t xml:space="preserve">mantle/gonad complexes </w:t>
      </w:r>
      <w:r w:rsidRPr="001B7F76">
        <w:rPr>
          <w:rFonts w:ascii="Arial" w:hAnsi="Arial" w:cs="Arial"/>
          <w:b/>
          <w:bCs/>
        </w:rPr>
        <w:t xml:space="preserve">of </w:t>
      </w:r>
      <w:r w:rsidRPr="001B7F76">
        <w:rPr>
          <w:rFonts w:ascii="Arial" w:hAnsi="Arial" w:cs="Arial"/>
          <w:b/>
          <w:bCs/>
          <w:i/>
          <w:iCs/>
        </w:rPr>
        <w:t xml:space="preserve">M. </w:t>
      </w:r>
      <w:proofErr w:type="spellStart"/>
      <w:r w:rsidRPr="001B7F76">
        <w:rPr>
          <w:rFonts w:ascii="Arial" w:hAnsi="Arial" w:cs="Arial"/>
          <w:b/>
          <w:bCs/>
          <w:i/>
          <w:iCs/>
        </w:rPr>
        <w:t>galloprovincialis</w:t>
      </w:r>
      <w:proofErr w:type="spellEnd"/>
      <w:r w:rsidRPr="001B7F76">
        <w:rPr>
          <w:rFonts w:ascii="Arial" w:hAnsi="Arial" w:cs="Arial"/>
          <w:b/>
          <w:bCs/>
        </w:rPr>
        <w:t xml:space="preserve"> digestive glands during the 2022 MHW in the NW Adriatic Sea. </w:t>
      </w:r>
      <w:r w:rsidRPr="001B7F76">
        <w:rPr>
          <w:rFonts w:ascii="Arial" w:hAnsi="Arial" w:cs="Arial"/>
        </w:rPr>
        <w:t>Box plots (median, upper and lower quartiles; N = 10) show the expression levels across sampling timepoints. Different letters indicate statistical differences between Different letters indicate statistical differences between sampling months (p &lt; 0.05, Mann-Whitney U-test; N = 10).</w:t>
      </w:r>
      <w:r w:rsidR="00004F82">
        <w:rPr>
          <w:rFonts w:ascii="Arial" w:hAnsi="Arial" w:cs="Arial"/>
        </w:rPr>
        <w:t xml:space="preserve"> </w:t>
      </w:r>
      <w:r w:rsidR="00004F82" w:rsidRPr="00CE52B0">
        <w:rPr>
          <w:rFonts w:ascii="Arial" w:hAnsi="Arial" w:cs="Arial"/>
        </w:rPr>
        <w:t>Full gene transcripts names are reported in Table S1.</w:t>
      </w:r>
    </w:p>
    <w:p w14:paraId="1746DE96" w14:textId="77777777" w:rsidR="00B01F9D" w:rsidRDefault="00B01F9D"/>
    <w:p w14:paraId="6032B6E1" w14:textId="36D2BC5C" w:rsidR="008B67C3" w:rsidRDefault="008B67C3">
      <w:pPr>
        <w:spacing w:line="278" w:lineRule="auto"/>
      </w:pPr>
      <w:r>
        <w:br w:type="page"/>
      </w:r>
    </w:p>
    <w:p w14:paraId="4D90F062" w14:textId="323CB25F" w:rsidR="008B67C3" w:rsidRDefault="00A3564A">
      <w:r>
        <w:rPr>
          <w:noProof/>
          <w14:ligatures w14:val="standardContextual"/>
        </w:rPr>
        <w:lastRenderedPageBreak/>
        <w:drawing>
          <wp:inline distT="0" distB="0" distL="0" distR="0" wp14:anchorId="5D93AFF1" wp14:editId="011B14B7">
            <wp:extent cx="5731510" cy="6718935"/>
            <wp:effectExtent l="0" t="0" r="0" b="0"/>
            <wp:docPr id="944965314" name="Immagine 5" descr="Immagine che contiene testo, diagramma, schermata, Pian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4965314" name="Immagine 5" descr="Immagine che contiene testo, diagramma, schermata, Piano&#10;&#10;Il contenuto generato dall'IA potrebbe non essere corretto."/>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31510" cy="6718935"/>
                    </a:xfrm>
                    <a:prstGeom prst="rect">
                      <a:avLst/>
                    </a:prstGeom>
                  </pic:spPr>
                </pic:pic>
              </a:graphicData>
            </a:graphic>
          </wp:inline>
        </w:drawing>
      </w:r>
    </w:p>
    <w:p w14:paraId="7742D532" w14:textId="027E23BE" w:rsidR="001040BC" w:rsidRPr="00487DB7" w:rsidRDefault="00377CC5" w:rsidP="00516507">
      <w:pPr>
        <w:jc w:val="both"/>
        <w:rPr>
          <w:rFonts w:ascii="Arial" w:hAnsi="Arial" w:cs="Arial"/>
          <w:sz w:val="24"/>
          <w:szCs w:val="24"/>
        </w:rPr>
      </w:pPr>
      <w:r w:rsidRPr="00377CC5">
        <w:rPr>
          <w:rFonts w:ascii="Arial" w:hAnsi="Arial" w:cs="Arial"/>
          <w:b/>
          <w:bCs/>
          <w:sz w:val="24"/>
          <w:szCs w:val="24"/>
        </w:rPr>
        <w:t xml:space="preserve">Figure S5. </w:t>
      </w:r>
      <w:r w:rsidR="00C81DFA">
        <w:rPr>
          <w:rFonts w:ascii="Arial" w:hAnsi="Arial" w:cs="Arial"/>
          <w:b/>
          <w:bCs/>
          <w:sz w:val="24"/>
          <w:szCs w:val="24"/>
        </w:rPr>
        <w:t xml:space="preserve">Comparative analyses of timeseries transcriptional data in digestive glands of </w:t>
      </w:r>
      <w:r w:rsidR="00C81DFA" w:rsidRPr="005646CC">
        <w:rPr>
          <w:rFonts w:ascii="Arial" w:hAnsi="Arial" w:cs="Arial"/>
          <w:b/>
          <w:bCs/>
          <w:i/>
          <w:iCs/>
          <w:sz w:val="24"/>
          <w:szCs w:val="24"/>
        </w:rPr>
        <w:t xml:space="preserve">M. </w:t>
      </w:r>
      <w:proofErr w:type="spellStart"/>
      <w:r w:rsidR="00C81DFA" w:rsidRPr="005646CC">
        <w:rPr>
          <w:rFonts w:ascii="Arial" w:hAnsi="Arial" w:cs="Arial"/>
          <w:b/>
          <w:bCs/>
          <w:i/>
          <w:iCs/>
          <w:sz w:val="24"/>
          <w:szCs w:val="24"/>
        </w:rPr>
        <w:t>galloprovincialis</w:t>
      </w:r>
      <w:proofErr w:type="spellEnd"/>
      <w:r w:rsidR="00C81DFA">
        <w:rPr>
          <w:rFonts w:ascii="Arial" w:hAnsi="Arial" w:cs="Arial"/>
          <w:b/>
          <w:bCs/>
          <w:sz w:val="24"/>
          <w:szCs w:val="24"/>
        </w:rPr>
        <w:t xml:space="preserve"> </w:t>
      </w:r>
      <w:r w:rsidR="005646CC">
        <w:rPr>
          <w:rFonts w:ascii="Arial" w:hAnsi="Arial" w:cs="Arial"/>
          <w:b/>
          <w:bCs/>
          <w:sz w:val="24"/>
          <w:szCs w:val="24"/>
        </w:rPr>
        <w:t xml:space="preserve">in the NW Adriatic Sea (Italy). </w:t>
      </w:r>
      <w:r w:rsidR="00E95CC0">
        <w:rPr>
          <w:rFonts w:ascii="Arial" w:hAnsi="Arial" w:cs="Arial"/>
          <w:sz w:val="24"/>
          <w:szCs w:val="24"/>
        </w:rPr>
        <w:t xml:space="preserve">Data gathered in the present study (Rimini 2022) </w:t>
      </w:r>
      <w:r w:rsidR="00E431A7">
        <w:rPr>
          <w:rFonts w:ascii="Arial" w:hAnsi="Arial" w:cs="Arial"/>
          <w:sz w:val="24"/>
          <w:szCs w:val="24"/>
        </w:rPr>
        <w:t>were</w:t>
      </w:r>
      <w:r w:rsidR="00E95CC0">
        <w:rPr>
          <w:rFonts w:ascii="Arial" w:hAnsi="Arial" w:cs="Arial"/>
          <w:sz w:val="24"/>
          <w:szCs w:val="24"/>
        </w:rPr>
        <w:t xml:space="preserve"> compared with</w:t>
      </w:r>
      <w:r w:rsidR="006269CC">
        <w:rPr>
          <w:rFonts w:ascii="Arial" w:hAnsi="Arial" w:cs="Arial"/>
          <w:sz w:val="24"/>
          <w:szCs w:val="24"/>
        </w:rPr>
        <w:t xml:space="preserve"> transcriptional data </w:t>
      </w:r>
      <w:r w:rsidR="00AF283F">
        <w:rPr>
          <w:rFonts w:ascii="Arial" w:hAnsi="Arial" w:cs="Arial"/>
          <w:sz w:val="24"/>
          <w:szCs w:val="24"/>
        </w:rPr>
        <w:t xml:space="preserve">from digestive glands of mussels </w:t>
      </w:r>
      <w:r w:rsidR="006269CC">
        <w:rPr>
          <w:rFonts w:ascii="Arial" w:hAnsi="Arial" w:cs="Arial"/>
          <w:sz w:val="24"/>
          <w:szCs w:val="24"/>
        </w:rPr>
        <w:t xml:space="preserve">collected from nearby farms in previous years </w:t>
      </w:r>
      <w:r w:rsidR="00E431A7">
        <w:rPr>
          <w:rFonts w:ascii="Arial" w:hAnsi="Arial" w:cs="Arial"/>
          <w:sz w:val="24"/>
          <w:szCs w:val="24"/>
        </w:rPr>
        <w:t>(</w:t>
      </w:r>
      <w:r w:rsidR="00BF6C0A">
        <w:rPr>
          <w:rFonts w:ascii="Arial" w:hAnsi="Arial" w:cs="Arial"/>
          <w:sz w:val="24"/>
          <w:szCs w:val="24"/>
        </w:rPr>
        <w:t>not affected by MHW</w:t>
      </w:r>
      <w:r w:rsidR="00E431A7">
        <w:rPr>
          <w:rFonts w:ascii="Arial" w:hAnsi="Arial" w:cs="Arial"/>
          <w:sz w:val="24"/>
          <w:szCs w:val="24"/>
        </w:rPr>
        <w:t>s)</w:t>
      </w:r>
      <w:r w:rsidR="00CD4039">
        <w:rPr>
          <w:rFonts w:ascii="Arial" w:hAnsi="Arial" w:cs="Arial"/>
          <w:sz w:val="24"/>
          <w:szCs w:val="24"/>
        </w:rPr>
        <w:t xml:space="preserve">: </w:t>
      </w:r>
      <w:r w:rsidR="00BF6C0A">
        <w:rPr>
          <w:rFonts w:ascii="Arial" w:hAnsi="Arial" w:cs="Arial"/>
          <w:sz w:val="24"/>
          <w:szCs w:val="24"/>
        </w:rPr>
        <w:t xml:space="preserve">Cesenatico 2018 </w:t>
      </w:r>
      <w:r w:rsidR="00BF6C0A">
        <w:rPr>
          <w:rFonts w:ascii="Arial" w:hAnsi="Arial" w:cs="Arial"/>
          <w:sz w:val="24"/>
          <w:szCs w:val="24"/>
        </w:rPr>
        <w:fldChar w:fldCharType="begin"/>
      </w:r>
      <w:r w:rsidR="00CD4039">
        <w:rPr>
          <w:rFonts w:ascii="Arial" w:hAnsi="Arial" w:cs="Arial"/>
          <w:sz w:val="24"/>
          <w:szCs w:val="24"/>
        </w:rPr>
        <w:instrText xml:space="preserve"> ADDIN ZOTERO_ITEM CSL_CITATION {"citationID":"iQr674V3","properties":{"formattedCitation":"(Wathsala et al., 2021)","plainCitation":"(Wathsala et al., 2021)","noteIndex":0},"citationItems":[{"id":79,"uris":["http://zotero.org/users/4521209/items/6V6S5LQ4"],"itemData":{"id":79,"type":"article-journal","abstract":"This study evaluates the transcriptional profiles of genes related to physiological responses in digestive glands (DG) of Mytilus galloprovi ncialis under the influence of seasonal changes of environmental varia bles, gender bias, and gonadal development. Composition of the DG micr obiome was also explored. Mussels were collected across 7 months encom passing 3 seasons from a farm in the Northwestern Adriatic Sea. All ge ne products showed complex transcriptional patterns across seasons. Sa linity, surface oxygen and transparency significantly correlate with t ranscriptional profiles of males, whereas in females temperature and g onadal maturation mostly explained the observed transcriptional change s. Seasonal variations and gender-specific differences were observed i n DG microbiome composition, with variations resembling metabolic acco mmodations likely facing season progression and reproductive cycle. Re sults provide baseline information to improve actual monitoring strate gies of mussel farming conditions and forecast potential detrimental i mpacts of climatological/environmental changes in the study area.","archive":"DOI.org (Crossref)","container-title":"Marine Pollution Bulletin","DOI":"10.1016/j.marpolbul.2021.112847","ISSN":"0025326X","language":"en","page":"112847","title":"Variability of metabolic, protective, antioxidant, and lysosomal gene transcriptional profiles and microbiota composition of Mytilus gallopr ovincialis farmed in the North Adriatic Sea (Italy)","volume":"172","author":[{"family":"Wathsala","given":"Rajapaksha Haddokara Gedara Rasika"},{"family":"Musella","given":"Margherita"},{"family":"Valbonesi","given":"Paola"},{"family":"Candela","given":"Marco"},{"family":"Franzellitti","given":"Silvia"}],"issued":{"date-parts":[["2021",11]]}}}],"schema":"https://github.com/citation-style-language/schema/raw/master/csl-citation.json"} </w:instrText>
      </w:r>
      <w:r w:rsidR="00BF6C0A">
        <w:rPr>
          <w:rFonts w:ascii="Arial" w:hAnsi="Arial" w:cs="Arial"/>
          <w:sz w:val="24"/>
          <w:szCs w:val="24"/>
        </w:rPr>
        <w:fldChar w:fldCharType="separate"/>
      </w:r>
      <w:r w:rsidR="00CD4039">
        <w:rPr>
          <w:rFonts w:ascii="Arial" w:hAnsi="Arial" w:cs="Arial"/>
          <w:noProof/>
          <w:sz w:val="24"/>
          <w:szCs w:val="24"/>
        </w:rPr>
        <w:t>(Wathsala et al., 2021)</w:t>
      </w:r>
      <w:r w:rsidR="00BF6C0A">
        <w:rPr>
          <w:rFonts w:ascii="Arial" w:hAnsi="Arial" w:cs="Arial"/>
          <w:sz w:val="24"/>
          <w:szCs w:val="24"/>
        </w:rPr>
        <w:fldChar w:fldCharType="end"/>
      </w:r>
      <w:r w:rsidR="00CD4039">
        <w:rPr>
          <w:rFonts w:ascii="Arial" w:hAnsi="Arial" w:cs="Arial"/>
          <w:sz w:val="24"/>
          <w:szCs w:val="24"/>
        </w:rPr>
        <w:t xml:space="preserve"> and Cattolica 2019 </w:t>
      </w:r>
      <w:r w:rsidR="00CD4039">
        <w:rPr>
          <w:rFonts w:ascii="Arial" w:hAnsi="Arial" w:cs="Arial"/>
          <w:sz w:val="24"/>
          <w:szCs w:val="24"/>
        </w:rPr>
        <w:fldChar w:fldCharType="begin"/>
      </w:r>
      <w:r w:rsidR="00112E3F">
        <w:rPr>
          <w:rFonts w:ascii="Arial" w:hAnsi="Arial" w:cs="Arial"/>
          <w:sz w:val="24"/>
          <w:szCs w:val="24"/>
        </w:rPr>
        <w:instrText xml:space="preserve"> ADDIN ZOTERO_ITEM CSL_CITATION {"citationID":"9tl0SN5O","properties":{"formattedCitation":"(Palladino et al., 2023)","plainCitation":"(Palladino et al., 2023)","noteIndex":0},"citationItems":[{"id":76,"uris":["http://zotero.org/users/4521209/items/9U9IUW72"],"itemData":{"id":76,"type":"article-journal","archive":"DOI.org (Crossref)","container-title":"Science of The Total Environment","DOI":"10.1016/j.scitotenv.2023.163948","ISSN":"00489697","language":"en","page":"163948","title":"Seasonal dynamics of the microbiome-host response to pharmaceuticals a nd pesticides in Mytilus galloprovincialis farmed in the Northwestern Adriatic Sea","author":[{"family":"Palladino","given":"Giorgia"},{"family":"Rampelli","given":"Simone"},{"family":"Scicchitano","given":"Daniel"},{"family":"Nanetti","given":"Enrico"},{"family":"Iuffrida","given":"Letizia"},{"family":"Wathsala","given":"Rajapaksha Haddokara Gedara Rasika"},{"family":"Interino","given":"Nicolò"},{"family":"Marini","given":"Mauro"},{"family":"Porru","given":"Emanuele"},{"family":"Turroni","given":"Silvia"},{"family":"Fiori","given":"Jessica"},{"family":"Franzellitti","given":"Silvia"},{"family":"Candela","given":"Marco"}],"issued":{"date-parts":[["2023",5]]}}}],"schema":"https://github.com/citation-style-language/schema/raw/master/csl-citation.json"} </w:instrText>
      </w:r>
      <w:r w:rsidR="00CD4039">
        <w:rPr>
          <w:rFonts w:ascii="Arial" w:hAnsi="Arial" w:cs="Arial"/>
          <w:sz w:val="24"/>
          <w:szCs w:val="24"/>
        </w:rPr>
        <w:fldChar w:fldCharType="separate"/>
      </w:r>
      <w:r w:rsidR="00112E3F">
        <w:rPr>
          <w:rFonts w:ascii="Arial" w:hAnsi="Arial" w:cs="Arial"/>
          <w:noProof/>
          <w:sz w:val="24"/>
          <w:szCs w:val="24"/>
        </w:rPr>
        <w:t>(Palladino et al., 2023)</w:t>
      </w:r>
      <w:r w:rsidR="00CD4039">
        <w:rPr>
          <w:rFonts w:ascii="Arial" w:hAnsi="Arial" w:cs="Arial"/>
          <w:sz w:val="24"/>
          <w:szCs w:val="24"/>
        </w:rPr>
        <w:fldChar w:fldCharType="end"/>
      </w:r>
      <w:r w:rsidR="00112E3F">
        <w:rPr>
          <w:rFonts w:ascii="Arial" w:hAnsi="Arial" w:cs="Arial"/>
          <w:sz w:val="24"/>
          <w:szCs w:val="24"/>
        </w:rPr>
        <w:t xml:space="preserve">. (A) Map of </w:t>
      </w:r>
      <w:r w:rsidR="00977BB9">
        <w:rPr>
          <w:rFonts w:ascii="Arial" w:hAnsi="Arial" w:cs="Arial"/>
          <w:sz w:val="24"/>
          <w:szCs w:val="24"/>
        </w:rPr>
        <w:t xml:space="preserve">location of </w:t>
      </w:r>
      <w:r w:rsidR="008047F6">
        <w:rPr>
          <w:rFonts w:ascii="Arial" w:hAnsi="Arial" w:cs="Arial"/>
          <w:sz w:val="24"/>
          <w:szCs w:val="24"/>
        </w:rPr>
        <w:t xml:space="preserve">the sampling sites; (B) Comparisons </w:t>
      </w:r>
      <w:r w:rsidR="00977BB9">
        <w:rPr>
          <w:rFonts w:ascii="Arial" w:hAnsi="Arial" w:cs="Arial"/>
          <w:sz w:val="24"/>
          <w:szCs w:val="24"/>
        </w:rPr>
        <w:t xml:space="preserve">of </w:t>
      </w:r>
      <w:r w:rsidR="008047F6">
        <w:rPr>
          <w:rFonts w:ascii="Arial" w:hAnsi="Arial" w:cs="Arial"/>
          <w:sz w:val="24"/>
          <w:szCs w:val="24"/>
        </w:rPr>
        <w:t xml:space="preserve">relevant environmental variables </w:t>
      </w:r>
      <w:r w:rsidR="00A0527F">
        <w:rPr>
          <w:rFonts w:ascii="Arial" w:hAnsi="Arial" w:cs="Arial"/>
          <w:sz w:val="24"/>
          <w:szCs w:val="24"/>
        </w:rPr>
        <w:t>sea surface temperature (SST) and chlorophyll-a concentration</w:t>
      </w:r>
      <w:r w:rsidR="005311C8">
        <w:rPr>
          <w:rFonts w:ascii="Arial" w:hAnsi="Arial" w:cs="Arial"/>
          <w:sz w:val="24"/>
          <w:szCs w:val="24"/>
        </w:rPr>
        <w:t xml:space="preserve"> retrieved from the EU Copernicus web portal</w:t>
      </w:r>
      <w:r w:rsidR="00E65DB9">
        <w:rPr>
          <w:rFonts w:ascii="Arial" w:hAnsi="Arial" w:cs="Arial"/>
          <w:sz w:val="24"/>
          <w:szCs w:val="24"/>
        </w:rPr>
        <w:t>.</w:t>
      </w:r>
      <w:r w:rsidR="005311C8">
        <w:rPr>
          <w:rFonts w:ascii="Arial" w:hAnsi="Arial" w:cs="Arial"/>
          <w:sz w:val="24"/>
          <w:szCs w:val="24"/>
        </w:rPr>
        <w:t xml:space="preserve"> (C) </w:t>
      </w:r>
      <w:r w:rsidR="00DC49B5" w:rsidRPr="00DC49B5">
        <w:rPr>
          <w:rFonts w:ascii="Arial" w:hAnsi="Arial" w:cs="Arial"/>
          <w:sz w:val="24"/>
          <w:szCs w:val="24"/>
        </w:rPr>
        <w:t>Heatmaps comparing changes in mRNA levels</w:t>
      </w:r>
      <w:r w:rsidR="006B198E">
        <w:rPr>
          <w:rFonts w:ascii="Arial" w:hAnsi="Arial" w:cs="Arial"/>
          <w:sz w:val="24"/>
          <w:szCs w:val="24"/>
        </w:rPr>
        <w:t xml:space="preserve"> in mussel digestive glands across the sampling periods</w:t>
      </w:r>
      <w:r w:rsidR="00FA27B2">
        <w:rPr>
          <w:rFonts w:ascii="Arial" w:hAnsi="Arial" w:cs="Arial"/>
          <w:sz w:val="24"/>
          <w:szCs w:val="24"/>
        </w:rPr>
        <w:t xml:space="preserve"> of each sampling site/year. </w:t>
      </w:r>
      <w:r w:rsidR="00DC49B5" w:rsidRPr="00DC49B5">
        <w:rPr>
          <w:rFonts w:ascii="Arial" w:hAnsi="Arial" w:cs="Arial"/>
          <w:sz w:val="24"/>
          <w:szCs w:val="24"/>
        </w:rPr>
        <w:t xml:space="preserve">Colors represent relative expression levels </w:t>
      </w:r>
      <w:r w:rsidR="00E65DB9">
        <w:rPr>
          <w:rFonts w:ascii="Arial" w:hAnsi="Arial" w:cs="Arial"/>
          <w:sz w:val="24"/>
          <w:szCs w:val="24"/>
        </w:rPr>
        <w:t xml:space="preserve">(fold change) </w:t>
      </w:r>
      <w:r w:rsidR="00DC49B5" w:rsidRPr="00DC49B5">
        <w:rPr>
          <w:rFonts w:ascii="Arial" w:hAnsi="Arial" w:cs="Arial"/>
          <w:sz w:val="24"/>
          <w:szCs w:val="24"/>
        </w:rPr>
        <w:t xml:space="preserve">with </w:t>
      </w:r>
      <w:r w:rsidR="00DC49B5" w:rsidRPr="00DC49B5">
        <w:rPr>
          <w:rFonts w:ascii="Arial" w:hAnsi="Arial" w:cs="Arial"/>
          <w:sz w:val="24"/>
          <w:szCs w:val="24"/>
        </w:rPr>
        <w:lastRenderedPageBreak/>
        <w:t xml:space="preserve">respect to </w:t>
      </w:r>
      <w:r w:rsidR="00E65DB9">
        <w:rPr>
          <w:rFonts w:ascii="Arial" w:hAnsi="Arial" w:cs="Arial"/>
          <w:sz w:val="24"/>
          <w:szCs w:val="24"/>
        </w:rPr>
        <w:t>Winter</w:t>
      </w:r>
      <w:r w:rsidR="00DC49B5" w:rsidRPr="00DC49B5">
        <w:rPr>
          <w:rFonts w:ascii="Arial" w:hAnsi="Arial" w:cs="Arial"/>
          <w:sz w:val="24"/>
          <w:szCs w:val="24"/>
        </w:rPr>
        <w:t>.</w:t>
      </w:r>
      <w:r w:rsidR="00864B5E">
        <w:rPr>
          <w:rFonts w:ascii="Arial" w:hAnsi="Arial" w:cs="Arial"/>
          <w:sz w:val="24"/>
          <w:szCs w:val="24"/>
        </w:rPr>
        <w:t xml:space="preserve"> Light grey color represents </w:t>
      </w:r>
      <w:r w:rsidR="00DA4CD9">
        <w:rPr>
          <w:rFonts w:ascii="Arial" w:hAnsi="Arial" w:cs="Arial"/>
          <w:sz w:val="24"/>
          <w:szCs w:val="24"/>
        </w:rPr>
        <w:t>unavailable</w:t>
      </w:r>
      <w:r w:rsidR="00864B5E">
        <w:rPr>
          <w:rFonts w:ascii="Arial" w:hAnsi="Arial" w:cs="Arial"/>
          <w:sz w:val="24"/>
          <w:szCs w:val="24"/>
        </w:rPr>
        <w:t xml:space="preserve"> data for IDH expression in the Cattolica 2019 </w:t>
      </w:r>
      <w:r w:rsidR="00DA4CD9">
        <w:rPr>
          <w:rFonts w:ascii="Arial" w:hAnsi="Arial" w:cs="Arial"/>
          <w:sz w:val="24"/>
          <w:szCs w:val="24"/>
        </w:rPr>
        <w:t xml:space="preserve">sampling survey. </w:t>
      </w:r>
      <w:r w:rsidR="00977BB9">
        <w:rPr>
          <w:rFonts w:ascii="Arial" w:hAnsi="Arial" w:cs="Arial"/>
          <w:sz w:val="24"/>
          <w:szCs w:val="24"/>
        </w:rPr>
        <w:t>(D) Nonmetric multidimensional scaling (</w:t>
      </w:r>
      <w:proofErr w:type="spellStart"/>
      <w:r w:rsidR="00977BB9">
        <w:rPr>
          <w:rFonts w:ascii="Arial" w:hAnsi="Arial" w:cs="Arial"/>
          <w:sz w:val="24"/>
          <w:szCs w:val="24"/>
        </w:rPr>
        <w:t>nMDS</w:t>
      </w:r>
      <w:proofErr w:type="spellEnd"/>
      <w:r w:rsidR="00977BB9">
        <w:rPr>
          <w:rFonts w:ascii="Arial" w:hAnsi="Arial" w:cs="Arial"/>
          <w:sz w:val="24"/>
          <w:szCs w:val="24"/>
        </w:rPr>
        <w:t xml:space="preserve">) </w:t>
      </w:r>
      <w:r w:rsidR="00E63B5A">
        <w:rPr>
          <w:rFonts w:ascii="Arial" w:hAnsi="Arial" w:cs="Arial"/>
          <w:sz w:val="24"/>
          <w:szCs w:val="24"/>
        </w:rPr>
        <w:t xml:space="preserve">analysis </w:t>
      </w:r>
      <w:r w:rsidR="00DA4CD9">
        <w:rPr>
          <w:rFonts w:ascii="Arial" w:hAnsi="Arial" w:cs="Arial"/>
          <w:sz w:val="24"/>
          <w:szCs w:val="24"/>
        </w:rPr>
        <w:t>sho</w:t>
      </w:r>
      <w:r w:rsidR="003E7ECE">
        <w:rPr>
          <w:rFonts w:ascii="Arial" w:hAnsi="Arial" w:cs="Arial"/>
          <w:sz w:val="24"/>
          <w:szCs w:val="24"/>
        </w:rPr>
        <w:t>w</w:t>
      </w:r>
      <w:r w:rsidR="00DA4CD9">
        <w:rPr>
          <w:rFonts w:ascii="Arial" w:hAnsi="Arial" w:cs="Arial"/>
          <w:sz w:val="24"/>
          <w:szCs w:val="24"/>
        </w:rPr>
        <w:t xml:space="preserve">ing the relationships </w:t>
      </w:r>
      <w:r w:rsidR="00AE2452">
        <w:rPr>
          <w:rFonts w:ascii="Arial" w:hAnsi="Arial" w:cs="Arial"/>
          <w:sz w:val="24"/>
          <w:szCs w:val="24"/>
        </w:rPr>
        <w:t xml:space="preserve">between the transcriptional datasets </w:t>
      </w:r>
      <w:r w:rsidR="00107388">
        <w:rPr>
          <w:rFonts w:ascii="Arial" w:hAnsi="Arial" w:cs="Arial"/>
          <w:sz w:val="24"/>
          <w:szCs w:val="24"/>
        </w:rPr>
        <w:t>(</w:t>
      </w:r>
      <w:r w:rsidR="001040BC">
        <w:rPr>
          <w:rFonts w:ascii="Arial" w:hAnsi="Arial" w:cs="Arial"/>
          <w:sz w:val="24"/>
          <w:szCs w:val="24"/>
        </w:rPr>
        <w:t>2D-stress: 0.05).</w:t>
      </w:r>
    </w:p>
    <w:p w14:paraId="173AC80C" w14:textId="45192D9B" w:rsidR="00417E0D" w:rsidRDefault="00417E0D">
      <w:pPr>
        <w:spacing w:line="278" w:lineRule="auto"/>
      </w:pPr>
      <w:r>
        <w:br w:type="page"/>
      </w:r>
    </w:p>
    <w:p w14:paraId="71F76474" w14:textId="2D05CCB6" w:rsidR="00417E0D" w:rsidRPr="00417E0D" w:rsidRDefault="00417E0D">
      <w:pPr>
        <w:rPr>
          <w:rFonts w:ascii="Arial" w:hAnsi="Arial" w:cs="Arial"/>
          <w:b/>
          <w:bCs/>
        </w:rPr>
      </w:pPr>
      <w:r w:rsidRPr="00417E0D">
        <w:rPr>
          <w:rFonts w:ascii="Arial" w:hAnsi="Arial" w:cs="Arial"/>
          <w:b/>
          <w:bCs/>
        </w:rPr>
        <w:lastRenderedPageBreak/>
        <w:t>References</w:t>
      </w:r>
    </w:p>
    <w:p w14:paraId="04CA68AB" w14:textId="77777777" w:rsidR="00112E3F" w:rsidRPr="00112E3F" w:rsidRDefault="00E85478" w:rsidP="00112E3F">
      <w:pPr>
        <w:pStyle w:val="Bibliografia"/>
        <w:rPr>
          <w:rFonts w:ascii="Arial" w:hAnsi="Arial" w:cs="Arial"/>
          <w:lang w:val="it-IT"/>
        </w:rPr>
      </w:pPr>
      <w:r>
        <w:rPr>
          <w:rFonts w:ascii="Arial" w:hAnsi="Arial" w:cs="Arial"/>
        </w:rPr>
        <w:fldChar w:fldCharType="begin"/>
      </w:r>
      <w:r>
        <w:rPr>
          <w:rFonts w:ascii="Arial" w:hAnsi="Arial" w:cs="Arial"/>
        </w:rPr>
        <w:instrText xml:space="preserve"> ADDIN ZOTERO_BIBL {"uncited":[],"omitted":[],"custom":[]} CSL_BIBLIOGRAPHY </w:instrText>
      </w:r>
      <w:r>
        <w:rPr>
          <w:rFonts w:ascii="Arial" w:hAnsi="Arial" w:cs="Arial"/>
        </w:rPr>
        <w:fldChar w:fldCharType="separate"/>
      </w:r>
      <w:r w:rsidR="00112E3F" w:rsidRPr="00112E3F">
        <w:rPr>
          <w:rFonts w:ascii="Arial" w:hAnsi="Arial" w:cs="Arial"/>
          <w:lang w:val="it-IT"/>
        </w:rPr>
        <w:t>Anantharaman, S., Craft, J.A., 2012. Annual Variation in the Levels of Transcripts of Sex-Specific Genes in the Mantle of the Common Mussel, Mytilus edulis. PLoS ONE 7, e50861. https://doi.org/10.1371/journal.pone.0050861</w:t>
      </w:r>
    </w:p>
    <w:p w14:paraId="641E171A" w14:textId="77777777" w:rsidR="00112E3F" w:rsidRPr="00112E3F" w:rsidRDefault="00112E3F" w:rsidP="00112E3F">
      <w:pPr>
        <w:pStyle w:val="Bibliografia"/>
        <w:rPr>
          <w:rFonts w:ascii="Arial" w:hAnsi="Arial" w:cs="Arial"/>
          <w:lang w:val="it-IT"/>
        </w:rPr>
      </w:pPr>
      <w:r w:rsidRPr="00112E3F">
        <w:rPr>
          <w:rFonts w:ascii="Arial" w:hAnsi="Arial" w:cs="Arial"/>
          <w:lang w:val="it-IT"/>
        </w:rPr>
        <w:t>Balbi, T., Camisassi, G., Montagna, M., Fabbri, R., Franzellitti, S., Carbone, C., Dawson, K., Canesi, L., 2017. Impact of cationic polystyrene nanoparticles (PS-NH2) on early embryo development of Mytilus galloprovincialis: Effects on shell formation. Chemosphere 186, 1–9. https://doi.org/10.1016/j.chemosphere.2017.07.120</w:t>
      </w:r>
    </w:p>
    <w:p w14:paraId="71692D02" w14:textId="77777777" w:rsidR="00112E3F" w:rsidRPr="00112E3F" w:rsidRDefault="00112E3F" w:rsidP="00112E3F">
      <w:pPr>
        <w:pStyle w:val="Bibliografia"/>
        <w:rPr>
          <w:rFonts w:ascii="Arial" w:hAnsi="Arial" w:cs="Arial"/>
          <w:lang w:val="it-IT"/>
        </w:rPr>
      </w:pPr>
      <w:r w:rsidRPr="00112E3F">
        <w:rPr>
          <w:rFonts w:ascii="Arial" w:hAnsi="Arial" w:cs="Arial"/>
          <w:lang w:val="it-IT"/>
        </w:rPr>
        <w:t>Balbi, T., Franzellitti, S., Fabbri, R., Montagna, M., Fabbri, E., Canesi, L., 2016. Impact of bisphenol A (BPA) on early embryo development in the marine mussel Mytilus galloprovincialis: Effects on gene transcription. Environ. Pollut. 218, 996–1004. https://doi.org/10.1016/j.envpol.2016.08.050</w:t>
      </w:r>
    </w:p>
    <w:p w14:paraId="6AF0A5DA" w14:textId="77777777" w:rsidR="00112E3F" w:rsidRPr="00112E3F" w:rsidRDefault="00112E3F" w:rsidP="00112E3F">
      <w:pPr>
        <w:pStyle w:val="Bibliografia"/>
        <w:rPr>
          <w:rFonts w:ascii="Arial" w:hAnsi="Arial" w:cs="Arial"/>
          <w:lang w:val="it-IT"/>
        </w:rPr>
      </w:pPr>
      <w:r w:rsidRPr="00112E3F">
        <w:rPr>
          <w:rFonts w:ascii="Arial" w:hAnsi="Arial" w:cs="Arial"/>
          <w:lang w:val="it-IT"/>
        </w:rPr>
        <w:t>Banni, M., Negri, A., Mignone, F., Boussetta, H., Viarengo, A., Dondero, F., 2011. Gene Expression Rhythms in the Mussel Mytilus galloprovincialis (Lam.) across an Annual Cycle. PLoS ONE 6, e18904. https://doi.org/10.1371/journal.pone.0018904</w:t>
      </w:r>
    </w:p>
    <w:p w14:paraId="2D178D43" w14:textId="77777777" w:rsidR="00112E3F" w:rsidRPr="00112E3F" w:rsidRDefault="00112E3F" w:rsidP="00112E3F">
      <w:pPr>
        <w:pStyle w:val="Bibliografia"/>
        <w:rPr>
          <w:rFonts w:ascii="Arial" w:hAnsi="Arial" w:cs="Arial"/>
          <w:lang w:val="it-IT"/>
        </w:rPr>
      </w:pPr>
      <w:r w:rsidRPr="00112E3F">
        <w:rPr>
          <w:rFonts w:ascii="Arial" w:hAnsi="Arial" w:cs="Arial"/>
          <w:lang w:val="it-IT"/>
        </w:rPr>
        <w:t>Capolupo, M., Franzellitti, S., Valbonesi, P., Lanzas, C.S., Fabbri, E., 2018. Uptake and transcriptional effects of polystyrene microplastics in larval stages of the Mediterranean mussel Mytilus galloprovincialis. Environ. Pollut. 241, 1038–1047. https://doi.org/10.1016/j.envpol.2018.06.035</w:t>
      </w:r>
    </w:p>
    <w:p w14:paraId="7B9320EC" w14:textId="77777777" w:rsidR="00112E3F" w:rsidRPr="00112E3F" w:rsidRDefault="00112E3F" w:rsidP="00112E3F">
      <w:pPr>
        <w:pStyle w:val="Bibliografia"/>
        <w:rPr>
          <w:rFonts w:ascii="Arial" w:hAnsi="Arial" w:cs="Arial"/>
          <w:lang w:val="it-IT"/>
        </w:rPr>
      </w:pPr>
      <w:r w:rsidRPr="00112E3F">
        <w:rPr>
          <w:rFonts w:ascii="Arial" w:hAnsi="Arial" w:cs="Arial"/>
          <w:lang w:val="it-IT"/>
        </w:rPr>
        <w:t>Ciocan, C.M., Cubero-Leon, E., Minier, C., Rotchell, J.M., 2011. Identification of Reproduction-Specific Genes Associated with Maturation and Estrogen Exposure in a Marine Bivalve Mytilus edulis. PLoS ONE 6, e22326. https://doi.org/10.1371/journal.pone.0022326</w:t>
      </w:r>
    </w:p>
    <w:p w14:paraId="5662F8EA" w14:textId="77777777" w:rsidR="00112E3F" w:rsidRPr="00112E3F" w:rsidRDefault="00112E3F" w:rsidP="00112E3F">
      <w:pPr>
        <w:pStyle w:val="Bibliografia"/>
        <w:rPr>
          <w:rFonts w:ascii="Arial" w:hAnsi="Arial" w:cs="Arial"/>
          <w:lang w:val="it-IT"/>
        </w:rPr>
      </w:pPr>
      <w:r w:rsidRPr="00112E3F">
        <w:rPr>
          <w:rFonts w:ascii="Arial" w:hAnsi="Arial" w:cs="Arial"/>
          <w:lang w:val="it-IT"/>
        </w:rPr>
        <w:t>Cubero-Leon, E., Ciocan, C.M., Hill, E.M., Osada, M., Kishida, M., Itoh, N., Kondo, R., Minier, C., Rotchell, J.M., 2010. Estrogens disrupt serotonin receptor and cyclooxygenase mRNA expression in the gonads of mussels (Mytilus edulis). Aquat. Toxicol. 98, 178–187. https://doi.org/10.1016/j.aquatox.2010.02.007</w:t>
      </w:r>
    </w:p>
    <w:p w14:paraId="2DF41A87" w14:textId="77777777" w:rsidR="00112E3F" w:rsidRPr="00112E3F" w:rsidRDefault="00112E3F" w:rsidP="00112E3F">
      <w:pPr>
        <w:pStyle w:val="Bibliografia"/>
        <w:rPr>
          <w:rFonts w:ascii="Arial" w:hAnsi="Arial" w:cs="Arial"/>
          <w:lang w:val="it-IT"/>
        </w:rPr>
      </w:pPr>
      <w:r w:rsidRPr="00112E3F">
        <w:rPr>
          <w:rFonts w:ascii="Arial" w:hAnsi="Arial" w:cs="Arial"/>
          <w:lang w:val="it-IT"/>
        </w:rPr>
        <w:t>Cubero-Leon, E., Ciocan, C.M., Minier, C., Rotchell, J.M., 2012. Reference gene selection for qPCR in mussel, Mytilus edulis, during gametogenesis and exogenous estrogen exposure. Environ. Sci. Pollut. Res. 19, 2728–2733. https://doi.org/10.1007/s11356-012-0772-9</w:t>
      </w:r>
    </w:p>
    <w:p w14:paraId="08AA67A4" w14:textId="77777777" w:rsidR="00112E3F" w:rsidRPr="00112E3F" w:rsidRDefault="00112E3F" w:rsidP="00112E3F">
      <w:pPr>
        <w:pStyle w:val="Bibliografia"/>
        <w:rPr>
          <w:rFonts w:ascii="Arial" w:hAnsi="Arial" w:cs="Arial"/>
          <w:lang w:val="it-IT"/>
        </w:rPr>
      </w:pPr>
      <w:r w:rsidRPr="00112E3F">
        <w:rPr>
          <w:rFonts w:ascii="Arial" w:hAnsi="Arial" w:cs="Arial"/>
          <w:lang w:val="it-IT"/>
        </w:rPr>
        <w:t>Dondero, F., Piacentini, L., Banni, M., Rebelo, M., Burlando, B., Viarengo, A., 2005. Quantitative PCR analysis of two molluscan metallothionein genes unveils differential expression and regulation. Gene 345, 259–270. https://doi.org/10.1016/j.gene.2004.11.031</w:t>
      </w:r>
    </w:p>
    <w:p w14:paraId="0C56B3B5" w14:textId="77777777" w:rsidR="00112E3F" w:rsidRPr="00112E3F" w:rsidRDefault="00112E3F" w:rsidP="00112E3F">
      <w:pPr>
        <w:pStyle w:val="Bibliografia"/>
        <w:rPr>
          <w:rFonts w:ascii="Arial" w:hAnsi="Arial" w:cs="Arial"/>
          <w:lang w:val="it-IT"/>
        </w:rPr>
      </w:pPr>
      <w:r w:rsidRPr="00112E3F">
        <w:rPr>
          <w:rFonts w:ascii="Arial" w:hAnsi="Arial" w:cs="Arial"/>
          <w:lang w:val="it-IT"/>
        </w:rPr>
        <w:t>Franzellitti, S., Fabbri, E., 2013. Cyclic-AMP Mediated Regulation of ABCB mRNA Expression in Mussel Haemocytes. PLoS ONE 8, e61634. https://doi.org/10.1371/journal.pone.0061634</w:t>
      </w:r>
    </w:p>
    <w:p w14:paraId="7538D1E9" w14:textId="77777777" w:rsidR="00112E3F" w:rsidRPr="00112E3F" w:rsidRDefault="00112E3F" w:rsidP="00112E3F">
      <w:pPr>
        <w:pStyle w:val="Bibliografia"/>
        <w:rPr>
          <w:rFonts w:ascii="Arial" w:hAnsi="Arial" w:cs="Arial"/>
          <w:lang w:val="it-IT"/>
        </w:rPr>
      </w:pPr>
      <w:r w:rsidRPr="00112E3F">
        <w:rPr>
          <w:rFonts w:ascii="Arial" w:hAnsi="Arial" w:cs="Arial"/>
          <w:lang w:val="it-IT"/>
        </w:rPr>
        <w:t>Hoarau, P., Damiens, G., Roméo, M., Gnassia-Barelli, M., Bebianno, M.J., 2006. Cloning and expression of a GST-pi gene in Mytilus galloprovincialis. Attempt to use the GST-pi transcript as a biomarker of pollution. Comp. Biochem. Physiol. Part C Toxicol. Pharmacol. 143, 196–203. https://doi.org/10.1016/j.cbpc.2006.02.007</w:t>
      </w:r>
    </w:p>
    <w:p w14:paraId="1FD9C977" w14:textId="77777777" w:rsidR="00112E3F" w:rsidRPr="00112E3F" w:rsidRDefault="00112E3F" w:rsidP="00112E3F">
      <w:pPr>
        <w:pStyle w:val="Bibliografia"/>
        <w:rPr>
          <w:rFonts w:ascii="Arial" w:hAnsi="Arial" w:cs="Arial"/>
          <w:lang w:val="it-IT"/>
        </w:rPr>
      </w:pPr>
      <w:r w:rsidRPr="00112E3F">
        <w:rPr>
          <w:rFonts w:ascii="Arial" w:hAnsi="Arial" w:cs="Arial"/>
          <w:lang w:val="it-IT"/>
        </w:rPr>
        <w:t>Koutsogiannaki, S., Franzellitti, S., Fabbri, E., Kaloyianni, M., 2014. Oxidative stress parameters induced by exposure to either cadmium or 17β-estradiol on Mytilus galloprovincialis hemocytes. The role of signaling molecules. Aquat. Toxicol. 146, 186–195. https://doi.org/10.1016/j.aquatox.2013.11.005</w:t>
      </w:r>
    </w:p>
    <w:p w14:paraId="01128A6A" w14:textId="77777777" w:rsidR="00112E3F" w:rsidRPr="00112E3F" w:rsidRDefault="00112E3F" w:rsidP="00112E3F">
      <w:pPr>
        <w:pStyle w:val="Bibliografia"/>
        <w:rPr>
          <w:rFonts w:ascii="Arial" w:hAnsi="Arial" w:cs="Arial"/>
          <w:lang w:val="it-IT"/>
        </w:rPr>
      </w:pPr>
      <w:r w:rsidRPr="00112E3F">
        <w:rPr>
          <w:rFonts w:ascii="Arial" w:hAnsi="Arial" w:cs="Arial"/>
          <w:lang w:val="it-IT"/>
        </w:rPr>
        <w:t>Palladino, G., Rampelli, S., Scicchitano, D., Nanetti, E., Iuffrida, L., Wathsala, R.H.G.R., Interino, N., Marini, M., Porru, E., Turroni, S., Fiori, J., Franzellitti, S., Candela, M., 2023. Seasonal dynamics of the microbiome-host response to pharmaceuticals a nd pesticides in Mytilus galloprovincialis farmed in the Northwestern Adriatic Sea. Sci. Total Environ. 163948. https://doi.org/10.1016/j.scitotenv.2023.163948</w:t>
      </w:r>
    </w:p>
    <w:p w14:paraId="3F54B01E" w14:textId="77777777" w:rsidR="00112E3F" w:rsidRPr="00112E3F" w:rsidRDefault="00112E3F" w:rsidP="00112E3F">
      <w:pPr>
        <w:pStyle w:val="Bibliografia"/>
        <w:rPr>
          <w:rFonts w:ascii="Arial" w:hAnsi="Arial" w:cs="Arial"/>
          <w:lang w:val="it-IT"/>
        </w:rPr>
      </w:pPr>
      <w:r w:rsidRPr="00112E3F">
        <w:rPr>
          <w:rFonts w:ascii="Arial" w:hAnsi="Arial" w:cs="Arial"/>
          <w:lang w:val="it-IT"/>
        </w:rPr>
        <w:t xml:space="preserve">Paul-Pont, I., Lacroix, C., González Fernández, C., Hégaret, H., Lambert, C., Le Goïc, N., Frère, L., Cassone, A.-L., Sussarellu, R., Fabioux, C., Guyomarch, J., Albentosa, M., Huvet, A., Soudant, P., 2016. Exposure of marine mussels Mytilus spp. to </w:t>
      </w:r>
      <w:r w:rsidRPr="00112E3F">
        <w:rPr>
          <w:rFonts w:ascii="Arial" w:hAnsi="Arial" w:cs="Arial"/>
          <w:lang w:val="it-IT"/>
        </w:rPr>
        <w:lastRenderedPageBreak/>
        <w:t>polystyrene microplastics: Toxicity and influence on fluoranthene bioaccumulation. Environ. Pollut. 216, 724–737. https://doi.org/10.1016/j.envpol.2016.06.039</w:t>
      </w:r>
    </w:p>
    <w:p w14:paraId="2EF53DCD" w14:textId="77777777" w:rsidR="00112E3F" w:rsidRPr="00112E3F" w:rsidRDefault="00112E3F" w:rsidP="00112E3F">
      <w:pPr>
        <w:pStyle w:val="Bibliografia"/>
        <w:rPr>
          <w:rFonts w:ascii="Arial" w:hAnsi="Arial" w:cs="Arial"/>
          <w:lang w:val="it-IT"/>
        </w:rPr>
      </w:pPr>
      <w:r w:rsidRPr="00112E3F">
        <w:rPr>
          <w:rFonts w:ascii="Arial" w:hAnsi="Arial" w:cs="Arial"/>
          <w:lang w:val="it-IT"/>
        </w:rPr>
        <w:t>Puinean, A.-M., Rotchell, J.M., 2006. Vitellogenin gene expression as a biomarker of endocrine disruption in the invertebrate, Mytilus edulis. Mar. Environ. Res. 62, S211–S214. https://doi.org/10.1016/j.marenvres.2006.04.035</w:t>
      </w:r>
    </w:p>
    <w:p w14:paraId="1150AAAE" w14:textId="77777777" w:rsidR="00112E3F" w:rsidRPr="00112E3F" w:rsidRDefault="00112E3F" w:rsidP="00112E3F">
      <w:pPr>
        <w:pStyle w:val="Bibliografia"/>
        <w:rPr>
          <w:rFonts w:ascii="Arial" w:hAnsi="Arial" w:cs="Arial"/>
          <w:lang w:val="it-IT"/>
        </w:rPr>
      </w:pPr>
      <w:r w:rsidRPr="00112E3F">
        <w:rPr>
          <w:rFonts w:ascii="Arial" w:hAnsi="Arial" w:cs="Arial"/>
          <w:lang w:val="it-IT"/>
        </w:rPr>
        <w:t>Wathsala, R.H.G.R., Musella, M., Valbonesi, P., Candela, M., Franzellitti, S., 2021. Variability of metabolic, protective, antioxidant, and lysosomal gene transcriptional profiles and microbiota composition of Mytilus gallopr ovincialis farmed in the North Adriatic Sea (Italy). Mar. Pollut. Bull. 172, 112847. https://doi.org/10.1016/j.marpolbul.2021.112847</w:t>
      </w:r>
    </w:p>
    <w:p w14:paraId="4131F574" w14:textId="5EB09A71" w:rsidR="00417E0D" w:rsidRPr="00417E0D" w:rsidRDefault="00E85478" w:rsidP="00112E3F">
      <w:pPr>
        <w:pStyle w:val="Bibliografia"/>
        <w:rPr>
          <w:rFonts w:ascii="Arial" w:hAnsi="Arial" w:cs="Arial"/>
        </w:rPr>
      </w:pPr>
      <w:r>
        <w:rPr>
          <w:rFonts w:ascii="Arial" w:hAnsi="Arial" w:cs="Arial"/>
        </w:rPr>
        <w:fldChar w:fldCharType="end"/>
      </w:r>
    </w:p>
    <w:sectPr w:rsidR="00417E0D" w:rsidRPr="00417E0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38FE"/>
    <w:rsid w:val="0000400E"/>
    <w:rsid w:val="00004F82"/>
    <w:rsid w:val="00013D5D"/>
    <w:rsid w:val="0003515E"/>
    <w:rsid w:val="000372C7"/>
    <w:rsid w:val="00045F00"/>
    <w:rsid w:val="00073ECD"/>
    <w:rsid w:val="000D7719"/>
    <w:rsid w:val="001040BC"/>
    <w:rsid w:val="00107388"/>
    <w:rsid w:val="00112E3F"/>
    <w:rsid w:val="00117952"/>
    <w:rsid w:val="00175B23"/>
    <w:rsid w:val="001B7F76"/>
    <w:rsid w:val="001D2954"/>
    <w:rsid w:val="001F38FE"/>
    <w:rsid w:val="00215FB2"/>
    <w:rsid w:val="00254560"/>
    <w:rsid w:val="002617BE"/>
    <w:rsid w:val="00267383"/>
    <w:rsid w:val="002B072C"/>
    <w:rsid w:val="002D21AD"/>
    <w:rsid w:val="002D2F9D"/>
    <w:rsid w:val="00323E5D"/>
    <w:rsid w:val="00352840"/>
    <w:rsid w:val="00377CC5"/>
    <w:rsid w:val="003853E3"/>
    <w:rsid w:val="00386D44"/>
    <w:rsid w:val="00394C1C"/>
    <w:rsid w:val="003C423E"/>
    <w:rsid w:val="003D2183"/>
    <w:rsid w:val="003D634D"/>
    <w:rsid w:val="003E3D13"/>
    <w:rsid w:val="003E7ECE"/>
    <w:rsid w:val="00417E0D"/>
    <w:rsid w:val="004426BA"/>
    <w:rsid w:val="00455451"/>
    <w:rsid w:val="00461604"/>
    <w:rsid w:val="004650B6"/>
    <w:rsid w:val="00487DB7"/>
    <w:rsid w:val="004B1B87"/>
    <w:rsid w:val="004C1069"/>
    <w:rsid w:val="004D6593"/>
    <w:rsid w:val="00516507"/>
    <w:rsid w:val="00523D0D"/>
    <w:rsid w:val="005311C8"/>
    <w:rsid w:val="00535176"/>
    <w:rsid w:val="00536269"/>
    <w:rsid w:val="005646CC"/>
    <w:rsid w:val="00570D79"/>
    <w:rsid w:val="00593E76"/>
    <w:rsid w:val="006071FA"/>
    <w:rsid w:val="006269CC"/>
    <w:rsid w:val="00641515"/>
    <w:rsid w:val="0069440C"/>
    <w:rsid w:val="00694FEE"/>
    <w:rsid w:val="006B198E"/>
    <w:rsid w:val="006B7956"/>
    <w:rsid w:val="006E51EA"/>
    <w:rsid w:val="00716726"/>
    <w:rsid w:val="00752DFB"/>
    <w:rsid w:val="007A09BE"/>
    <w:rsid w:val="007B6410"/>
    <w:rsid w:val="007C424C"/>
    <w:rsid w:val="007E6207"/>
    <w:rsid w:val="008047F6"/>
    <w:rsid w:val="00843082"/>
    <w:rsid w:val="0085169D"/>
    <w:rsid w:val="00864B42"/>
    <w:rsid w:val="00864B5E"/>
    <w:rsid w:val="00870A1E"/>
    <w:rsid w:val="00884402"/>
    <w:rsid w:val="008911B6"/>
    <w:rsid w:val="008B67C3"/>
    <w:rsid w:val="008B73BB"/>
    <w:rsid w:val="008C7A2C"/>
    <w:rsid w:val="009268BA"/>
    <w:rsid w:val="00977BB9"/>
    <w:rsid w:val="009803EE"/>
    <w:rsid w:val="00991602"/>
    <w:rsid w:val="00991BC8"/>
    <w:rsid w:val="009A217A"/>
    <w:rsid w:val="009C490B"/>
    <w:rsid w:val="009D361A"/>
    <w:rsid w:val="009E1888"/>
    <w:rsid w:val="009E252C"/>
    <w:rsid w:val="00A0527F"/>
    <w:rsid w:val="00A13152"/>
    <w:rsid w:val="00A148AF"/>
    <w:rsid w:val="00A3564A"/>
    <w:rsid w:val="00A75A12"/>
    <w:rsid w:val="00A845A3"/>
    <w:rsid w:val="00AE2452"/>
    <w:rsid w:val="00AF1A0B"/>
    <w:rsid w:val="00AF283F"/>
    <w:rsid w:val="00AF5FBD"/>
    <w:rsid w:val="00B01F9D"/>
    <w:rsid w:val="00B147BF"/>
    <w:rsid w:val="00B23573"/>
    <w:rsid w:val="00B6299D"/>
    <w:rsid w:val="00BB1148"/>
    <w:rsid w:val="00BF4681"/>
    <w:rsid w:val="00BF6C0A"/>
    <w:rsid w:val="00C00FF4"/>
    <w:rsid w:val="00C23A5B"/>
    <w:rsid w:val="00C32C55"/>
    <w:rsid w:val="00C81DFA"/>
    <w:rsid w:val="00CA5B9E"/>
    <w:rsid w:val="00CA6A29"/>
    <w:rsid w:val="00CD4039"/>
    <w:rsid w:val="00D57BF6"/>
    <w:rsid w:val="00D90F08"/>
    <w:rsid w:val="00D92DBD"/>
    <w:rsid w:val="00D9581D"/>
    <w:rsid w:val="00DA4CD9"/>
    <w:rsid w:val="00DC49B5"/>
    <w:rsid w:val="00E1457D"/>
    <w:rsid w:val="00E16D78"/>
    <w:rsid w:val="00E431A7"/>
    <w:rsid w:val="00E63B5A"/>
    <w:rsid w:val="00E65DB9"/>
    <w:rsid w:val="00E73B14"/>
    <w:rsid w:val="00E85478"/>
    <w:rsid w:val="00E95CC0"/>
    <w:rsid w:val="00EE034D"/>
    <w:rsid w:val="00F04575"/>
    <w:rsid w:val="00F61157"/>
    <w:rsid w:val="00F63498"/>
    <w:rsid w:val="00F9370D"/>
    <w:rsid w:val="00FA27B2"/>
    <w:rsid w:val="00FB363D"/>
    <w:rsid w:val="00FC055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FC4355"/>
  <w15:chartTrackingRefBased/>
  <w15:docId w15:val="{FCA59B67-61B5-4442-8469-12E15B9410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F38FE"/>
    <w:pPr>
      <w:spacing w:line="259" w:lineRule="auto"/>
    </w:pPr>
    <w:rPr>
      <w:kern w:val="0"/>
      <w:sz w:val="22"/>
      <w:szCs w:val="22"/>
      <w:lang w:val="en-US"/>
      <w14:ligatures w14:val="none"/>
    </w:rPr>
  </w:style>
  <w:style w:type="paragraph" w:styleId="Titolo1">
    <w:name w:val="heading 1"/>
    <w:basedOn w:val="Normale"/>
    <w:next w:val="Normale"/>
    <w:link w:val="Titolo1Carattere"/>
    <w:uiPriority w:val="9"/>
    <w:qFormat/>
    <w:rsid w:val="001F38FE"/>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Titolo2">
    <w:name w:val="heading 2"/>
    <w:basedOn w:val="Normale"/>
    <w:next w:val="Normale"/>
    <w:link w:val="Titolo2Carattere"/>
    <w:uiPriority w:val="9"/>
    <w:semiHidden/>
    <w:unhideWhenUsed/>
    <w:qFormat/>
    <w:rsid w:val="001F38FE"/>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Titolo3">
    <w:name w:val="heading 3"/>
    <w:basedOn w:val="Normale"/>
    <w:next w:val="Normale"/>
    <w:link w:val="Titolo3Carattere"/>
    <w:uiPriority w:val="9"/>
    <w:semiHidden/>
    <w:unhideWhenUsed/>
    <w:qFormat/>
    <w:rsid w:val="001F38FE"/>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Titolo4">
    <w:name w:val="heading 4"/>
    <w:basedOn w:val="Normale"/>
    <w:next w:val="Normale"/>
    <w:link w:val="Titolo4Carattere"/>
    <w:uiPriority w:val="9"/>
    <w:semiHidden/>
    <w:unhideWhenUsed/>
    <w:qFormat/>
    <w:rsid w:val="001F38FE"/>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Titolo5">
    <w:name w:val="heading 5"/>
    <w:basedOn w:val="Normale"/>
    <w:next w:val="Normale"/>
    <w:link w:val="Titolo5Carattere"/>
    <w:uiPriority w:val="9"/>
    <w:semiHidden/>
    <w:unhideWhenUsed/>
    <w:qFormat/>
    <w:rsid w:val="001F38FE"/>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Titolo6">
    <w:name w:val="heading 6"/>
    <w:basedOn w:val="Normale"/>
    <w:next w:val="Normale"/>
    <w:link w:val="Titolo6Carattere"/>
    <w:uiPriority w:val="9"/>
    <w:semiHidden/>
    <w:unhideWhenUsed/>
    <w:qFormat/>
    <w:rsid w:val="001F38FE"/>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Titolo7">
    <w:name w:val="heading 7"/>
    <w:basedOn w:val="Normale"/>
    <w:next w:val="Normale"/>
    <w:link w:val="Titolo7Carattere"/>
    <w:uiPriority w:val="9"/>
    <w:semiHidden/>
    <w:unhideWhenUsed/>
    <w:qFormat/>
    <w:rsid w:val="001F38FE"/>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Titolo8">
    <w:name w:val="heading 8"/>
    <w:basedOn w:val="Normale"/>
    <w:next w:val="Normale"/>
    <w:link w:val="Titolo8Carattere"/>
    <w:uiPriority w:val="9"/>
    <w:semiHidden/>
    <w:unhideWhenUsed/>
    <w:qFormat/>
    <w:rsid w:val="001F38FE"/>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Titolo9">
    <w:name w:val="heading 9"/>
    <w:basedOn w:val="Normale"/>
    <w:next w:val="Normale"/>
    <w:link w:val="Titolo9Carattere"/>
    <w:uiPriority w:val="9"/>
    <w:semiHidden/>
    <w:unhideWhenUsed/>
    <w:qFormat/>
    <w:rsid w:val="001F38FE"/>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F38FE"/>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1F38FE"/>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1F38FE"/>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1F38FE"/>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1F38FE"/>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1F38FE"/>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1F38FE"/>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1F38FE"/>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1F38FE"/>
    <w:rPr>
      <w:rFonts w:eastAsiaTheme="majorEastAsia" w:cstheme="majorBidi"/>
      <w:color w:val="272727" w:themeColor="text1" w:themeTint="D8"/>
    </w:rPr>
  </w:style>
  <w:style w:type="paragraph" w:styleId="Titolo">
    <w:name w:val="Title"/>
    <w:basedOn w:val="Normale"/>
    <w:next w:val="Normale"/>
    <w:link w:val="TitoloCarattere"/>
    <w:uiPriority w:val="10"/>
    <w:qFormat/>
    <w:rsid w:val="001F38FE"/>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oloCarattere">
    <w:name w:val="Titolo Carattere"/>
    <w:basedOn w:val="Carpredefinitoparagrafo"/>
    <w:link w:val="Titolo"/>
    <w:uiPriority w:val="10"/>
    <w:rsid w:val="001F38FE"/>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1F38FE"/>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ottotitoloCarattere">
    <w:name w:val="Sottotitolo Carattere"/>
    <w:basedOn w:val="Carpredefinitoparagrafo"/>
    <w:link w:val="Sottotitolo"/>
    <w:uiPriority w:val="11"/>
    <w:rsid w:val="001F38FE"/>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1F38FE"/>
    <w:pPr>
      <w:spacing w:before="160" w:line="278" w:lineRule="auto"/>
      <w:jc w:val="center"/>
    </w:pPr>
    <w:rPr>
      <w:i/>
      <w:iCs/>
      <w:color w:val="404040" w:themeColor="text1" w:themeTint="BF"/>
      <w:kern w:val="2"/>
      <w:sz w:val="24"/>
      <w:szCs w:val="24"/>
      <w14:ligatures w14:val="standardContextual"/>
    </w:rPr>
  </w:style>
  <w:style w:type="character" w:customStyle="1" w:styleId="CitazioneCarattere">
    <w:name w:val="Citazione Carattere"/>
    <w:basedOn w:val="Carpredefinitoparagrafo"/>
    <w:link w:val="Citazione"/>
    <w:uiPriority w:val="29"/>
    <w:rsid w:val="001F38FE"/>
    <w:rPr>
      <w:i/>
      <w:iCs/>
      <w:color w:val="404040" w:themeColor="text1" w:themeTint="BF"/>
    </w:rPr>
  </w:style>
  <w:style w:type="paragraph" w:styleId="Paragrafoelenco">
    <w:name w:val="List Paragraph"/>
    <w:basedOn w:val="Normale"/>
    <w:uiPriority w:val="34"/>
    <w:qFormat/>
    <w:rsid w:val="001F38FE"/>
    <w:pPr>
      <w:spacing w:line="278" w:lineRule="auto"/>
      <w:ind w:left="720"/>
      <w:contextualSpacing/>
    </w:pPr>
    <w:rPr>
      <w:kern w:val="2"/>
      <w:sz w:val="24"/>
      <w:szCs w:val="24"/>
      <w14:ligatures w14:val="standardContextual"/>
    </w:rPr>
  </w:style>
  <w:style w:type="character" w:styleId="Enfasiintensa">
    <w:name w:val="Intense Emphasis"/>
    <w:basedOn w:val="Carpredefinitoparagrafo"/>
    <w:uiPriority w:val="21"/>
    <w:qFormat/>
    <w:rsid w:val="001F38FE"/>
    <w:rPr>
      <w:i/>
      <w:iCs/>
      <w:color w:val="0F4761" w:themeColor="accent1" w:themeShade="BF"/>
    </w:rPr>
  </w:style>
  <w:style w:type="paragraph" w:styleId="Citazioneintensa">
    <w:name w:val="Intense Quote"/>
    <w:basedOn w:val="Normale"/>
    <w:next w:val="Normale"/>
    <w:link w:val="CitazioneintensaCarattere"/>
    <w:uiPriority w:val="30"/>
    <w:qFormat/>
    <w:rsid w:val="001F38FE"/>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CitazioneintensaCarattere">
    <w:name w:val="Citazione intensa Carattere"/>
    <w:basedOn w:val="Carpredefinitoparagrafo"/>
    <w:link w:val="Citazioneintensa"/>
    <w:uiPriority w:val="30"/>
    <w:rsid w:val="001F38FE"/>
    <w:rPr>
      <w:i/>
      <w:iCs/>
      <w:color w:val="0F4761" w:themeColor="accent1" w:themeShade="BF"/>
    </w:rPr>
  </w:style>
  <w:style w:type="character" w:styleId="Riferimentointenso">
    <w:name w:val="Intense Reference"/>
    <w:basedOn w:val="Carpredefinitoparagrafo"/>
    <w:uiPriority w:val="32"/>
    <w:qFormat/>
    <w:rsid w:val="001F38FE"/>
    <w:rPr>
      <w:b/>
      <w:bCs/>
      <w:smallCaps/>
      <w:color w:val="0F4761" w:themeColor="accent1" w:themeShade="BF"/>
      <w:spacing w:val="5"/>
    </w:rPr>
  </w:style>
  <w:style w:type="table" w:styleId="Grigliatabella">
    <w:name w:val="Table Grid"/>
    <w:basedOn w:val="Tabellanormale"/>
    <w:uiPriority w:val="39"/>
    <w:rsid w:val="001F38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essunaspaziatura">
    <w:name w:val="No Spacing"/>
    <w:link w:val="NessunaspaziaturaCarattere"/>
    <w:uiPriority w:val="1"/>
    <w:qFormat/>
    <w:rsid w:val="001F38FE"/>
    <w:pPr>
      <w:spacing w:after="0" w:line="240" w:lineRule="auto"/>
    </w:pPr>
    <w:rPr>
      <w:kern w:val="0"/>
      <w:sz w:val="22"/>
      <w:szCs w:val="22"/>
      <w:lang w:val="en-US"/>
      <w14:ligatures w14:val="none"/>
    </w:rPr>
  </w:style>
  <w:style w:type="character" w:customStyle="1" w:styleId="NessunaspaziaturaCarattere">
    <w:name w:val="Nessuna spaziatura Carattere"/>
    <w:basedOn w:val="Carpredefinitoparagrafo"/>
    <w:link w:val="Nessunaspaziatura"/>
    <w:uiPriority w:val="1"/>
    <w:rsid w:val="001F38FE"/>
    <w:rPr>
      <w:kern w:val="0"/>
      <w:sz w:val="22"/>
      <w:szCs w:val="22"/>
      <w:lang w:val="en-US"/>
      <w14:ligatures w14:val="none"/>
    </w:rPr>
  </w:style>
  <w:style w:type="paragraph" w:styleId="Bibliografia">
    <w:name w:val="Bibliography"/>
    <w:basedOn w:val="Normale"/>
    <w:next w:val="Normale"/>
    <w:uiPriority w:val="37"/>
    <w:unhideWhenUsed/>
    <w:rsid w:val="001F38FE"/>
    <w:pPr>
      <w:spacing w:after="0" w:line="240" w:lineRule="auto"/>
      <w:ind w:left="720" w:hanging="720"/>
    </w:pPr>
  </w:style>
  <w:style w:type="character" w:customStyle="1" w:styleId="apple-converted-space">
    <w:name w:val="apple-converted-space"/>
    <w:basedOn w:val="Carpredefinitoparagrafo"/>
    <w:rsid w:val="000372C7"/>
  </w:style>
  <w:style w:type="character" w:styleId="Collegamentoipertestuale">
    <w:name w:val="Hyperlink"/>
    <w:basedOn w:val="Carpredefinitoparagrafo"/>
    <w:uiPriority w:val="99"/>
    <w:semiHidden/>
    <w:unhideWhenUsed/>
    <w:rsid w:val="000372C7"/>
    <w:rPr>
      <w:color w:val="0000FF"/>
      <w:u w:val="single"/>
    </w:rPr>
  </w:style>
  <w:style w:type="character" w:styleId="Rimandocommento">
    <w:name w:val="annotation reference"/>
    <w:basedOn w:val="Carpredefinitoparagrafo"/>
    <w:uiPriority w:val="99"/>
    <w:semiHidden/>
    <w:unhideWhenUsed/>
    <w:rsid w:val="008B67C3"/>
    <w:rPr>
      <w:sz w:val="16"/>
      <w:szCs w:val="16"/>
    </w:rPr>
  </w:style>
  <w:style w:type="paragraph" w:styleId="Testocommento">
    <w:name w:val="annotation text"/>
    <w:basedOn w:val="Normale"/>
    <w:link w:val="TestocommentoCarattere"/>
    <w:uiPriority w:val="99"/>
    <w:semiHidden/>
    <w:unhideWhenUsed/>
    <w:rsid w:val="008B67C3"/>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8B67C3"/>
    <w:rPr>
      <w:kern w:val="0"/>
      <w:sz w:val="20"/>
      <w:szCs w:val="20"/>
      <w:lang w:val="en-US"/>
      <w14:ligatures w14:val="none"/>
    </w:rPr>
  </w:style>
  <w:style w:type="paragraph" w:styleId="Soggettocommento">
    <w:name w:val="annotation subject"/>
    <w:basedOn w:val="Testocommento"/>
    <w:next w:val="Testocommento"/>
    <w:link w:val="SoggettocommentoCarattere"/>
    <w:uiPriority w:val="99"/>
    <w:semiHidden/>
    <w:unhideWhenUsed/>
    <w:rsid w:val="008B67C3"/>
    <w:rPr>
      <w:b/>
      <w:bCs/>
    </w:rPr>
  </w:style>
  <w:style w:type="character" w:customStyle="1" w:styleId="SoggettocommentoCarattere">
    <w:name w:val="Soggetto commento Carattere"/>
    <w:basedOn w:val="TestocommentoCarattere"/>
    <w:link w:val="Soggettocommento"/>
    <w:uiPriority w:val="99"/>
    <w:semiHidden/>
    <w:rsid w:val="008B67C3"/>
    <w:rPr>
      <w:b/>
      <w:bCs/>
      <w:kern w:val="0"/>
      <w:sz w:val="20"/>
      <w:szCs w:val="2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8628311">
      <w:bodyDiv w:val="1"/>
      <w:marLeft w:val="0"/>
      <w:marRight w:val="0"/>
      <w:marTop w:val="0"/>
      <w:marBottom w:val="0"/>
      <w:divBdr>
        <w:top w:val="none" w:sz="0" w:space="0" w:color="auto"/>
        <w:left w:val="none" w:sz="0" w:space="0" w:color="auto"/>
        <w:bottom w:val="none" w:sz="0" w:space="0" w:color="auto"/>
        <w:right w:val="none" w:sz="0" w:space="0" w:color="auto"/>
      </w:divBdr>
    </w:div>
    <w:div w:id="1016006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tiff"/><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emf"/><Relationship Id="rId10" Type="http://schemas.openxmlformats.org/officeDocument/2006/relationships/theme" Target="theme/theme1.xml"/><Relationship Id="rId4" Type="http://schemas.openxmlformats.org/officeDocument/2006/relationships/image" Target="media/image1.emf"/><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11443</Words>
  <Characters>65227</Characters>
  <Application>Microsoft Office Word</Application>
  <DocSecurity>0</DocSecurity>
  <Lines>543</Lines>
  <Paragraphs>153</Paragraphs>
  <ScaleCrop>false</ScaleCrop>
  <Company/>
  <LinksUpToDate>false</LinksUpToDate>
  <CharactersWithSpaces>76517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Franzellitti</dc:creator>
  <cp:keywords/>
  <dc:description/>
  <cp:lastModifiedBy>Mirco Travaglini</cp:lastModifiedBy>
  <cp:revision>2</cp:revision>
  <dcterms:created xsi:type="dcterms:W3CDTF">2025-06-25T09:51:00Z</dcterms:created>
  <dcterms:modified xsi:type="dcterms:W3CDTF">2025-06-25T09:51:00Z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zotero-version="7.0.11"&gt;&lt;session id="BhjTJc6p"/&gt;&lt;style id="http://www.zotero.org/styles/elsevier-harvard" hasBibliography="1" bibliographyStyleHasBeenSet="1"/&gt;&lt;prefs&gt;&lt;pref name="fieldType" value="Field"/&gt;&lt;pref name="automaticJournal</vt:lpwstr>
  </property>
  <property fmtid="{D5CDD505-2E9C-101B-9397-08002B2CF9AE}" pid="3" name="ZOTERO_PREF_2">
    <vt:lpwstr>Abbreviations" value="true"/&gt;&lt;/prefs&gt;&lt;/data&gt;</vt:lpwstr>
  </property>
</Properties>
</file>