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2638"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0D5DFBDA"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6901"/>
        <w:gridCol w:w="1170"/>
        <w:gridCol w:w="4354"/>
      </w:tblGrid>
      <w:tr w:rsidR="00191A23" w:rsidRPr="0022554A" w14:paraId="5CA7DE2A" w14:textId="77777777" w:rsidTr="009468D7">
        <w:tc>
          <w:tcPr>
            <w:tcW w:w="1951" w:type="dxa"/>
          </w:tcPr>
          <w:p w14:paraId="699394F0"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5DC5A49C"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6901" w:type="dxa"/>
            <w:vAlign w:val="bottom"/>
          </w:tcPr>
          <w:p w14:paraId="0248E452"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170" w:type="dxa"/>
          </w:tcPr>
          <w:p w14:paraId="416BC3A1"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4354" w:type="dxa"/>
          </w:tcPr>
          <w:p w14:paraId="5E3CC6EA"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4FE5D067" w14:textId="77777777" w:rsidTr="009468D7">
        <w:tc>
          <w:tcPr>
            <w:tcW w:w="1951" w:type="dxa"/>
            <w:vMerge w:val="restart"/>
          </w:tcPr>
          <w:p w14:paraId="2F02E553"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1D24627E" w14:textId="77777777" w:rsidR="00191A23" w:rsidRPr="0022554A" w:rsidRDefault="00191A23" w:rsidP="0022554A">
            <w:pPr>
              <w:tabs>
                <w:tab w:val="left" w:pos="5400"/>
              </w:tabs>
              <w:jc w:val="center"/>
              <w:rPr>
                <w:sz w:val="20"/>
              </w:rPr>
            </w:pPr>
            <w:r w:rsidRPr="0022554A">
              <w:rPr>
                <w:sz w:val="20"/>
              </w:rPr>
              <w:t>1</w:t>
            </w:r>
          </w:p>
        </w:tc>
        <w:tc>
          <w:tcPr>
            <w:tcW w:w="6901" w:type="dxa"/>
          </w:tcPr>
          <w:p w14:paraId="17E33E3D"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170" w:type="dxa"/>
          </w:tcPr>
          <w:p w14:paraId="03D76210" w14:textId="420C5D0C" w:rsidR="00191A23" w:rsidRPr="0022554A" w:rsidRDefault="003A01C6" w:rsidP="0022554A">
            <w:pPr>
              <w:tabs>
                <w:tab w:val="left" w:pos="5400"/>
              </w:tabs>
              <w:rPr>
                <w:sz w:val="20"/>
              </w:rPr>
            </w:pPr>
            <w:r>
              <w:rPr>
                <w:sz w:val="20"/>
              </w:rPr>
              <w:t>1</w:t>
            </w:r>
          </w:p>
        </w:tc>
        <w:tc>
          <w:tcPr>
            <w:tcW w:w="4354" w:type="dxa"/>
          </w:tcPr>
          <w:p w14:paraId="78D9A041" w14:textId="717AC587" w:rsidR="00191A23" w:rsidRPr="0022554A" w:rsidRDefault="003A01C6" w:rsidP="0022554A">
            <w:pPr>
              <w:tabs>
                <w:tab w:val="left" w:pos="5400"/>
              </w:tabs>
              <w:rPr>
                <w:sz w:val="20"/>
              </w:rPr>
            </w:pPr>
            <w:r w:rsidRPr="002775C3">
              <w:rPr>
                <w:sz w:val="20"/>
              </w:rPr>
              <w:t>A retrospective cohort study of 17,149 workers…</w:t>
            </w:r>
          </w:p>
        </w:tc>
      </w:tr>
      <w:tr w:rsidR="00191A23" w:rsidRPr="0022554A" w14:paraId="77922614" w14:textId="77777777" w:rsidTr="009468D7">
        <w:tc>
          <w:tcPr>
            <w:tcW w:w="1951" w:type="dxa"/>
            <w:vMerge/>
          </w:tcPr>
          <w:p w14:paraId="3E78E3BF"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3EC5F88B" w14:textId="77777777" w:rsidR="00191A23" w:rsidRPr="0022554A" w:rsidRDefault="00191A23" w:rsidP="0022554A">
            <w:pPr>
              <w:tabs>
                <w:tab w:val="left" w:pos="5400"/>
              </w:tabs>
              <w:jc w:val="center"/>
              <w:rPr>
                <w:sz w:val="20"/>
              </w:rPr>
            </w:pPr>
          </w:p>
        </w:tc>
        <w:tc>
          <w:tcPr>
            <w:tcW w:w="6901" w:type="dxa"/>
          </w:tcPr>
          <w:p w14:paraId="4BDCC463"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170" w:type="dxa"/>
          </w:tcPr>
          <w:p w14:paraId="6F66E646" w14:textId="6F5A7EDB" w:rsidR="00191A23" w:rsidRPr="0022554A" w:rsidRDefault="003A01C6" w:rsidP="0022554A">
            <w:pPr>
              <w:tabs>
                <w:tab w:val="left" w:pos="5400"/>
              </w:tabs>
              <w:rPr>
                <w:sz w:val="20"/>
              </w:rPr>
            </w:pPr>
            <w:r>
              <w:rPr>
                <w:sz w:val="20"/>
              </w:rPr>
              <w:t>1</w:t>
            </w:r>
          </w:p>
        </w:tc>
        <w:tc>
          <w:tcPr>
            <w:tcW w:w="4354" w:type="dxa"/>
          </w:tcPr>
          <w:p w14:paraId="599D033D" w14:textId="06E4AF17" w:rsidR="00191A23" w:rsidRPr="003A21B4" w:rsidRDefault="003A21B4" w:rsidP="002775C3">
            <w:pPr>
              <w:tabs>
                <w:tab w:val="left" w:pos="5400"/>
              </w:tabs>
              <w:rPr>
                <w:sz w:val="20"/>
              </w:rPr>
            </w:pPr>
            <w:r w:rsidRPr="003A21B4">
              <w:rPr>
                <w:sz w:val="20"/>
              </w:rPr>
              <w:t xml:space="preserve">A retrospective cohort study of 17,149 workers employed in 15 United States (US) facilities (1925-2020).  Data were analyzed using standardized mortality ratios </w:t>
            </w:r>
            <w:r w:rsidR="000641AE">
              <w:rPr>
                <w:sz w:val="20"/>
              </w:rPr>
              <w:t>referencing</w:t>
            </w:r>
            <w:r w:rsidRPr="003A21B4">
              <w:rPr>
                <w:sz w:val="20"/>
              </w:rPr>
              <w:t xml:space="preserve"> the US population and Cox model</w:t>
            </w:r>
            <w:r w:rsidR="00507156">
              <w:rPr>
                <w:sz w:val="20"/>
              </w:rPr>
              <w:t>s</w:t>
            </w:r>
            <w:r>
              <w:rPr>
                <w:sz w:val="20"/>
              </w:rPr>
              <w:t>…</w:t>
            </w:r>
            <w:r w:rsidR="000641AE">
              <w:t xml:space="preserve"> </w:t>
            </w:r>
            <w:r w:rsidR="000641AE" w:rsidRPr="000641AE">
              <w:rPr>
                <w:sz w:val="20"/>
              </w:rPr>
              <w:t>Lung cancer mortality was elevated among mixed beryllium (soluble and insoluble-exposed) workers hired pre-1955, but not among insoluble-only workers during any period.  ONMRD mortality was significantly elevated in the total cohort, driven by mortality among mixed-exposure facilities and among workers hired pre-1955</w:t>
            </w:r>
          </w:p>
        </w:tc>
      </w:tr>
      <w:tr w:rsidR="00191A23" w:rsidRPr="0022554A" w14:paraId="0B6CD293" w14:textId="77777777" w:rsidTr="009468D7">
        <w:tc>
          <w:tcPr>
            <w:tcW w:w="10638" w:type="dxa"/>
            <w:gridSpan w:val="4"/>
          </w:tcPr>
          <w:p w14:paraId="3CCBD530"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4354" w:type="dxa"/>
          </w:tcPr>
          <w:p w14:paraId="72BE5918" w14:textId="77777777" w:rsidR="00191A23" w:rsidRPr="0022554A" w:rsidRDefault="00191A23" w:rsidP="0022554A">
            <w:pPr>
              <w:pStyle w:val="TableSubHead"/>
              <w:tabs>
                <w:tab w:val="left" w:pos="5400"/>
              </w:tabs>
              <w:rPr>
                <w:sz w:val="20"/>
              </w:rPr>
            </w:pPr>
          </w:p>
        </w:tc>
      </w:tr>
      <w:tr w:rsidR="00191A23" w:rsidRPr="0022554A" w14:paraId="0A9891BB" w14:textId="77777777" w:rsidTr="009468D7">
        <w:tc>
          <w:tcPr>
            <w:tcW w:w="1951" w:type="dxa"/>
          </w:tcPr>
          <w:p w14:paraId="68D717C2"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1EB75CD3" w14:textId="77777777" w:rsidR="00191A23" w:rsidRPr="0022554A" w:rsidRDefault="00191A23" w:rsidP="0022554A">
            <w:pPr>
              <w:tabs>
                <w:tab w:val="left" w:pos="5400"/>
              </w:tabs>
              <w:jc w:val="center"/>
              <w:rPr>
                <w:sz w:val="20"/>
              </w:rPr>
            </w:pPr>
            <w:r w:rsidRPr="0022554A">
              <w:rPr>
                <w:sz w:val="20"/>
              </w:rPr>
              <w:t>2</w:t>
            </w:r>
          </w:p>
        </w:tc>
        <w:tc>
          <w:tcPr>
            <w:tcW w:w="6901" w:type="dxa"/>
          </w:tcPr>
          <w:p w14:paraId="7B70BAFA"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170" w:type="dxa"/>
          </w:tcPr>
          <w:p w14:paraId="2EC20F18" w14:textId="12AC8234" w:rsidR="00191A23" w:rsidRPr="0022554A" w:rsidRDefault="000641AE" w:rsidP="0022554A">
            <w:pPr>
              <w:tabs>
                <w:tab w:val="left" w:pos="5400"/>
              </w:tabs>
              <w:rPr>
                <w:sz w:val="20"/>
              </w:rPr>
            </w:pPr>
            <w:r>
              <w:rPr>
                <w:sz w:val="20"/>
              </w:rPr>
              <w:t>3-4</w:t>
            </w:r>
          </w:p>
        </w:tc>
        <w:tc>
          <w:tcPr>
            <w:tcW w:w="4354" w:type="dxa"/>
          </w:tcPr>
          <w:p w14:paraId="65C9D260" w14:textId="495E576B" w:rsidR="00191A23" w:rsidRPr="0022554A" w:rsidRDefault="00507156" w:rsidP="0022554A">
            <w:pPr>
              <w:tabs>
                <w:tab w:val="left" w:pos="5400"/>
              </w:tabs>
              <w:rPr>
                <w:sz w:val="20"/>
              </w:rPr>
            </w:pPr>
            <w:r w:rsidRPr="00507156">
              <w:rPr>
                <w:sz w:val="20"/>
              </w:rPr>
              <w:t xml:space="preserve">A 2016 evaluation of 15 US beryllium manufacturing facilities, including the </w:t>
            </w:r>
            <w:proofErr w:type="gramStart"/>
            <w:r w:rsidRPr="00507156">
              <w:rPr>
                <w:sz w:val="20"/>
              </w:rPr>
              <w:t>aforementioned seven</w:t>
            </w:r>
            <w:proofErr w:type="gramEnd"/>
            <w:r w:rsidRPr="00507156">
              <w:rPr>
                <w:sz w:val="20"/>
              </w:rPr>
              <w:t xml:space="preserve"> facilities, reported that the risk of lung cancer and ONMRD (which includes berylliosis) increased only among workers who were first employed before 1955 (when exposure levels were very high) in facilities with soluble or mixed (soluble and insoluble) beryllium exposure, but not in workers first employed after that year in any type of beryllium facility</w:t>
            </w:r>
            <w:r w:rsidR="002775C3">
              <w:rPr>
                <w:sz w:val="20"/>
              </w:rPr>
              <w:t>…</w:t>
            </w:r>
            <w:r>
              <w:t xml:space="preserve"> </w:t>
            </w:r>
            <w:r w:rsidRPr="00507156">
              <w:rPr>
                <w:sz w:val="20"/>
              </w:rPr>
              <w:t xml:space="preserve">However, this study lacked quantitative exposure data as well as detailed information on potential confounders, </w:t>
            </w:r>
            <w:r w:rsidRPr="00507156">
              <w:rPr>
                <w:sz w:val="20"/>
              </w:rPr>
              <w:lastRenderedPageBreak/>
              <w:t>including tobacco smoking or other occupational exposures, such as acid mists or free silica. More conclusive evidence is therefore needed</w:t>
            </w:r>
            <w:r w:rsidR="002775C3">
              <w:rPr>
                <w:sz w:val="20"/>
              </w:rPr>
              <w:t>..</w:t>
            </w:r>
            <w:r w:rsidR="002775C3" w:rsidRPr="002775C3">
              <w:rPr>
                <w:sz w:val="20"/>
              </w:rPr>
              <w:t>.</w:t>
            </w:r>
          </w:p>
        </w:tc>
      </w:tr>
      <w:tr w:rsidR="00191A23" w:rsidRPr="0022554A" w14:paraId="202A36D3" w14:textId="77777777" w:rsidTr="009468D7">
        <w:tc>
          <w:tcPr>
            <w:tcW w:w="1951" w:type="dxa"/>
          </w:tcPr>
          <w:p w14:paraId="1A1B7925"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lastRenderedPageBreak/>
              <w:t>Objectives</w:t>
            </w:r>
          </w:p>
        </w:tc>
        <w:tc>
          <w:tcPr>
            <w:tcW w:w="616" w:type="dxa"/>
          </w:tcPr>
          <w:p w14:paraId="2B033B7D" w14:textId="77777777" w:rsidR="00191A23" w:rsidRPr="0022554A" w:rsidRDefault="00191A23" w:rsidP="0022554A">
            <w:pPr>
              <w:tabs>
                <w:tab w:val="left" w:pos="5400"/>
              </w:tabs>
              <w:jc w:val="center"/>
              <w:rPr>
                <w:sz w:val="20"/>
              </w:rPr>
            </w:pPr>
            <w:r w:rsidRPr="0022554A">
              <w:rPr>
                <w:sz w:val="20"/>
              </w:rPr>
              <w:t>3</w:t>
            </w:r>
          </w:p>
        </w:tc>
        <w:tc>
          <w:tcPr>
            <w:tcW w:w="6901" w:type="dxa"/>
          </w:tcPr>
          <w:p w14:paraId="360DE2FB" w14:textId="77777777" w:rsidR="00191A23" w:rsidRPr="0022554A" w:rsidRDefault="00191A23" w:rsidP="0022554A">
            <w:pPr>
              <w:tabs>
                <w:tab w:val="left" w:pos="5400"/>
              </w:tabs>
              <w:rPr>
                <w:sz w:val="20"/>
              </w:rPr>
            </w:pPr>
            <w:r w:rsidRPr="0022554A">
              <w:rPr>
                <w:sz w:val="20"/>
              </w:rPr>
              <w:t>State specific objectives, including any prespecified hypotheses</w:t>
            </w:r>
          </w:p>
        </w:tc>
        <w:tc>
          <w:tcPr>
            <w:tcW w:w="1170" w:type="dxa"/>
          </w:tcPr>
          <w:p w14:paraId="4DC99658" w14:textId="0256012D" w:rsidR="00191A23" w:rsidRPr="0022554A" w:rsidRDefault="000641AE" w:rsidP="0022554A">
            <w:pPr>
              <w:tabs>
                <w:tab w:val="left" w:pos="5400"/>
              </w:tabs>
              <w:rPr>
                <w:sz w:val="20"/>
              </w:rPr>
            </w:pPr>
            <w:r>
              <w:rPr>
                <w:sz w:val="20"/>
              </w:rPr>
              <w:t>4</w:t>
            </w:r>
          </w:p>
        </w:tc>
        <w:tc>
          <w:tcPr>
            <w:tcW w:w="4354" w:type="dxa"/>
          </w:tcPr>
          <w:p w14:paraId="49997BAB" w14:textId="6945B285" w:rsidR="00191A23" w:rsidRPr="0022554A" w:rsidRDefault="00507156" w:rsidP="0022554A">
            <w:pPr>
              <w:tabs>
                <w:tab w:val="left" w:pos="5400"/>
              </w:tabs>
              <w:rPr>
                <w:sz w:val="20"/>
              </w:rPr>
            </w:pPr>
            <w:r w:rsidRPr="00507156">
              <w:rPr>
                <w:sz w:val="20"/>
              </w:rPr>
              <w:t>The present study expands the 2016 cohort, and completes an update, adding 1,034 eligible workers, 11 additional years of follow-up, and 64,762 additional person-years of follow-up, improving statistical power of analyses, and to further evaluate multiple causes of death that may warrant additional monitoring based upon previous analysis of this cohort.</w:t>
            </w:r>
          </w:p>
        </w:tc>
      </w:tr>
      <w:tr w:rsidR="00191A23" w:rsidRPr="0022554A" w14:paraId="13E82DEB" w14:textId="77777777" w:rsidTr="009468D7">
        <w:tc>
          <w:tcPr>
            <w:tcW w:w="10638" w:type="dxa"/>
            <w:gridSpan w:val="4"/>
          </w:tcPr>
          <w:p w14:paraId="0E85FF1E"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4354" w:type="dxa"/>
          </w:tcPr>
          <w:p w14:paraId="4598D9CC" w14:textId="77777777" w:rsidR="00191A23" w:rsidRPr="0022554A" w:rsidRDefault="00191A23" w:rsidP="0022554A">
            <w:pPr>
              <w:pStyle w:val="TableSubHead"/>
              <w:tabs>
                <w:tab w:val="left" w:pos="5400"/>
              </w:tabs>
              <w:rPr>
                <w:sz w:val="20"/>
              </w:rPr>
            </w:pPr>
          </w:p>
        </w:tc>
      </w:tr>
      <w:tr w:rsidR="00191A23" w:rsidRPr="0022554A" w14:paraId="15EF28BF" w14:textId="77777777" w:rsidTr="009468D7">
        <w:tc>
          <w:tcPr>
            <w:tcW w:w="1951" w:type="dxa"/>
          </w:tcPr>
          <w:p w14:paraId="4D365CCC"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3992E270" w14:textId="77777777" w:rsidR="00191A23" w:rsidRPr="0022554A" w:rsidRDefault="00191A23" w:rsidP="0022554A">
            <w:pPr>
              <w:tabs>
                <w:tab w:val="left" w:pos="5400"/>
              </w:tabs>
              <w:jc w:val="center"/>
              <w:rPr>
                <w:sz w:val="20"/>
              </w:rPr>
            </w:pPr>
            <w:r w:rsidRPr="0022554A">
              <w:rPr>
                <w:sz w:val="20"/>
              </w:rPr>
              <w:t>4</w:t>
            </w:r>
          </w:p>
        </w:tc>
        <w:tc>
          <w:tcPr>
            <w:tcW w:w="6901" w:type="dxa"/>
          </w:tcPr>
          <w:p w14:paraId="5305C4D8"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170" w:type="dxa"/>
          </w:tcPr>
          <w:p w14:paraId="1F5D6A5D" w14:textId="4E9AE305" w:rsidR="00191A23" w:rsidRPr="0022554A" w:rsidRDefault="00D35FA9" w:rsidP="0022554A">
            <w:pPr>
              <w:tabs>
                <w:tab w:val="left" w:pos="5400"/>
              </w:tabs>
              <w:rPr>
                <w:sz w:val="20"/>
              </w:rPr>
            </w:pPr>
            <w:r>
              <w:rPr>
                <w:sz w:val="20"/>
              </w:rPr>
              <w:t>5-7</w:t>
            </w:r>
          </w:p>
        </w:tc>
        <w:tc>
          <w:tcPr>
            <w:tcW w:w="4354" w:type="dxa"/>
          </w:tcPr>
          <w:p w14:paraId="5DC627BB" w14:textId="77777777" w:rsidR="00191A23" w:rsidRPr="0022554A" w:rsidRDefault="00191A23" w:rsidP="0022554A">
            <w:pPr>
              <w:tabs>
                <w:tab w:val="left" w:pos="5400"/>
              </w:tabs>
              <w:rPr>
                <w:sz w:val="20"/>
              </w:rPr>
            </w:pPr>
          </w:p>
        </w:tc>
      </w:tr>
      <w:tr w:rsidR="00191A23" w:rsidRPr="0022554A" w14:paraId="3A36335D" w14:textId="77777777" w:rsidTr="009468D7">
        <w:tc>
          <w:tcPr>
            <w:tcW w:w="1951" w:type="dxa"/>
          </w:tcPr>
          <w:p w14:paraId="12FAEBE0" w14:textId="77777777"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3F37A49A" w14:textId="77777777" w:rsidR="00191A23" w:rsidRPr="0022554A" w:rsidRDefault="00191A23" w:rsidP="0022554A">
            <w:pPr>
              <w:tabs>
                <w:tab w:val="left" w:pos="5400"/>
              </w:tabs>
              <w:jc w:val="center"/>
              <w:rPr>
                <w:sz w:val="20"/>
              </w:rPr>
            </w:pPr>
            <w:r w:rsidRPr="0022554A">
              <w:rPr>
                <w:sz w:val="20"/>
              </w:rPr>
              <w:t>5</w:t>
            </w:r>
          </w:p>
        </w:tc>
        <w:tc>
          <w:tcPr>
            <w:tcW w:w="6901" w:type="dxa"/>
          </w:tcPr>
          <w:p w14:paraId="54B27293"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170" w:type="dxa"/>
          </w:tcPr>
          <w:p w14:paraId="5CE247F1" w14:textId="3DB5CC78" w:rsidR="00191A23" w:rsidRPr="0022554A" w:rsidRDefault="00D35FA9" w:rsidP="0022554A">
            <w:pPr>
              <w:tabs>
                <w:tab w:val="left" w:pos="5400"/>
              </w:tabs>
              <w:rPr>
                <w:sz w:val="20"/>
              </w:rPr>
            </w:pPr>
            <w:r>
              <w:rPr>
                <w:sz w:val="20"/>
              </w:rPr>
              <w:t>5-6</w:t>
            </w:r>
          </w:p>
        </w:tc>
        <w:tc>
          <w:tcPr>
            <w:tcW w:w="4354" w:type="dxa"/>
          </w:tcPr>
          <w:p w14:paraId="6FEEE0E2" w14:textId="48BCB7A1" w:rsidR="00191A23" w:rsidRPr="0022554A" w:rsidRDefault="002775C3" w:rsidP="0022554A">
            <w:pPr>
              <w:tabs>
                <w:tab w:val="left" w:pos="5400"/>
              </w:tabs>
              <w:rPr>
                <w:sz w:val="20"/>
              </w:rPr>
            </w:pPr>
            <w:r>
              <w:rPr>
                <w:sz w:val="20"/>
              </w:rPr>
              <w:t>…</w:t>
            </w:r>
            <w:r w:rsidR="00507156">
              <w:t xml:space="preserve"> </w:t>
            </w:r>
            <w:r w:rsidR="00507156" w:rsidRPr="00507156">
              <w:rPr>
                <w:sz w:val="20"/>
              </w:rPr>
              <w:t>who worked at least one day in one of 15 beryllium manufacturing and distribution facilities operational in the US between 1925 and 2020 and expanded cohort eligibility for the existing facilities</w:t>
            </w:r>
            <w:r>
              <w:rPr>
                <w:sz w:val="20"/>
              </w:rPr>
              <w:t>…</w:t>
            </w:r>
            <w:r w:rsidRPr="002775C3">
              <w:rPr>
                <w:sz w:val="20"/>
              </w:rPr>
              <w:t>through December 31, 2020</w:t>
            </w:r>
            <w:r>
              <w:rPr>
                <w:sz w:val="20"/>
              </w:rPr>
              <w:t>…</w:t>
            </w:r>
            <w:r w:rsidR="00507156">
              <w:t xml:space="preserve"> </w:t>
            </w:r>
            <w:r w:rsidR="00507156" w:rsidRPr="00507156">
              <w:rPr>
                <w:sz w:val="20"/>
              </w:rPr>
              <w:t>Vital status was considered through December 31, 2020</w:t>
            </w:r>
          </w:p>
        </w:tc>
      </w:tr>
      <w:bookmarkEnd w:id="25"/>
      <w:bookmarkEnd w:id="26"/>
      <w:tr w:rsidR="00191A23" w:rsidRPr="0022554A" w14:paraId="3E35ABAE" w14:textId="77777777" w:rsidTr="009468D7">
        <w:tc>
          <w:tcPr>
            <w:tcW w:w="1951" w:type="dxa"/>
            <w:vMerge w:val="restart"/>
          </w:tcPr>
          <w:p w14:paraId="4C5D5AF7"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347789F3" w14:textId="77777777" w:rsidR="00191A23" w:rsidRPr="0022554A" w:rsidRDefault="00191A23" w:rsidP="0022554A">
            <w:pPr>
              <w:tabs>
                <w:tab w:val="left" w:pos="5400"/>
              </w:tabs>
              <w:jc w:val="center"/>
              <w:rPr>
                <w:sz w:val="20"/>
              </w:rPr>
            </w:pPr>
            <w:r w:rsidRPr="0022554A">
              <w:rPr>
                <w:sz w:val="20"/>
              </w:rPr>
              <w:t>6</w:t>
            </w:r>
          </w:p>
        </w:tc>
        <w:tc>
          <w:tcPr>
            <w:tcW w:w="6901" w:type="dxa"/>
          </w:tcPr>
          <w:p w14:paraId="68F40F68"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775C3">
              <w:rPr>
                <w:i/>
                <w:sz w:val="20"/>
                <w:highlight w:val="yellow"/>
              </w:rPr>
              <w:t>Cohort study</w:t>
            </w:r>
            <w:r w:rsidRPr="0022554A">
              <w:rPr>
                <w:sz w:val="20"/>
              </w:rPr>
              <w:t>—Give the eligibility criteria, and the sources and methods of selection of participants. Describe methods of follow-up</w:t>
            </w:r>
          </w:p>
          <w:p w14:paraId="76000AB4" w14:textId="77777777"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7AA79A3E"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170" w:type="dxa"/>
          </w:tcPr>
          <w:p w14:paraId="0AD52A4C" w14:textId="5C27A7C9" w:rsidR="00191A23" w:rsidRPr="0022554A" w:rsidRDefault="00D35FA9" w:rsidP="0022554A">
            <w:pPr>
              <w:tabs>
                <w:tab w:val="left" w:pos="5400"/>
              </w:tabs>
              <w:rPr>
                <w:sz w:val="20"/>
              </w:rPr>
            </w:pPr>
            <w:r>
              <w:rPr>
                <w:sz w:val="20"/>
              </w:rPr>
              <w:t>5-6</w:t>
            </w:r>
          </w:p>
        </w:tc>
        <w:tc>
          <w:tcPr>
            <w:tcW w:w="4354" w:type="dxa"/>
          </w:tcPr>
          <w:p w14:paraId="2EC45D22" w14:textId="49086507" w:rsidR="00191A23" w:rsidRPr="0022554A" w:rsidRDefault="002775C3" w:rsidP="0022554A">
            <w:pPr>
              <w:tabs>
                <w:tab w:val="left" w:pos="5400"/>
              </w:tabs>
              <w:rPr>
                <w:sz w:val="20"/>
              </w:rPr>
            </w:pPr>
            <w:r>
              <w:rPr>
                <w:sz w:val="20"/>
              </w:rPr>
              <w:t>…</w:t>
            </w:r>
            <w:r w:rsidR="00507156">
              <w:t xml:space="preserve"> </w:t>
            </w:r>
            <w:r w:rsidR="00507156" w:rsidRPr="00507156">
              <w:rPr>
                <w:sz w:val="20"/>
              </w:rPr>
              <w:t>worked at least one day in one of 15 beryllium manufacturing and distribution facilities operational in the US between 1925 and 2020 and expanded cohort eligibility for the existing facilities</w:t>
            </w:r>
            <w:r>
              <w:rPr>
                <w:sz w:val="20"/>
              </w:rPr>
              <w:t>…</w:t>
            </w:r>
            <w:r w:rsidRPr="002775C3">
              <w:rPr>
                <w:sz w:val="20"/>
              </w:rPr>
              <w:t>through December 31, 2020… Employment records and payroll information, as well as other data sources were used to enumerate the cohort</w:t>
            </w:r>
            <w:r>
              <w:rPr>
                <w:sz w:val="20"/>
              </w:rPr>
              <w:t>…</w:t>
            </w:r>
            <w:r w:rsidRPr="002775C3">
              <w:rPr>
                <w:sz w:val="20"/>
              </w:rPr>
              <w:t xml:space="preserve">The National Center </w:t>
            </w:r>
            <w:r w:rsidR="00D35FA9">
              <w:rPr>
                <w:sz w:val="20"/>
              </w:rPr>
              <w:t>for</w:t>
            </w:r>
            <w:r w:rsidRPr="002775C3">
              <w:rPr>
                <w:sz w:val="20"/>
              </w:rPr>
              <w:t xml:space="preserve"> Health Statistics’ </w:t>
            </w:r>
            <w:r w:rsidR="00507156">
              <w:rPr>
                <w:sz w:val="20"/>
              </w:rPr>
              <w:t xml:space="preserve">(NCHS) </w:t>
            </w:r>
            <w:r w:rsidRPr="002775C3">
              <w:rPr>
                <w:sz w:val="20"/>
              </w:rPr>
              <w:t>National Death Index (NDI) was used to ascertain vital status</w:t>
            </w:r>
            <w:r>
              <w:rPr>
                <w:sz w:val="20"/>
              </w:rPr>
              <w:t>…</w:t>
            </w:r>
            <w:r w:rsidRPr="002775C3">
              <w:rPr>
                <w:sz w:val="20"/>
              </w:rPr>
              <w:t xml:space="preserve"> </w:t>
            </w:r>
            <w:r w:rsidR="00507156" w:rsidRPr="00507156">
              <w:rPr>
                <w:sz w:val="20"/>
              </w:rPr>
              <w:t xml:space="preserve">the Pension Benefit Administration (PBA) Death Audit Service, Social Security Administration (SSA), as </w:t>
            </w:r>
            <w:r w:rsidR="00507156" w:rsidRPr="00507156">
              <w:rPr>
                <w:sz w:val="20"/>
              </w:rPr>
              <w:lastRenderedPageBreak/>
              <w:t>well as searches of genealogy websites were used to ascertain vital status. Death certificates were used to obtain ICD codes</w:t>
            </w:r>
          </w:p>
        </w:tc>
      </w:tr>
      <w:tr w:rsidR="00191A23" w:rsidRPr="0022554A" w14:paraId="48EFD458" w14:textId="77777777" w:rsidTr="009468D7">
        <w:tc>
          <w:tcPr>
            <w:tcW w:w="1951" w:type="dxa"/>
            <w:vMerge/>
          </w:tcPr>
          <w:p w14:paraId="2C08133F" w14:textId="77777777"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4CD713FB" w14:textId="77777777" w:rsidR="00191A23" w:rsidRPr="0022554A" w:rsidRDefault="00191A23" w:rsidP="0022554A">
            <w:pPr>
              <w:tabs>
                <w:tab w:val="left" w:pos="5400"/>
              </w:tabs>
              <w:jc w:val="center"/>
              <w:rPr>
                <w:sz w:val="20"/>
              </w:rPr>
            </w:pPr>
          </w:p>
        </w:tc>
        <w:tc>
          <w:tcPr>
            <w:tcW w:w="6901" w:type="dxa"/>
          </w:tcPr>
          <w:p w14:paraId="72265195"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4314B352"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170" w:type="dxa"/>
          </w:tcPr>
          <w:p w14:paraId="0C3023BD" w14:textId="3C9FE5EC" w:rsidR="00191A23" w:rsidRPr="0022554A" w:rsidRDefault="002775C3" w:rsidP="0022554A">
            <w:pPr>
              <w:tabs>
                <w:tab w:val="left" w:pos="5400"/>
              </w:tabs>
              <w:rPr>
                <w:sz w:val="20"/>
              </w:rPr>
            </w:pPr>
            <w:r>
              <w:rPr>
                <w:sz w:val="20"/>
              </w:rPr>
              <w:t>NA</w:t>
            </w:r>
          </w:p>
        </w:tc>
        <w:tc>
          <w:tcPr>
            <w:tcW w:w="4354" w:type="dxa"/>
          </w:tcPr>
          <w:p w14:paraId="2DD7C00F" w14:textId="77777777" w:rsidR="00191A23" w:rsidRPr="0022554A" w:rsidRDefault="00191A23" w:rsidP="0022554A">
            <w:pPr>
              <w:tabs>
                <w:tab w:val="left" w:pos="5400"/>
              </w:tabs>
              <w:rPr>
                <w:sz w:val="20"/>
              </w:rPr>
            </w:pPr>
          </w:p>
        </w:tc>
      </w:tr>
      <w:tr w:rsidR="00191A23" w:rsidRPr="0022554A" w14:paraId="4BE3D647" w14:textId="77777777" w:rsidTr="009468D7">
        <w:tc>
          <w:tcPr>
            <w:tcW w:w="1951" w:type="dxa"/>
          </w:tcPr>
          <w:p w14:paraId="33B20617" w14:textId="77777777"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4FA07D31" w14:textId="77777777" w:rsidR="00191A23" w:rsidRPr="0022554A" w:rsidRDefault="00191A23" w:rsidP="0022554A">
            <w:pPr>
              <w:tabs>
                <w:tab w:val="left" w:pos="5400"/>
              </w:tabs>
              <w:jc w:val="center"/>
              <w:rPr>
                <w:sz w:val="20"/>
              </w:rPr>
            </w:pPr>
            <w:r w:rsidRPr="0022554A">
              <w:rPr>
                <w:sz w:val="20"/>
              </w:rPr>
              <w:t>7</w:t>
            </w:r>
          </w:p>
        </w:tc>
        <w:tc>
          <w:tcPr>
            <w:tcW w:w="6901" w:type="dxa"/>
          </w:tcPr>
          <w:p w14:paraId="5AEF9CA9" w14:textId="77777777"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170" w:type="dxa"/>
          </w:tcPr>
          <w:p w14:paraId="3559F3C2" w14:textId="75B849F7" w:rsidR="00191A23" w:rsidRPr="0022554A" w:rsidRDefault="00D35FA9" w:rsidP="0022554A">
            <w:pPr>
              <w:tabs>
                <w:tab w:val="left" w:pos="5400"/>
              </w:tabs>
              <w:rPr>
                <w:sz w:val="20"/>
              </w:rPr>
            </w:pPr>
            <w:r>
              <w:rPr>
                <w:sz w:val="20"/>
              </w:rPr>
              <w:t>6-9</w:t>
            </w:r>
          </w:p>
        </w:tc>
        <w:tc>
          <w:tcPr>
            <w:tcW w:w="4354" w:type="dxa"/>
          </w:tcPr>
          <w:p w14:paraId="56E936B0" w14:textId="3461FEB3" w:rsidR="00191A23" w:rsidRPr="0022554A" w:rsidRDefault="00507156" w:rsidP="0022554A">
            <w:pPr>
              <w:tabs>
                <w:tab w:val="left" w:pos="5400"/>
              </w:tabs>
              <w:rPr>
                <w:sz w:val="20"/>
              </w:rPr>
            </w:pPr>
            <w:r w:rsidRPr="00507156">
              <w:rPr>
                <w:sz w:val="20"/>
              </w:rPr>
              <w:t xml:space="preserve">Person-years of observation were calculated from the first hire date through the end of the follow-up period, which was considered either the date of death or the end of the stated follow-up period (December 31, </w:t>
            </w:r>
            <w:proofErr w:type="gramStart"/>
            <w:r w:rsidRPr="00507156">
              <w:rPr>
                <w:sz w:val="20"/>
              </w:rPr>
              <w:t>2020)</w:t>
            </w:r>
            <w:r w:rsidR="002775C3">
              <w:rPr>
                <w:sz w:val="20"/>
              </w:rPr>
              <w:t>…</w:t>
            </w:r>
            <w:proofErr w:type="gramEnd"/>
            <w:r>
              <w:t xml:space="preserve"> </w:t>
            </w:r>
            <w:r w:rsidRPr="00507156">
              <w:rPr>
                <w:sz w:val="20"/>
              </w:rPr>
              <w:t>The age at hire was calculated as the years between first hire date and date of birth. Employment duration was based on subtracting the last termination date from the date of first hire for workers, including combining their length of employment if they worked at multiple facilities</w:t>
            </w:r>
            <w:r w:rsidR="002775C3">
              <w:rPr>
                <w:sz w:val="20"/>
              </w:rPr>
              <w:t>…</w:t>
            </w:r>
            <w:r w:rsidR="002775C3">
              <w:t xml:space="preserve"> </w:t>
            </w:r>
            <w:r w:rsidR="002775C3" w:rsidRPr="002775C3">
              <w:rPr>
                <w:sz w:val="20"/>
              </w:rPr>
              <w:t>ICD codes for cause of death were obtained from death certificates</w:t>
            </w:r>
            <w:r w:rsidR="002775C3">
              <w:rPr>
                <w:sz w:val="20"/>
              </w:rPr>
              <w:t>…</w:t>
            </w:r>
            <w:r w:rsidR="002775C3" w:rsidRPr="002775C3">
              <w:rPr>
                <w:sz w:val="20"/>
              </w:rPr>
              <w:t>Period of hire was analyzed as a dichotomous variable (before 1955 vs 1995 and later)</w:t>
            </w:r>
            <w:r w:rsidR="002775C3">
              <w:rPr>
                <w:sz w:val="20"/>
              </w:rPr>
              <w:t>…</w:t>
            </w:r>
            <w:r>
              <w:t xml:space="preserve"> </w:t>
            </w:r>
            <w:r w:rsidRPr="00507156">
              <w:rPr>
                <w:sz w:val="20"/>
              </w:rPr>
              <w:t>Type of beryllium facility was categorized as a dichotomous variable (mixed vs insoluble beryllium)</w:t>
            </w:r>
            <w:r w:rsidR="002775C3" w:rsidRPr="002775C3">
              <w:rPr>
                <w:sz w:val="20"/>
              </w:rPr>
              <w:t xml:space="preserve">, </w:t>
            </w:r>
            <w:r w:rsidRPr="00507156">
              <w:rPr>
                <w:sz w:val="20"/>
              </w:rPr>
              <w:t>where workers who had been employed in both insoluble only and mixed facilities were categorized under mixed beryllium facility</w:t>
            </w:r>
          </w:p>
        </w:tc>
      </w:tr>
      <w:tr w:rsidR="00191A23" w:rsidRPr="0022554A" w14:paraId="487517CB" w14:textId="77777777" w:rsidTr="009468D7">
        <w:trPr>
          <w:trHeight w:val="294"/>
        </w:trPr>
        <w:tc>
          <w:tcPr>
            <w:tcW w:w="1951" w:type="dxa"/>
          </w:tcPr>
          <w:p w14:paraId="7EA0418C" w14:textId="77777777" w:rsidR="00191A23" w:rsidRPr="0022554A" w:rsidRDefault="00191A23"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64FF9D4E" w14:textId="77777777" w:rsidR="00191A23" w:rsidRPr="0022554A" w:rsidRDefault="00191A23" w:rsidP="0022554A">
            <w:pPr>
              <w:tabs>
                <w:tab w:val="left" w:pos="5400"/>
              </w:tabs>
              <w:jc w:val="center"/>
              <w:rPr>
                <w:sz w:val="20"/>
              </w:rPr>
            </w:pPr>
            <w:r w:rsidRPr="0022554A">
              <w:rPr>
                <w:sz w:val="20"/>
              </w:rPr>
              <w:t>8</w:t>
            </w:r>
            <w:bookmarkStart w:id="35" w:name="bold19"/>
            <w:r w:rsidRPr="0022554A">
              <w:rPr>
                <w:bCs/>
                <w:sz w:val="20"/>
              </w:rPr>
              <w:t>*</w:t>
            </w:r>
            <w:bookmarkEnd w:id="35"/>
          </w:p>
        </w:tc>
        <w:tc>
          <w:tcPr>
            <w:tcW w:w="6901" w:type="dxa"/>
          </w:tcPr>
          <w:p w14:paraId="3D42A682" w14:textId="77777777"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170" w:type="dxa"/>
          </w:tcPr>
          <w:p w14:paraId="40FA95A7" w14:textId="61BCDCD0" w:rsidR="00191A23" w:rsidRPr="001B6945" w:rsidRDefault="00D35FA9" w:rsidP="0022554A">
            <w:pPr>
              <w:tabs>
                <w:tab w:val="left" w:pos="5400"/>
              </w:tabs>
              <w:rPr>
                <w:iCs/>
                <w:sz w:val="20"/>
              </w:rPr>
            </w:pPr>
            <w:r>
              <w:rPr>
                <w:iCs/>
                <w:sz w:val="20"/>
              </w:rPr>
              <w:t>6-7</w:t>
            </w:r>
          </w:p>
        </w:tc>
        <w:tc>
          <w:tcPr>
            <w:tcW w:w="4354" w:type="dxa"/>
          </w:tcPr>
          <w:p w14:paraId="684C0BFF" w14:textId="1602D8AF" w:rsidR="00191A23" w:rsidRPr="002775C3" w:rsidRDefault="002775C3" w:rsidP="0022554A">
            <w:pPr>
              <w:tabs>
                <w:tab w:val="left" w:pos="5400"/>
              </w:tabs>
              <w:rPr>
                <w:iCs/>
                <w:sz w:val="20"/>
              </w:rPr>
            </w:pPr>
            <w:r w:rsidRPr="002775C3">
              <w:rPr>
                <w:iCs/>
                <w:sz w:val="20"/>
              </w:rPr>
              <w:t>Employment records and payroll information, as well as other data sources were used to enumerate the cohort</w:t>
            </w:r>
            <w:r>
              <w:rPr>
                <w:iCs/>
                <w:sz w:val="20"/>
              </w:rPr>
              <w:t>…</w:t>
            </w:r>
            <w:r>
              <w:t xml:space="preserve"> </w:t>
            </w:r>
            <w:r w:rsidRPr="002775C3">
              <w:rPr>
                <w:iCs/>
                <w:sz w:val="20"/>
              </w:rPr>
              <w:t>The date of birth, hire date, and termination date were known for each new cohort member</w:t>
            </w:r>
            <w:r>
              <w:rPr>
                <w:iCs/>
                <w:sz w:val="20"/>
              </w:rPr>
              <w:t>…</w:t>
            </w:r>
            <w:r w:rsidRPr="002775C3">
              <w:rPr>
                <w:iCs/>
                <w:sz w:val="20"/>
              </w:rPr>
              <w:t xml:space="preserve"> The National Center of Health </w:t>
            </w:r>
            <w:r w:rsidRPr="002775C3">
              <w:rPr>
                <w:iCs/>
                <w:sz w:val="20"/>
              </w:rPr>
              <w:lastRenderedPageBreak/>
              <w:t>Statistics’ National Death Index (NDI) was used to ascertain vital status and NDI Plus was utilized to determine the International Classification of Disease (ICD) revision in effect at time of death</w:t>
            </w:r>
            <w:r>
              <w:rPr>
                <w:iCs/>
                <w:sz w:val="20"/>
              </w:rPr>
              <w:t>…</w:t>
            </w:r>
            <w:r w:rsidRPr="002775C3">
              <w:rPr>
                <w:iCs/>
                <w:sz w:val="20"/>
              </w:rPr>
              <w:t>In the original cohort, the Social Security Administration (SSA), the Pension Benefit Administration Death Audit Service, and various genealogy websites were used to ascertain vital status, and ICD codes for cause of death were obtained from death certificates</w:t>
            </w:r>
            <w:r>
              <w:rPr>
                <w:iCs/>
                <w:sz w:val="20"/>
              </w:rPr>
              <w:t>.</w:t>
            </w:r>
            <w:r w:rsidRPr="002775C3">
              <w:rPr>
                <w:iCs/>
                <w:sz w:val="20"/>
              </w:rPr>
              <w:t xml:space="preserve">  A certified nosologist reviewed death certificates and coded the underlying cause of death to the ICD revision in effect at year of death</w:t>
            </w:r>
            <w:r w:rsidR="00DE5959">
              <w:rPr>
                <w:iCs/>
                <w:sz w:val="20"/>
              </w:rPr>
              <w:t>…</w:t>
            </w:r>
            <w:r w:rsidR="00DE5959">
              <w:t xml:space="preserve"> </w:t>
            </w:r>
            <w:r w:rsidR="00507156" w:rsidRPr="00507156">
              <w:rPr>
                <w:iCs/>
                <w:sz w:val="20"/>
              </w:rPr>
              <w:t xml:space="preserve">Expected deaths were calculated using US mortality rates obtained from a combination of data provided by the University of Pittsburgh’s Mortality and Population Data System and data published by the US </w:t>
            </w:r>
            <w:proofErr w:type="spellStart"/>
            <w:r w:rsidR="00507156" w:rsidRPr="00507156">
              <w:rPr>
                <w:iCs/>
                <w:sz w:val="20"/>
              </w:rPr>
              <w:t>Centers</w:t>
            </w:r>
            <w:proofErr w:type="spellEnd"/>
            <w:r w:rsidR="00507156" w:rsidRPr="00507156">
              <w:rPr>
                <w:iCs/>
                <w:sz w:val="20"/>
              </w:rPr>
              <w:t xml:space="preserve"> for Disease Control and Prevention Wide-ranging Online Data for Epidemiologic Research (CDC WONDER) online database</w:t>
            </w:r>
          </w:p>
        </w:tc>
      </w:tr>
      <w:tr w:rsidR="00191A23" w:rsidRPr="0022554A" w14:paraId="7C35FC4D" w14:textId="77777777" w:rsidTr="009468D7">
        <w:tc>
          <w:tcPr>
            <w:tcW w:w="1951" w:type="dxa"/>
          </w:tcPr>
          <w:p w14:paraId="4F1E9EA3" w14:textId="77777777" w:rsidR="00191A23" w:rsidRPr="0022554A" w:rsidRDefault="00191A23"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lastRenderedPageBreak/>
              <w:t>Bias</w:t>
            </w:r>
          </w:p>
        </w:tc>
        <w:tc>
          <w:tcPr>
            <w:tcW w:w="616" w:type="dxa"/>
          </w:tcPr>
          <w:p w14:paraId="64B8AF86" w14:textId="77777777" w:rsidR="00191A23" w:rsidRPr="0022554A" w:rsidRDefault="00191A23" w:rsidP="0022554A">
            <w:pPr>
              <w:tabs>
                <w:tab w:val="left" w:pos="5400"/>
              </w:tabs>
              <w:jc w:val="center"/>
              <w:rPr>
                <w:sz w:val="20"/>
              </w:rPr>
            </w:pPr>
            <w:r w:rsidRPr="0022554A">
              <w:rPr>
                <w:sz w:val="20"/>
              </w:rPr>
              <w:t>9</w:t>
            </w:r>
          </w:p>
        </w:tc>
        <w:tc>
          <w:tcPr>
            <w:tcW w:w="6901" w:type="dxa"/>
          </w:tcPr>
          <w:p w14:paraId="1C329F7E" w14:textId="77777777" w:rsidR="00191A23" w:rsidRPr="0022554A" w:rsidRDefault="00191A23" w:rsidP="0022554A">
            <w:pPr>
              <w:tabs>
                <w:tab w:val="left" w:pos="5400"/>
              </w:tabs>
              <w:rPr>
                <w:color w:val="000000"/>
                <w:sz w:val="20"/>
              </w:rPr>
            </w:pPr>
            <w:r w:rsidRPr="0022554A">
              <w:rPr>
                <w:color w:val="000000"/>
                <w:sz w:val="20"/>
              </w:rPr>
              <w:t>Describe any efforts to address potential sources of bias</w:t>
            </w:r>
          </w:p>
        </w:tc>
        <w:tc>
          <w:tcPr>
            <w:tcW w:w="1170" w:type="dxa"/>
          </w:tcPr>
          <w:p w14:paraId="5D1D6942" w14:textId="2998533B" w:rsidR="00191A23" w:rsidRPr="0022554A" w:rsidRDefault="00D35FA9" w:rsidP="0022554A">
            <w:pPr>
              <w:tabs>
                <w:tab w:val="left" w:pos="5400"/>
              </w:tabs>
              <w:rPr>
                <w:color w:val="000000"/>
                <w:sz w:val="20"/>
              </w:rPr>
            </w:pPr>
            <w:r>
              <w:rPr>
                <w:color w:val="000000"/>
                <w:sz w:val="20"/>
              </w:rPr>
              <w:t>6</w:t>
            </w:r>
          </w:p>
        </w:tc>
        <w:tc>
          <w:tcPr>
            <w:tcW w:w="4354" w:type="dxa"/>
          </w:tcPr>
          <w:p w14:paraId="4C5BE390" w14:textId="5C73B3D7" w:rsidR="00191A23" w:rsidRPr="0022554A" w:rsidRDefault="002775C3" w:rsidP="0022554A">
            <w:pPr>
              <w:tabs>
                <w:tab w:val="left" w:pos="5400"/>
              </w:tabs>
              <w:rPr>
                <w:color w:val="000000"/>
                <w:sz w:val="20"/>
              </w:rPr>
            </w:pPr>
            <w:r w:rsidRPr="002775C3">
              <w:rPr>
                <w:color w:val="000000"/>
                <w:sz w:val="20"/>
              </w:rPr>
              <w:t>Methods to account for missing data in the original cohort are detailed by Boffetta et al. 2016</w:t>
            </w:r>
            <w:r>
              <w:rPr>
                <w:color w:val="000000"/>
                <w:sz w:val="20"/>
              </w:rPr>
              <w:t>…</w:t>
            </w:r>
            <w:r w:rsidR="00E936E2">
              <w:t xml:space="preserve"> </w:t>
            </w:r>
            <w:r w:rsidR="00E936E2" w:rsidRPr="00E936E2">
              <w:rPr>
                <w:color w:val="000000"/>
                <w:sz w:val="20"/>
              </w:rPr>
              <w:t>A certified nosologist reviewed death certificates and coded the underlying cause of death to the ICD revision in effect at year of death</w:t>
            </w:r>
            <w:r w:rsidR="00E936E2">
              <w:rPr>
                <w:color w:val="000000"/>
                <w:sz w:val="20"/>
              </w:rPr>
              <w:t>…</w:t>
            </w:r>
          </w:p>
        </w:tc>
      </w:tr>
      <w:tr w:rsidR="00191A23" w:rsidRPr="0022554A" w14:paraId="2BC2B3EF" w14:textId="77777777" w:rsidTr="009468D7">
        <w:tc>
          <w:tcPr>
            <w:tcW w:w="1951" w:type="dxa"/>
          </w:tcPr>
          <w:p w14:paraId="3E1D12E1" w14:textId="77777777" w:rsidR="00191A23" w:rsidRPr="0022554A" w:rsidRDefault="00191A23" w:rsidP="0022554A">
            <w:pPr>
              <w:tabs>
                <w:tab w:val="left" w:pos="5400"/>
              </w:tabs>
              <w:rPr>
                <w:bCs/>
                <w:sz w:val="20"/>
              </w:rPr>
            </w:pPr>
            <w:bookmarkStart w:id="38" w:name="bold21" w:colFirst="0" w:colLast="0"/>
            <w:bookmarkStart w:id="39" w:name="italic21" w:colFirst="0" w:colLast="0"/>
            <w:bookmarkEnd w:id="36"/>
            <w:bookmarkEnd w:id="37"/>
            <w:r w:rsidRPr="0022554A">
              <w:rPr>
                <w:bCs/>
                <w:sz w:val="20"/>
              </w:rPr>
              <w:t>Study size</w:t>
            </w:r>
          </w:p>
        </w:tc>
        <w:tc>
          <w:tcPr>
            <w:tcW w:w="616" w:type="dxa"/>
          </w:tcPr>
          <w:p w14:paraId="7C6A13C8" w14:textId="77777777" w:rsidR="00191A23" w:rsidRPr="0022554A" w:rsidRDefault="00191A23" w:rsidP="0022554A">
            <w:pPr>
              <w:tabs>
                <w:tab w:val="left" w:pos="5400"/>
              </w:tabs>
              <w:jc w:val="center"/>
              <w:rPr>
                <w:sz w:val="20"/>
              </w:rPr>
            </w:pPr>
            <w:r w:rsidRPr="0022554A">
              <w:rPr>
                <w:sz w:val="20"/>
              </w:rPr>
              <w:t>10</w:t>
            </w:r>
          </w:p>
        </w:tc>
        <w:tc>
          <w:tcPr>
            <w:tcW w:w="6901" w:type="dxa"/>
          </w:tcPr>
          <w:p w14:paraId="0C85DBE4" w14:textId="77777777" w:rsidR="00191A23" w:rsidRPr="0022554A" w:rsidRDefault="00191A23" w:rsidP="0022554A">
            <w:pPr>
              <w:tabs>
                <w:tab w:val="left" w:pos="5400"/>
              </w:tabs>
              <w:rPr>
                <w:sz w:val="20"/>
              </w:rPr>
            </w:pPr>
            <w:r w:rsidRPr="001B6945">
              <w:rPr>
                <w:sz w:val="20"/>
              </w:rPr>
              <w:t>Explain how the study size was arrived at</w:t>
            </w:r>
          </w:p>
        </w:tc>
        <w:tc>
          <w:tcPr>
            <w:tcW w:w="1170" w:type="dxa"/>
          </w:tcPr>
          <w:p w14:paraId="0651739A" w14:textId="3632C478" w:rsidR="00191A23" w:rsidRPr="0022554A" w:rsidRDefault="00D35FA9" w:rsidP="0022554A">
            <w:pPr>
              <w:tabs>
                <w:tab w:val="left" w:pos="5400"/>
              </w:tabs>
              <w:rPr>
                <w:sz w:val="20"/>
              </w:rPr>
            </w:pPr>
            <w:r>
              <w:rPr>
                <w:sz w:val="20"/>
              </w:rPr>
              <w:t>5</w:t>
            </w:r>
            <w:r w:rsidR="001B6945">
              <w:rPr>
                <w:sz w:val="20"/>
              </w:rPr>
              <w:t>,</w:t>
            </w:r>
            <w:r>
              <w:rPr>
                <w:sz w:val="20"/>
              </w:rPr>
              <w:t>9</w:t>
            </w:r>
          </w:p>
        </w:tc>
        <w:tc>
          <w:tcPr>
            <w:tcW w:w="4354" w:type="dxa"/>
          </w:tcPr>
          <w:p w14:paraId="7DCC9024" w14:textId="7FDB4BD2" w:rsidR="00191A23" w:rsidRPr="0022554A" w:rsidRDefault="001B6945" w:rsidP="0022554A">
            <w:pPr>
              <w:tabs>
                <w:tab w:val="left" w:pos="5400"/>
              </w:tabs>
              <w:rPr>
                <w:sz w:val="20"/>
              </w:rPr>
            </w:pPr>
            <w:r w:rsidRPr="001B6945">
              <w:rPr>
                <w:sz w:val="20"/>
              </w:rPr>
              <w:t>expanded cohort eligibility for the existing facilities (Supplemental Table 1) through December 31, 2020, which identified an additional 1,034 workers eligible for study inclusion</w:t>
            </w:r>
            <w:r>
              <w:rPr>
                <w:sz w:val="20"/>
              </w:rPr>
              <w:t>…</w:t>
            </w:r>
            <w:r>
              <w:t xml:space="preserve"> </w:t>
            </w:r>
            <w:r w:rsidRPr="001B6945">
              <w:rPr>
                <w:sz w:val="20"/>
              </w:rPr>
              <w:t xml:space="preserve">The current study identified 1,034 additional workers who were eligible for study inclusion and 64,762 additional person-years of follow-up, for a total </w:t>
            </w:r>
            <w:r w:rsidRPr="001B6945">
              <w:rPr>
                <w:sz w:val="20"/>
              </w:rPr>
              <w:lastRenderedPageBreak/>
              <w:t>cohort comprised of 17,149 workers and 632,726 person-years of follow-up.</w:t>
            </w:r>
          </w:p>
        </w:tc>
      </w:tr>
    </w:tbl>
    <w:p w14:paraId="677D9F3B" w14:textId="77777777" w:rsidR="00191A23" w:rsidRDefault="00191A23">
      <w:bookmarkStart w:id="40" w:name="bold22"/>
      <w:bookmarkStart w:id="41" w:name="italic22"/>
      <w:bookmarkEnd w:id="38"/>
      <w:bookmarkEnd w:id="39"/>
      <w:proofErr w:type="gramStart"/>
      <w:r w:rsidRPr="004A32C8">
        <w:rPr>
          <w:sz w:val="16"/>
          <w:szCs w:val="16"/>
        </w:rPr>
        <w:lastRenderedPageBreak/>
        <w:t>Continued on</w:t>
      </w:r>
      <w:proofErr w:type="gramEnd"/>
      <w:r w:rsidRPr="004A32C8">
        <w:rPr>
          <w:sz w:val="16"/>
          <w:szCs w:val="16"/>
        </w:rPr>
        <w:t xml:space="preserve">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7198"/>
        <w:gridCol w:w="1170"/>
        <w:gridCol w:w="4354"/>
      </w:tblGrid>
      <w:tr w:rsidR="00191A23" w:rsidRPr="0022554A" w14:paraId="66D4DBD9" w14:textId="77777777" w:rsidTr="009468D7">
        <w:tc>
          <w:tcPr>
            <w:tcW w:w="1521" w:type="dxa"/>
          </w:tcPr>
          <w:p w14:paraId="5952783E" w14:textId="77777777" w:rsidR="00191A23" w:rsidRPr="0022554A" w:rsidRDefault="00191A23" w:rsidP="00191A23">
            <w:pPr>
              <w:tabs>
                <w:tab w:val="left" w:pos="5400"/>
              </w:tabs>
              <w:rPr>
                <w:bCs/>
                <w:sz w:val="20"/>
              </w:rPr>
            </w:pPr>
            <w:r w:rsidRPr="0022554A">
              <w:rPr>
                <w:bCs/>
                <w:sz w:val="20"/>
              </w:rPr>
              <w:lastRenderedPageBreak/>
              <w:t>Quantitative</w:t>
            </w:r>
            <w:bookmarkStart w:id="42" w:name="bold23"/>
            <w:bookmarkStart w:id="43" w:name="italic23"/>
            <w:bookmarkEnd w:id="40"/>
            <w:bookmarkEnd w:id="41"/>
            <w:r w:rsidRPr="0022554A">
              <w:rPr>
                <w:bCs/>
                <w:sz w:val="20"/>
              </w:rPr>
              <w:t xml:space="preserve"> variables</w:t>
            </w:r>
            <w:bookmarkEnd w:id="42"/>
            <w:bookmarkEnd w:id="43"/>
          </w:p>
        </w:tc>
        <w:tc>
          <w:tcPr>
            <w:tcW w:w="749" w:type="dxa"/>
          </w:tcPr>
          <w:p w14:paraId="4BDBCC3F" w14:textId="77777777" w:rsidR="00191A23" w:rsidRPr="0022554A" w:rsidRDefault="00191A23" w:rsidP="00191A23">
            <w:pPr>
              <w:tabs>
                <w:tab w:val="left" w:pos="5400"/>
              </w:tabs>
              <w:jc w:val="center"/>
              <w:rPr>
                <w:sz w:val="20"/>
              </w:rPr>
            </w:pPr>
            <w:r w:rsidRPr="0022554A">
              <w:rPr>
                <w:sz w:val="20"/>
              </w:rPr>
              <w:t>11</w:t>
            </w:r>
          </w:p>
        </w:tc>
        <w:tc>
          <w:tcPr>
            <w:tcW w:w="7198" w:type="dxa"/>
          </w:tcPr>
          <w:p w14:paraId="4A37720A" w14:textId="77777777" w:rsidR="00191A23" w:rsidRPr="0022554A" w:rsidRDefault="00191A23" w:rsidP="00692019">
            <w:pPr>
              <w:tabs>
                <w:tab w:val="left" w:pos="5400"/>
              </w:tabs>
              <w:rPr>
                <w:sz w:val="20"/>
              </w:rPr>
            </w:pPr>
            <w:r w:rsidRPr="001B6945">
              <w:rPr>
                <w:sz w:val="20"/>
              </w:rPr>
              <w:t>Explain how quantitative variables were handled in the analyses. If applicable, describe which groupings were chosen and why</w:t>
            </w:r>
          </w:p>
        </w:tc>
        <w:tc>
          <w:tcPr>
            <w:tcW w:w="1170" w:type="dxa"/>
          </w:tcPr>
          <w:p w14:paraId="4C1ECBB7" w14:textId="1C7A5746" w:rsidR="00191A23" w:rsidRPr="0022554A" w:rsidRDefault="00507156" w:rsidP="00191A23">
            <w:pPr>
              <w:tabs>
                <w:tab w:val="left" w:pos="5400"/>
              </w:tabs>
              <w:rPr>
                <w:sz w:val="20"/>
              </w:rPr>
            </w:pPr>
            <w:r>
              <w:rPr>
                <w:sz w:val="20"/>
              </w:rPr>
              <w:t>7-8</w:t>
            </w:r>
          </w:p>
        </w:tc>
        <w:tc>
          <w:tcPr>
            <w:tcW w:w="4354" w:type="dxa"/>
          </w:tcPr>
          <w:p w14:paraId="5479FC67" w14:textId="4690D1EC" w:rsidR="00191A23" w:rsidRPr="0022554A" w:rsidRDefault="00692019" w:rsidP="00191A23">
            <w:pPr>
              <w:tabs>
                <w:tab w:val="left" w:pos="5400"/>
              </w:tabs>
              <w:rPr>
                <w:sz w:val="20"/>
              </w:rPr>
            </w:pPr>
            <w:r w:rsidRPr="00692019">
              <w:rPr>
                <w:sz w:val="20"/>
              </w:rPr>
              <w:t>Summary statistics by sex, race/ethnicity, year of birth, year of hire, duration of employment, and time since hire for the total cohort and specific cause of death categories by beryllium facility type were calculated</w:t>
            </w:r>
            <w:r>
              <w:rPr>
                <w:sz w:val="20"/>
              </w:rPr>
              <w:t>…</w:t>
            </w:r>
            <w:r w:rsidR="00584B2D" w:rsidRPr="00584B2D">
              <w:rPr>
                <w:sz w:val="20"/>
              </w:rPr>
              <w:t>Period of hire was analyzed as a dichotomous variable (before 1955 vs 1995 and later)</w:t>
            </w:r>
          </w:p>
        </w:tc>
      </w:tr>
      <w:tr w:rsidR="00191A23" w:rsidRPr="0022554A" w14:paraId="59C001A7" w14:textId="77777777" w:rsidTr="009468D7">
        <w:tc>
          <w:tcPr>
            <w:tcW w:w="1521" w:type="dxa"/>
            <w:vMerge w:val="restart"/>
          </w:tcPr>
          <w:p w14:paraId="0F030B45" w14:textId="77777777" w:rsidR="00191A23" w:rsidRPr="0022554A" w:rsidRDefault="00191A23" w:rsidP="00191A23">
            <w:pPr>
              <w:tabs>
                <w:tab w:val="left" w:pos="5400"/>
              </w:tabs>
              <w:rPr>
                <w:sz w:val="20"/>
              </w:rPr>
            </w:pPr>
            <w:bookmarkStart w:id="44" w:name="italic24"/>
            <w:r w:rsidRPr="0022554A">
              <w:rPr>
                <w:sz w:val="20"/>
              </w:rPr>
              <w:t>Statistical</w:t>
            </w:r>
            <w:bookmarkStart w:id="45" w:name="italic25"/>
            <w:bookmarkEnd w:id="44"/>
            <w:r w:rsidRPr="0022554A">
              <w:rPr>
                <w:sz w:val="20"/>
              </w:rPr>
              <w:t xml:space="preserve"> methods</w:t>
            </w:r>
            <w:bookmarkEnd w:id="45"/>
          </w:p>
        </w:tc>
        <w:tc>
          <w:tcPr>
            <w:tcW w:w="749" w:type="dxa"/>
            <w:vMerge w:val="restart"/>
          </w:tcPr>
          <w:p w14:paraId="02D41E14" w14:textId="77777777" w:rsidR="00191A23" w:rsidRPr="0022554A" w:rsidRDefault="00191A23" w:rsidP="00191A23">
            <w:pPr>
              <w:tabs>
                <w:tab w:val="left" w:pos="5400"/>
              </w:tabs>
              <w:jc w:val="center"/>
              <w:rPr>
                <w:sz w:val="20"/>
              </w:rPr>
            </w:pPr>
            <w:r w:rsidRPr="0022554A">
              <w:rPr>
                <w:sz w:val="20"/>
              </w:rPr>
              <w:t>12</w:t>
            </w:r>
          </w:p>
        </w:tc>
        <w:tc>
          <w:tcPr>
            <w:tcW w:w="7198" w:type="dxa"/>
          </w:tcPr>
          <w:p w14:paraId="1E9287BC" w14:textId="77777777"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170" w:type="dxa"/>
          </w:tcPr>
          <w:p w14:paraId="766E000D" w14:textId="5F95396F" w:rsidR="00191A23" w:rsidRPr="0022554A" w:rsidRDefault="00D35FA9" w:rsidP="00191A23">
            <w:pPr>
              <w:tabs>
                <w:tab w:val="left" w:pos="5400"/>
              </w:tabs>
              <w:rPr>
                <w:sz w:val="20"/>
              </w:rPr>
            </w:pPr>
            <w:r>
              <w:rPr>
                <w:sz w:val="20"/>
              </w:rPr>
              <w:t>7-9</w:t>
            </w:r>
          </w:p>
        </w:tc>
        <w:tc>
          <w:tcPr>
            <w:tcW w:w="4354" w:type="dxa"/>
          </w:tcPr>
          <w:p w14:paraId="7504F1E0" w14:textId="0D5AB753" w:rsidR="00191A23" w:rsidRPr="0022554A" w:rsidRDefault="00DE5959" w:rsidP="00191A23">
            <w:pPr>
              <w:tabs>
                <w:tab w:val="left" w:pos="5400"/>
              </w:tabs>
              <w:rPr>
                <w:sz w:val="20"/>
              </w:rPr>
            </w:pPr>
            <w:r w:rsidRPr="00DE5959">
              <w:rPr>
                <w:sz w:val="20"/>
              </w:rPr>
              <w:t>Standardized mortality ratios (SMRs) and 95% confidence intervals (CIs) were calculated using the University of Pittsburgh Occupational Cohort Mortality Analysis Program (OCMAP) as the ratio of observed to expected deaths</w:t>
            </w:r>
            <w:r>
              <w:rPr>
                <w:sz w:val="20"/>
              </w:rPr>
              <w:t>…</w:t>
            </w:r>
            <w:r w:rsidR="00507156" w:rsidRPr="00507156">
              <w:rPr>
                <w:sz w:val="20"/>
              </w:rPr>
              <w:t>Cox regression models, adjusted for age at hire and other potential confounding exposure variables, were implemented to estimate hazard ratios (HRs) and 95% confidence intervals (95% CIs). The proportional hazards assumption was tested for mortality from a priori causes of death (all-cause mortality, all cancers, lung cancer, kidney cancer, bladder cancer, CNS, and ONMRD) using a graphical approach</w:t>
            </w:r>
            <w:r w:rsidR="00584B2D">
              <w:rPr>
                <w:sz w:val="20"/>
              </w:rPr>
              <w:t>…</w:t>
            </w:r>
            <w:r w:rsidR="00584B2D">
              <w:t xml:space="preserve"> </w:t>
            </w:r>
            <w:r w:rsidR="00507156" w:rsidRPr="00507156">
              <w:rPr>
                <w:sz w:val="20"/>
              </w:rPr>
              <w:t>The final fitted Cox regression models for mortality from a priori causes of death included sex, age at hire (continuous), employment duration (&lt;1 year vs 1+ years), period of hire (before 1955 vs 1955 and later), and type of beryllium facility. The models did not consider race as most workers either had unknown race or were white</w:t>
            </w:r>
          </w:p>
        </w:tc>
      </w:tr>
      <w:tr w:rsidR="00191A23" w:rsidRPr="0022554A" w14:paraId="0E6ECBFD" w14:textId="77777777" w:rsidTr="009468D7">
        <w:tc>
          <w:tcPr>
            <w:tcW w:w="1521" w:type="dxa"/>
            <w:vMerge/>
          </w:tcPr>
          <w:p w14:paraId="360C576F" w14:textId="77777777" w:rsidR="00191A23" w:rsidRPr="0022554A" w:rsidRDefault="00191A23" w:rsidP="00191A23">
            <w:pPr>
              <w:tabs>
                <w:tab w:val="left" w:pos="5400"/>
              </w:tabs>
              <w:rPr>
                <w:bCs/>
                <w:sz w:val="20"/>
              </w:rPr>
            </w:pPr>
            <w:bookmarkStart w:id="46" w:name="bold24" w:colFirst="0" w:colLast="0"/>
            <w:bookmarkStart w:id="47" w:name="italic26" w:colFirst="0" w:colLast="0"/>
          </w:p>
        </w:tc>
        <w:tc>
          <w:tcPr>
            <w:tcW w:w="749" w:type="dxa"/>
            <w:vMerge/>
          </w:tcPr>
          <w:p w14:paraId="12830928" w14:textId="77777777" w:rsidR="00191A23" w:rsidRPr="0022554A" w:rsidRDefault="00191A23" w:rsidP="00191A23">
            <w:pPr>
              <w:tabs>
                <w:tab w:val="left" w:pos="5400"/>
              </w:tabs>
              <w:jc w:val="center"/>
              <w:rPr>
                <w:sz w:val="20"/>
              </w:rPr>
            </w:pPr>
          </w:p>
        </w:tc>
        <w:tc>
          <w:tcPr>
            <w:tcW w:w="7198" w:type="dxa"/>
          </w:tcPr>
          <w:p w14:paraId="4802F01D"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170" w:type="dxa"/>
          </w:tcPr>
          <w:p w14:paraId="33C2654C" w14:textId="1621CAE5" w:rsidR="00191A23" w:rsidRPr="0022554A" w:rsidRDefault="00D35FA9" w:rsidP="00191A23">
            <w:pPr>
              <w:tabs>
                <w:tab w:val="left" w:pos="5400"/>
              </w:tabs>
              <w:rPr>
                <w:sz w:val="20"/>
              </w:rPr>
            </w:pPr>
            <w:r>
              <w:rPr>
                <w:sz w:val="20"/>
              </w:rPr>
              <w:t>9</w:t>
            </w:r>
          </w:p>
        </w:tc>
        <w:tc>
          <w:tcPr>
            <w:tcW w:w="4354" w:type="dxa"/>
          </w:tcPr>
          <w:p w14:paraId="4E9DE071" w14:textId="77777777" w:rsidR="00584B2D" w:rsidRPr="00584B2D" w:rsidRDefault="00584B2D" w:rsidP="00584B2D">
            <w:pPr>
              <w:tabs>
                <w:tab w:val="left" w:pos="5400"/>
              </w:tabs>
              <w:rPr>
                <w:sz w:val="20"/>
              </w:rPr>
            </w:pPr>
            <w:r w:rsidRPr="00584B2D">
              <w:rPr>
                <w:sz w:val="20"/>
              </w:rPr>
              <w:t xml:space="preserve">Regression models were fit with and without interaction terms.  The interaction terms included were based on statistically significant interactions identified in the all-cause mortality model with significance assessed at an α=0.05.  </w:t>
            </w:r>
          </w:p>
          <w:p w14:paraId="43B4E981" w14:textId="19B83EEC" w:rsidR="00191A23" w:rsidRPr="0022554A" w:rsidRDefault="00584B2D" w:rsidP="00584B2D">
            <w:pPr>
              <w:tabs>
                <w:tab w:val="left" w:pos="5400"/>
              </w:tabs>
              <w:rPr>
                <w:sz w:val="20"/>
              </w:rPr>
            </w:pPr>
            <w:r w:rsidRPr="00584B2D">
              <w:rPr>
                <w:sz w:val="20"/>
              </w:rPr>
              <w:lastRenderedPageBreak/>
              <w:t>Tests for trend were conducted using the Breslow-Day method to examine if there were any dose-response trends as a function of duration of employment and time since hire.</w:t>
            </w:r>
          </w:p>
        </w:tc>
      </w:tr>
      <w:tr w:rsidR="00191A23" w:rsidRPr="0022554A" w14:paraId="07D2A4EB" w14:textId="77777777" w:rsidTr="009468D7">
        <w:tc>
          <w:tcPr>
            <w:tcW w:w="1521" w:type="dxa"/>
            <w:vMerge/>
          </w:tcPr>
          <w:p w14:paraId="4B945F62" w14:textId="77777777" w:rsidR="00191A23" w:rsidRPr="0022554A" w:rsidRDefault="00191A23" w:rsidP="00191A23">
            <w:pPr>
              <w:tabs>
                <w:tab w:val="left" w:pos="5400"/>
              </w:tabs>
              <w:rPr>
                <w:bCs/>
                <w:sz w:val="20"/>
              </w:rPr>
            </w:pPr>
            <w:bookmarkStart w:id="48" w:name="bold25" w:colFirst="0" w:colLast="0"/>
            <w:bookmarkStart w:id="49" w:name="italic27" w:colFirst="0" w:colLast="0"/>
            <w:bookmarkEnd w:id="46"/>
            <w:bookmarkEnd w:id="47"/>
          </w:p>
        </w:tc>
        <w:tc>
          <w:tcPr>
            <w:tcW w:w="749" w:type="dxa"/>
            <w:vMerge/>
          </w:tcPr>
          <w:p w14:paraId="161C0E77" w14:textId="77777777" w:rsidR="00191A23" w:rsidRPr="0022554A" w:rsidRDefault="00191A23" w:rsidP="00191A23">
            <w:pPr>
              <w:tabs>
                <w:tab w:val="left" w:pos="5400"/>
              </w:tabs>
              <w:jc w:val="center"/>
              <w:rPr>
                <w:sz w:val="20"/>
              </w:rPr>
            </w:pPr>
          </w:p>
        </w:tc>
        <w:tc>
          <w:tcPr>
            <w:tcW w:w="7198" w:type="dxa"/>
          </w:tcPr>
          <w:p w14:paraId="4D63B93B"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170" w:type="dxa"/>
          </w:tcPr>
          <w:p w14:paraId="05C5E9A6" w14:textId="7FB2F1D2" w:rsidR="00191A23" w:rsidRPr="0022554A" w:rsidRDefault="00D35FA9" w:rsidP="00191A23">
            <w:pPr>
              <w:tabs>
                <w:tab w:val="left" w:pos="5400"/>
              </w:tabs>
              <w:rPr>
                <w:sz w:val="20"/>
              </w:rPr>
            </w:pPr>
            <w:r>
              <w:rPr>
                <w:sz w:val="20"/>
              </w:rPr>
              <w:t>6</w:t>
            </w:r>
          </w:p>
        </w:tc>
        <w:tc>
          <w:tcPr>
            <w:tcW w:w="4354" w:type="dxa"/>
          </w:tcPr>
          <w:p w14:paraId="14A13749" w14:textId="5FB7AF7E" w:rsidR="00191A23" w:rsidRPr="0022554A" w:rsidRDefault="00507156" w:rsidP="00191A23">
            <w:pPr>
              <w:tabs>
                <w:tab w:val="left" w:pos="5400"/>
              </w:tabs>
              <w:rPr>
                <w:sz w:val="20"/>
              </w:rPr>
            </w:pPr>
            <w:r w:rsidRPr="00507156">
              <w:rPr>
                <w:sz w:val="20"/>
              </w:rPr>
              <w:t>The date of birth, hire date, and date of termination were known for each new cohort member, thus no methods were needed to account for missing data in the present cohort expansion. Methods for handling missing data in the original cohort are detailed by Boffetta et al. 2016.</w:t>
            </w:r>
          </w:p>
        </w:tc>
      </w:tr>
      <w:tr w:rsidR="00191A23" w:rsidRPr="0022554A" w14:paraId="3BF9D4D3" w14:textId="77777777" w:rsidTr="009468D7">
        <w:tc>
          <w:tcPr>
            <w:tcW w:w="1521" w:type="dxa"/>
            <w:vMerge/>
          </w:tcPr>
          <w:p w14:paraId="370D8418" w14:textId="77777777" w:rsidR="00191A23" w:rsidRPr="0022554A" w:rsidRDefault="00191A23" w:rsidP="00191A23">
            <w:pPr>
              <w:tabs>
                <w:tab w:val="left" w:pos="5400"/>
              </w:tabs>
              <w:rPr>
                <w:bCs/>
                <w:sz w:val="20"/>
              </w:rPr>
            </w:pPr>
            <w:bookmarkStart w:id="50" w:name="bold26" w:colFirst="0" w:colLast="0"/>
            <w:bookmarkStart w:id="51" w:name="italic28" w:colFirst="0" w:colLast="0"/>
            <w:bookmarkEnd w:id="48"/>
            <w:bookmarkEnd w:id="49"/>
          </w:p>
        </w:tc>
        <w:tc>
          <w:tcPr>
            <w:tcW w:w="749" w:type="dxa"/>
            <w:vMerge/>
          </w:tcPr>
          <w:p w14:paraId="1C915374" w14:textId="77777777" w:rsidR="00191A23" w:rsidRPr="0022554A" w:rsidRDefault="00191A23" w:rsidP="00191A23">
            <w:pPr>
              <w:tabs>
                <w:tab w:val="left" w:pos="5400"/>
              </w:tabs>
              <w:jc w:val="center"/>
              <w:rPr>
                <w:sz w:val="20"/>
              </w:rPr>
            </w:pPr>
          </w:p>
        </w:tc>
        <w:tc>
          <w:tcPr>
            <w:tcW w:w="7198" w:type="dxa"/>
          </w:tcPr>
          <w:p w14:paraId="0E3B4E9A" w14:textId="77777777" w:rsidR="00191A23" w:rsidRPr="0022554A" w:rsidRDefault="00191A23" w:rsidP="00191A23">
            <w:pPr>
              <w:tabs>
                <w:tab w:val="left" w:pos="5400"/>
              </w:tabs>
              <w:rPr>
                <w:sz w:val="20"/>
              </w:rPr>
            </w:pPr>
            <w:r w:rsidRPr="0022554A">
              <w:rPr>
                <w:sz w:val="20"/>
              </w:rPr>
              <w:t>(</w:t>
            </w:r>
            <w:r w:rsidRPr="0022554A">
              <w:rPr>
                <w:i/>
                <w:sz w:val="20"/>
              </w:rPr>
              <w:t>d</w:t>
            </w:r>
            <w:r w:rsidRPr="0022554A">
              <w:rPr>
                <w:sz w:val="20"/>
              </w:rPr>
              <w:t xml:space="preserve">) </w:t>
            </w:r>
            <w:r w:rsidRPr="00B52E1E">
              <w:rPr>
                <w:bCs/>
                <w:i/>
                <w:sz w:val="20"/>
                <w:highlight w:val="yellow"/>
              </w:rPr>
              <w:t>Cohort study</w:t>
            </w:r>
            <w:r w:rsidRPr="0022554A">
              <w:rPr>
                <w:sz w:val="20"/>
              </w:rPr>
              <w:t>—If applicable, explain how loss to follow-up was addressed</w:t>
            </w:r>
          </w:p>
          <w:p w14:paraId="14432C09" w14:textId="77777777" w:rsidR="00191A23" w:rsidRPr="0022554A" w:rsidRDefault="00191A23"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14:paraId="6FFD10AF" w14:textId="77777777" w:rsidR="00191A23" w:rsidRPr="0022554A" w:rsidRDefault="00191A23"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170" w:type="dxa"/>
          </w:tcPr>
          <w:p w14:paraId="5A760B59" w14:textId="7C138377" w:rsidR="00191A23" w:rsidRPr="0022554A" w:rsidRDefault="00507156" w:rsidP="00191A23">
            <w:pPr>
              <w:tabs>
                <w:tab w:val="left" w:pos="5400"/>
              </w:tabs>
              <w:rPr>
                <w:sz w:val="20"/>
              </w:rPr>
            </w:pPr>
            <w:r>
              <w:rPr>
                <w:sz w:val="20"/>
              </w:rPr>
              <w:t>7</w:t>
            </w:r>
          </w:p>
        </w:tc>
        <w:tc>
          <w:tcPr>
            <w:tcW w:w="4354" w:type="dxa"/>
          </w:tcPr>
          <w:p w14:paraId="7D9E463F" w14:textId="6686099A" w:rsidR="00191A23" w:rsidRPr="0022554A" w:rsidRDefault="00507156" w:rsidP="00191A23">
            <w:pPr>
              <w:tabs>
                <w:tab w:val="left" w:pos="5400"/>
              </w:tabs>
              <w:rPr>
                <w:sz w:val="20"/>
              </w:rPr>
            </w:pPr>
            <w:r w:rsidRPr="00507156">
              <w:rPr>
                <w:sz w:val="20"/>
              </w:rPr>
              <w:t>Employees who were born prior to 1921 whose vital status was not coded as dead were considered lost to follow-up and had their cause of death coded as unknown. Employees with a known date of death but an unknown cause of death were considered lost to follow-up. Overall, 693 cohort members (4%) were lost to follow-up. Workers who were not lost to follow-up and not found to be as deceased were presumed to be alive at the end of the study.</w:t>
            </w:r>
          </w:p>
        </w:tc>
      </w:tr>
      <w:tr w:rsidR="00191A23" w:rsidRPr="0022554A" w14:paraId="00B9D28E" w14:textId="77777777" w:rsidTr="009468D7">
        <w:tc>
          <w:tcPr>
            <w:tcW w:w="1521" w:type="dxa"/>
            <w:vMerge/>
          </w:tcPr>
          <w:p w14:paraId="7A6678E4" w14:textId="77777777" w:rsidR="00191A23" w:rsidRPr="0022554A" w:rsidRDefault="00191A23" w:rsidP="00191A23">
            <w:pPr>
              <w:tabs>
                <w:tab w:val="left" w:pos="5400"/>
              </w:tabs>
              <w:rPr>
                <w:bCs/>
                <w:sz w:val="20"/>
              </w:rPr>
            </w:pPr>
            <w:bookmarkStart w:id="52" w:name="bold27" w:colFirst="0" w:colLast="0"/>
            <w:bookmarkStart w:id="53" w:name="italic29" w:colFirst="0" w:colLast="0"/>
            <w:bookmarkEnd w:id="50"/>
            <w:bookmarkEnd w:id="51"/>
          </w:p>
        </w:tc>
        <w:tc>
          <w:tcPr>
            <w:tcW w:w="749" w:type="dxa"/>
            <w:vMerge/>
          </w:tcPr>
          <w:p w14:paraId="4838C5A7" w14:textId="77777777" w:rsidR="00191A23" w:rsidRPr="0022554A" w:rsidRDefault="00191A23" w:rsidP="00191A23">
            <w:pPr>
              <w:tabs>
                <w:tab w:val="left" w:pos="5400"/>
              </w:tabs>
              <w:jc w:val="center"/>
              <w:rPr>
                <w:sz w:val="20"/>
              </w:rPr>
            </w:pPr>
          </w:p>
        </w:tc>
        <w:tc>
          <w:tcPr>
            <w:tcW w:w="7198" w:type="dxa"/>
          </w:tcPr>
          <w:p w14:paraId="45037734" w14:textId="77777777" w:rsidR="00191A23" w:rsidRPr="0022554A" w:rsidRDefault="00191A23" w:rsidP="00191A23">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170" w:type="dxa"/>
          </w:tcPr>
          <w:p w14:paraId="3100D012" w14:textId="311415C5" w:rsidR="00191A23" w:rsidRPr="0022554A" w:rsidRDefault="00D17F4D" w:rsidP="00191A23">
            <w:pPr>
              <w:tabs>
                <w:tab w:val="left" w:pos="5400"/>
              </w:tabs>
              <w:rPr>
                <w:sz w:val="20"/>
              </w:rPr>
            </w:pPr>
            <w:r>
              <w:rPr>
                <w:sz w:val="20"/>
              </w:rPr>
              <w:t>8-9</w:t>
            </w:r>
          </w:p>
        </w:tc>
        <w:tc>
          <w:tcPr>
            <w:tcW w:w="4354" w:type="dxa"/>
          </w:tcPr>
          <w:p w14:paraId="073B15A3" w14:textId="6DBD92CB" w:rsidR="00191A23" w:rsidRPr="0022554A" w:rsidRDefault="00F47575" w:rsidP="00191A23">
            <w:pPr>
              <w:tabs>
                <w:tab w:val="left" w:pos="5400"/>
              </w:tabs>
              <w:rPr>
                <w:sz w:val="20"/>
              </w:rPr>
            </w:pPr>
            <w:r w:rsidRPr="00F47575">
              <w:rPr>
                <w:sz w:val="20"/>
              </w:rPr>
              <w:t xml:space="preserve">SMRs were additionally calculated for sub-analyses of a priori causes of death of interest, including </w:t>
            </w:r>
            <w:r w:rsidR="00EF659D">
              <w:rPr>
                <w:sz w:val="20"/>
              </w:rPr>
              <w:t xml:space="preserve">potential </w:t>
            </w:r>
            <w:r w:rsidRPr="00F47575">
              <w:rPr>
                <w:sz w:val="20"/>
              </w:rPr>
              <w:t xml:space="preserve">mesothelioma, COPD, lung cancer, ONMRD (which contains berylliosis, as defined in Supplemental Table 2), all cancers, kidney cancer, bladder cancer, cancer of the CNS, stratified by year of hire, employment duration, time since hire, and beryllium facility type for the total cohort. SMRs were also calculated by facility for select causes of death. Additional analyses were conducted for some selected outcomes where </w:t>
            </w:r>
            <w:r w:rsidRPr="00F47575">
              <w:rPr>
                <w:sz w:val="20"/>
              </w:rPr>
              <w:lastRenderedPageBreak/>
              <w:t>overall analysis showed statistically significant elevation to further evaluate characteristics of sub-populations, such as short-term workers (workers employed less than one year)</w:t>
            </w:r>
            <w:r>
              <w:rPr>
                <w:sz w:val="20"/>
              </w:rPr>
              <w:t>…</w:t>
            </w:r>
            <w:r w:rsidRPr="00F47575">
              <w:rPr>
                <w:sz w:val="20"/>
              </w:rPr>
              <w:t xml:space="preserve">Another sub-analysis was also conducted to calculate SMRs for </w:t>
            </w:r>
            <w:r w:rsidR="00EF659D">
              <w:rPr>
                <w:sz w:val="20"/>
              </w:rPr>
              <w:t xml:space="preserve">potential </w:t>
            </w:r>
            <w:r w:rsidRPr="00F47575">
              <w:rPr>
                <w:sz w:val="20"/>
              </w:rPr>
              <w:t>mesothelioma by beryllium facility type and further stratified by year of hire, length of employment, and time since hire...</w:t>
            </w:r>
            <w:r w:rsidR="00D17F4D" w:rsidRPr="00D17F4D">
              <w:rPr>
                <w:sz w:val="20"/>
              </w:rPr>
              <w:t>As a sensitivity analysis, Cox models were also performed incorporating a 10-year lag period into the primary regression models.</w:t>
            </w:r>
            <w:r w:rsidR="00EF659D">
              <w:rPr>
                <w:sz w:val="20"/>
              </w:rPr>
              <w:t xml:space="preserve">  </w:t>
            </w:r>
            <w:r w:rsidR="00EF659D" w:rsidRPr="00EF659D">
              <w:rPr>
                <w:sz w:val="20"/>
              </w:rPr>
              <w:t>An additional sensitivity was performed, by considering cases of mortality due to berylliosis (ICD-10: J63.2, ICD-9: 503, ICD-8: 516.0, ICD-7 and ICD-6: 524, and ICD-5: 114b) in a separate Cox model and comparing findings to the model of ONMRD.</w:t>
            </w:r>
          </w:p>
        </w:tc>
      </w:tr>
      <w:bookmarkEnd w:id="52"/>
      <w:bookmarkEnd w:id="53"/>
      <w:tr w:rsidR="00191A23" w:rsidRPr="0022554A" w14:paraId="6F9F5F3F" w14:textId="77777777" w:rsidTr="00191A23">
        <w:tc>
          <w:tcPr>
            <w:tcW w:w="14992" w:type="dxa"/>
            <w:gridSpan w:val="5"/>
          </w:tcPr>
          <w:p w14:paraId="73CF37DF" w14:textId="77777777" w:rsidR="00191A23" w:rsidRPr="0022554A" w:rsidRDefault="00191A23" w:rsidP="00191A23">
            <w:pPr>
              <w:pStyle w:val="TableSubHead"/>
              <w:tabs>
                <w:tab w:val="left" w:pos="5400"/>
              </w:tabs>
              <w:rPr>
                <w:sz w:val="20"/>
              </w:rPr>
            </w:pPr>
            <w:r w:rsidRPr="0022554A">
              <w:rPr>
                <w:sz w:val="20"/>
              </w:rPr>
              <w:lastRenderedPageBreak/>
              <w:t>Results</w:t>
            </w:r>
          </w:p>
        </w:tc>
      </w:tr>
      <w:tr w:rsidR="00191A23" w:rsidRPr="0022554A" w14:paraId="3E2BE713" w14:textId="77777777" w:rsidTr="009468D7">
        <w:tc>
          <w:tcPr>
            <w:tcW w:w="0" w:type="auto"/>
            <w:vMerge w:val="restart"/>
          </w:tcPr>
          <w:p w14:paraId="5015D538" w14:textId="77777777" w:rsidR="00191A23" w:rsidRPr="0022554A" w:rsidRDefault="00191A23" w:rsidP="00191A23">
            <w:pPr>
              <w:tabs>
                <w:tab w:val="left" w:pos="5400"/>
              </w:tabs>
              <w:rPr>
                <w:bCs/>
                <w:sz w:val="20"/>
              </w:rPr>
            </w:pPr>
            <w:bookmarkStart w:id="54" w:name="bold29"/>
            <w:bookmarkStart w:id="55" w:name="italic31"/>
            <w:r w:rsidRPr="0022554A">
              <w:rPr>
                <w:bCs/>
                <w:sz w:val="20"/>
              </w:rPr>
              <w:t>Participants</w:t>
            </w:r>
            <w:bookmarkEnd w:id="54"/>
            <w:bookmarkEnd w:id="55"/>
          </w:p>
        </w:tc>
        <w:tc>
          <w:tcPr>
            <w:tcW w:w="0" w:type="auto"/>
            <w:vMerge w:val="restart"/>
          </w:tcPr>
          <w:p w14:paraId="70A19D62" w14:textId="77777777" w:rsidR="00191A23" w:rsidRPr="0022554A" w:rsidRDefault="00191A23" w:rsidP="00191A23">
            <w:pPr>
              <w:tabs>
                <w:tab w:val="left" w:pos="5400"/>
              </w:tabs>
              <w:jc w:val="center"/>
              <w:rPr>
                <w:sz w:val="20"/>
              </w:rPr>
            </w:pPr>
            <w:r w:rsidRPr="0022554A">
              <w:rPr>
                <w:sz w:val="20"/>
              </w:rPr>
              <w:t>13</w:t>
            </w:r>
            <w:bookmarkStart w:id="56" w:name="bold30"/>
            <w:r w:rsidRPr="0022554A">
              <w:rPr>
                <w:bCs/>
                <w:sz w:val="20"/>
              </w:rPr>
              <w:t>*</w:t>
            </w:r>
            <w:bookmarkEnd w:id="56"/>
          </w:p>
        </w:tc>
        <w:tc>
          <w:tcPr>
            <w:tcW w:w="7198" w:type="dxa"/>
          </w:tcPr>
          <w:p w14:paraId="031FA2DB" w14:textId="77777777" w:rsidR="00191A23" w:rsidRPr="0022554A" w:rsidRDefault="00191A23" w:rsidP="00191A23">
            <w:pPr>
              <w:tabs>
                <w:tab w:val="left" w:pos="5400"/>
              </w:tabs>
              <w:rPr>
                <w:sz w:val="20"/>
              </w:rPr>
            </w:pPr>
            <w:r>
              <w:rPr>
                <w:sz w:val="20"/>
              </w:rPr>
              <w:t xml:space="preserve">(a) </w:t>
            </w:r>
            <w:r w:rsidRPr="001B6945">
              <w:rPr>
                <w:sz w:val="20"/>
              </w:rPr>
              <w:t>Report numbers of individuals at each stage of study—eg numbers potentially eligible, examined for eligibility, confirmed eligible, included in the study, completing follow-up, and analysed</w:t>
            </w:r>
          </w:p>
        </w:tc>
        <w:tc>
          <w:tcPr>
            <w:tcW w:w="1170" w:type="dxa"/>
          </w:tcPr>
          <w:p w14:paraId="6FB74E8C" w14:textId="4EB3EAF9" w:rsidR="00191A23" w:rsidRDefault="00F47575" w:rsidP="00191A23">
            <w:pPr>
              <w:tabs>
                <w:tab w:val="left" w:pos="5400"/>
              </w:tabs>
              <w:rPr>
                <w:sz w:val="20"/>
              </w:rPr>
            </w:pPr>
            <w:r>
              <w:rPr>
                <w:sz w:val="20"/>
              </w:rPr>
              <w:t>10</w:t>
            </w:r>
          </w:p>
        </w:tc>
        <w:tc>
          <w:tcPr>
            <w:tcW w:w="4354" w:type="dxa"/>
          </w:tcPr>
          <w:p w14:paraId="664D4A65" w14:textId="0B17919A" w:rsidR="00191A23" w:rsidRPr="001B6945" w:rsidRDefault="001B6945" w:rsidP="00191A23">
            <w:pPr>
              <w:tabs>
                <w:tab w:val="left" w:pos="5400"/>
              </w:tabs>
              <w:rPr>
                <w:sz w:val="20"/>
              </w:rPr>
            </w:pPr>
            <w:r w:rsidRPr="001B6945">
              <w:rPr>
                <w:sz w:val="20"/>
              </w:rPr>
              <w:t>The current study identified 1,034 additional workers who were eligible for study inclusion and 64,762 additional person-years of follow-up, for a total cohort comprised of 17,149 workers and 632,726 person-years of follow-up.</w:t>
            </w:r>
          </w:p>
        </w:tc>
      </w:tr>
      <w:tr w:rsidR="00191A23" w:rsidRPr="0022554A" w14:paraId="2ECFD523" w14:textId="77777777" w:rsidTr="009468D7">
        <w:tc>
          <w:tcPr>
            <w:tcW w:w="0" w:type="auto"/>
            <w:vMerge/>
          </w:tcPr>
          <w:p w14:paraId="354C8A56" w14:textId="77777777" w:rsidR="00191A23" w:rsidRPr="0022554A" w:rsidRDefault="00191A23" w:rsidP="00191A23">
            <w:pPr>
              <w:tabs>
                <w:tab w:val="left" w:pos="5400"/>
              </w:tabs>
              <w:rPr>
                <w:bCs/>
                <w:sz w:val="20"/>
              </w:rPr>
            </w:pPr>
            <w:bookmarkStart w:id="57" w:name="bold31" w:colFirst="0" w:colLast="0"/>
            <w:bookmarkStart w:id="58" w:name="italic32" w:colFirst="0" w:colLast="0"/>
          </w:p>
        </w:tc>
        <w:tc>
          <w:tcPr>
            <w:tcW w:w="0" w:type="auto"/>
            <w:vMerge/>
          </w:tcPr>
          <w:p w14:paraId="5463D531" w14:textId="77777777" w:rsidR="00191A23" w:rsidRPr="0022554A" w:rsidRDefault="00191A23" w:rsidP="00191A23">
            <w:pPr>
              <w:tabs>
                <w:tab w:val="left" w:pos="5400"/>
              </w:tabs>
              <w:jc w:val="center"/>
              <w:rPr>
                <w:sz w:val="20"/>
              </w:rPr>
            </w:pPr>
          </w:p>
        </w:tc>
        <w:tc>
          <w:tcPr>
            <w:tcW w:w="7198" w:type="dxa"/>
          </w:tcPr>
          <w:p w14:paraId="14F68B60" w14:textId="77777777" w:rsidR="00191A23" w:rsidRPr="0022554A" w:rsidRDefault="00191A23" w:rsidP="00191A23">
            <w:pPr>
              <w:tabs>
                <w:tab w:val="left" w:pos="5400"/>
              </w:tabs>
              <w:rPr>
                <w:sz w:val="20"/>
              </w:rPr>
            </w:pPr>
            <w:r>
              <w:rPr>
                <w:sz w:val="20"/>
              </w:rPr>
              <w:t xml:space="preserve">(b) </w:t>
            </w:r>
            <w:r w:rsidRPr="0022554A">
              <w:rPr>
                <w:sz w:val="20"/>
              </w:rPr>
              <w:t>Give reasons for non-participation at each stage</w:t>
            </w:r>
          </w:p>
        </w:tc>
        <w:tc>
          <w:tcPr>
            <w:tcW w:w="1170" w:type="dxa"/>
          </w:tcPr>
          <w:p w14:paraId="514D9BCB" w14:textId="12C692CE" w:rsidR="00191A23" w:rsidRDefault="001B6945" w:rsidP="00191A23">
            <w:pPr>
              <w:tabs>
                <w:tab w:val="left" w:pos="5400"/>
              </w:tabs>
              <w:rPr>
                <w:sz w:val="20"/>
              </w:rPr>
            </w:pPr>
            <w:r>
              <w:rPr>
                <w:sz w:val="20"/>
              </w:rPr>
              <w:t>NA</w:t>
            </w:r>
          </w:p>
        </w:tc>
        <w:tc>
          <w:tcPr>
            <w:tcW w:w="4354" w:type="dxa"/>
          </w:tcPr>
          <w:p w14:paraId="295EA43F" w14:textId="77777777" w:rsidR="00191A23" w:rsidRDefault="00191A23" w:rsidP="00191A23">
            <w:pPr>
              <w:tabs>
                <w:tab w:val="left" w:pos="5400"/>
              </w:tabs>
              <w:rPr>
                <w:sz w:val="20"/>
              </w:rPr>
            </w:pPr>
          </w:p>
        </w:tc>
      </w:tr>
      <w:tr w:rsidR="00191A23" w:rsidRPr="0022554A" w14:paraId="0AA524D8" w14:textId="77777777" w:rsidTr="009468D7">
        <w:tc>
          <w:tcPr>
            <w:tcW w:w="0" w:type="auto"/>
            <w:vMerge/>
          </w:tcPr>
          <w:p w14:paraId="763067CB" w14:textId="77777777" w:rsidR="00191A23" w:rsidRPr="0022554A" w:rsidRDefault="00191A23" w:rsidP="00191A23">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3A0ACCE9" w14:textId="77777777" w:rsidR="00191A23" w:rsidRPr="0022554A" w:rsidRDefault="00191A23" w:rsidP="00191A23">
            <w:pPr>
              <w:tabs>
                <w:tab w:val="left" w:pos="5400"/>
              </w:tabs>
              <w:jc w:val="center"/>
              <w:rPr>
                <w:sz w:val="20"/>
              </w:rPr>
            </w:pPr>
          </w:p>
        </w:tc>
        <w:tc>
          <w:tcPr>
            <w:tcW w:w="7198" w:type="dxa"/>
          </w:tcPr>
          <w:p w14:paraId="4B63CB5A" w14:textId="77777777" w:rsidR="00191A23" w:rsidRPr="0022554A" w:rsidRDefault="00191A23" w:rsidP="00191A23">
            <w:pPr>
              <w:tabs>
                <w:tab w:val="left" w:pos="5400"/>
              </w:tabs>
              <w:rPr>
                <w:sz w:val="20"/>
              </w:rPr>
            </w:pPr>
            <w:bookmarkStart w:id="61" w:name="OLE_LINK4"/>
            <w:r>
              <w:rPr>
                <w:sz w:val="20"/>
              </w:rPr>
              <w:t xml:space="preserve">(c) </w:t>
            </w:r>
            <w:r w:rsidRPr="00A10017">
              <w:rPr>
                <w:sz w:val="20"/>
              </w:rPr>
              <w:t>Consider use of a flow diagram</w:t>
            </w:r>
            <w:bookmarkEnd w:id="61"/>
          </w:p>
        </w:tc>
        <w:tc>
          <w:tcPr>
            <w:tcW w:w="1170" w:type="dxa"/>
          </w:tcPr>
          <w:p w14:paraId="4E7D2B30" w14:textId="65182947" w:rsidR="00191A23" w:rsidRDefault="00D17F4D" w:rsidP="00191A23">
            <w:pPr>
              <w:tabs>
                <w:tab w:val="left" w:pos="5400"/>
              </w:tabs>
              <w:rPr>
                <w:sz w:val="20"/>
              </w:rPr>
            </w:pPr>
            <w:r>
              <w:rPr>
                <w:sz w:val="20"/>
              </w:rPr>
              <w:t>NA</w:t>
            </w:r>
          </w:p>
        </w:tc>
        <w:tc>
          <w:tcPr>
            <w:tcW w:w="4354" w:type="dxa"/>
          </w:tcPr>
          <w:p w14:paraId="32EEB511" w14:textId="77777777" w:rsidR="00191A23" w:rsidRDefault="00191A23" w:rsidP="00191A23">
            <w:pPr>
              <w:tabs>
                <w:tab w:val="left" w:pos="5400"/>
              </w:tabs>
              <w:rPr>
                <w:sz w:val="20"/>
              </w:rPr>
            </w:pPr>
          </w:p>
        </w:tc>
      </w:tr>
      <w:tr w:rsidR="00191A23" w:rsidRPr="0022554A" w14:paraId="69615328" w14:textId="77777777" w:rsidTr="009468D7">
        <w:tc>
          <w:tcPr>
            <w:tcW w:w="0" w:type="auto"/>
            <w:vMerge w:val="restart"/>
          </w:tcPr>
          <w:p w14:paraId="7C8339DF" w14:textId="77777777" w:rsidR="00191A23" w:rsidRPr="0022554A" w:rsidRDefault="00191A23" w:rsidP="00191A23">
            <w:pPr>
              <w:tabs>
                <w:tab w:val="left" w:pos="5400"/>
              </w:tabs>
              <w:rPr>
                <w:bCs/>
                <w:sz w:val="20"/>
              </w:rPr>
            </w:pPr>
            <w:bookmarkStart w:id="62" w:name="bold33"/>
            <w:bookmarkStart w:id="63" w:name="italic34"/>
            <w:bookmarkEnd w:id="59"/>
            <w:bookmarkEnd w:id="60"/>
            <w:r w:rsidRPr="0022554A">
              <w:rPr>
                <w:bCs/>
                <w:sz w:val="20"/>
              </w:rPr>
              <w:t xml:space="preserve">Descriptive </w:t>
            </w:r>
            <w:bookmarkStart w:id="64" w:name="bold34"/>
            <w:bookmarkStart w:id="65" w:name="italic35"/>
            <w:bookmarkEnd w:id="62"/>
            <w:bookmarkEnd w:id="63"/>
            <w:r w:rsidRPr="0022554A">
              <w:rPr>
                <w:bCs/>
                <w:sz w:val="20"/>
              </w:rPr>
              <w:t>data</w:t>
            </w:r>
            <w:bookmarkEnd w:id="64"/>
            <w:bookmarkEnd w:id="65"/>
          </w:p>
        </w:tc>
        <w:tc>
          <w:tcPr>
            <w:tcW w:w="0" w:type="auto"/>
            <w:vMerge w:val="restart"/>
          </w:tcPr>
          <w:p w14:paraId="5150242F" w14:textId="77777777" w:rsidR="00191A23" w:rsidRPr="0022554A" w:rsidRDefault="00191A23" w:rsidP="00191A23">
            <w:pPr>
              <w:tabs>
                <w:tab w:val="left" w:pos="5400"/>
              </w:tabs>
              <w:jc w:val="center"/>
              <w:rPr>
                <w:sz w:val="20"/>
              </w:rPr>
            </w:pPr>
            <w:r w:rsidRPr="0022554A">
              <w:rPr>
                <w:sz w:val="20"/>
              </w:rPr>
              <w:t>14</w:t>
            </w:r>
            <w:bookmarkStart w:id="66" w:name="bold35"/>
            <w:r w:rsidRPr="0022554A">
              <w:rPr>
                <w:bCs/>
                <w:sz w:val="20"/>
              </w:rPr>
              <w:t>*</w:t>
            </w:r>
            <w:bookmarkEnd w:id="66"/>
          </w:p>
        </w:tc>
        <w:tc>
          <w:tcPr>
            <w:tcW w:w="7198" w:type="dxa"/>
          </w:tcPr>
          <w:p w14:paraId="0A8908CD" w14:textId="77777777" w:rsidR="00191A23" w:rsidRPr="0022554A" w:rsidRDefault="00191A23" w:rsidP="00191A23">
            <w:pPr>
              <w:tabs>
                <w:tab w:val="left" w:pos="5400"/>
              </w:tabs>
              <w:rPr>
                <w:sz w:val="20"/>
              </w:rPr>
            </w:pPr>
            <w:r>
              <w:rPr>
                <w:sz w:val="20"/>
              </w:rPr>
              <w:t xml:space="preserve">(a) </w:t>
            </w:r>
            <w:r w:rsidRPr="0022554A">
              <w:rPr>
                <w:sz w:val="20"/>
              </w:rPr>
              <w:t>Give characteristics of study participants (eg demographic, clinical, social) and information on exposures and potential confounders</w:t>
            </w:r>
          </w:p>
        </w:tc>
        <w:tc>
          <w:tcPr>
            <w:tcW w:w="1170" w:type="dxa"/>
          </w:tcPr>
          <w:p w14:paraId="46235F43" w14:textId="097FC73E" w:rsidR="00191A23" w:rsidRDefault="00F47575" w:rsidP="00191A23">
            <w:pPr>
              <w:tabs>
                <w:tab w:val="left" w:pos="5400"/>
              </w:tabs>
              <w:rPr>
                <w:sz w:val="20"/>
              </w:rPr>
            </w:pPr>
            <w:r>
              <w:rPr>
                <w:sz w:val="20"/>
              </w:rPr>
              <w:t>10</w:t>
            </w:r>
          </w:p>
        </w:tc>
        <w:tc>
          <w:tcPr>
            <w:tcW w:w="4354" w:type="dxa"/>
          </w:tcPr>
          <w:p w14:paraId="560A6F6C" w14:textId="777FCC37" w:rsidR="00191A23" w:rsidRPr="001B6945" w:rsidRDefault="001B6945" w:rsidP="00191A23">
            <w:pPr>
              <w:tabs>
                <w:tab w:val="left" w:pos="5400"/>
              </w:tabs>
              <w:rPr>
                <w:sz w:val="20"/>
              </w:rPr>
            </w:pPr>
            <w:r>
              <w:rPr>
                <w:sz w:val="20"/>
              </w:rPr>
              <w:t>…</w:t>
            </w:r>
            <w:r w:rsidR="00F47575">
              <w:t xml:space="preserve"> </w:t>
            </w:r>
            <w:r w:rsidR="00F47575" w:rsidRPr="00F47575">
              <w:rPr>
                <w:sz w:val="20"/>
              </w:rPr>
              <w:t>total cohort comprised of 17,149 workers and 632,726 person-years of follow-up. Members of the cohort were primarily white (95.8%), male (83.4%), hired in 1955 or after, and employed for less than five years (68%) (Table 1). A total of 9,717 deaths occurred by the end of study follow-up.</w:t>
            </w:r>
          </w:p>
        </w:tc>
      </w:tr>
      <w:tr w:rsidR="00191A23" w:rsidRPr="0022554A" w14:paraId="545E23B8" w14:textId="77777777" w:rsidTr="009468D7">
        <w:tc>
          <w:tcPr>
            <w:tcW w:w="0" w:type="auto"/>
            <w:vMerge/>
          </w:tcPr>
          <w:p w14:paraId="55C005F7" w14:textId="77777777" w:rsidR="00191A23" w:rsidRPr="0022554A" w:rsidRDefault="00191A23" w:rsidP="00191A23">
            <w:pPr>
              <w:tabs>
                <w:tab w:val="left" w:pos="5400"/>
              </w:tabs>
              <w:rPr>
                <w:bCs/>
                <w:sz w:val="20"/>
              </w:rPr>
            </w:pPr>
            <w:bookmarkStart w:id="67" w:name="bold36" w:colFirst="0" w:colLast="0"/>
            <w:bookmarkStart w:id="68" w:name="italic36" w:colFirst="0" w:colLast="0"/>
          </w:p>
        </w:tc>
        <w:tc>
          <w:tcPr>
            <w:tcW w:w="0" w:type="auto"/>
            <w:vMerge/>
          </w:tcPr>
          <w:p w14:paraId="42B1A5CE" w14:textId="77777777" w:rsidR="00191A23" w:rsidRPr="0022554A" w:rsidRDefault="00191A23" w:rsidP="00191A23">
            <w:pPr>
              <w:tabs>
                <w:tab w:val="left" w:pos="5400"/>
              </w:tabs>
              <w:jc w:val="center"/>
              <w:rPr>
                <w:sz w:val="20"/>
              </w:rPr>
            </w:pPr>
          </w:p>
        </w:tc>
        <w:tc>
          <w:tcPr>
            <w:tcW w:w="7198" w:type="dxa"/>
          </w:tcPr>
          <w:p w14:paraId="343297D8" w14:textId="77777777" w:rsidR="00191A23" w:rsidRPr="0022554A" w:rsidRDefault="00191A23" w:rsidP="00191A23">
            <w:pPr>
              <w:tabs>
                <w:tab w:val="left" w:pos="5400"/>
              </w:tabs>
              <w:rPr>
                <w:sz w:val="20"/>
              </w:rPr>
            </w:pPr>
            <w:r>
              <w:rPr>
                <w:sz w:val="20"/>
              </w:rPr>
              <w:t xml:space="preserve">(b) </w:t>
            </w:r>
            <w:r w:rsidRPr="0022554A">
              <w:rPr>
                <w:sz w:val="20"/>
              </w:rPr>
              <w:t>Indicate number of participants with missing data for each variable of interest</w:t>
            </w:r>
          </w:p>
        </w:tc>
        <w:tc>
          <w:tcPr>
            <w:tcW w:w="1170" w:type="dxa"/>
          </w:tcPr>
          <w:p w14:paraId="13F8024D" w14:textId="63268264" w:rsidR="00191A23" w:rsidRDefault="001B6945" w:rsidP="00191A23">
            <w:pPr>
              <w:tabs>
                <w:tab w:val="left" w:pos="5400"/>
              </w:tabs>
              <w:rPr>
                <w:sz w:val="20"/>
              </w:rPr>
            </w:pPr>
            <w:r>
              <w:rPr>
                <w:sz w:val="20"/>
              </w:rPr>
              <w:t>5-6</w:t>
            </w:r>
          </w:p>
        </w:tc>
        <w:tc>
          <w:tcPr>
            <w:tcW w:w="4354" w:type="dxa"/>
          </w:tcPr>
          <w:p w14:paraId="2C7D0CBB" w14:textId="0B28AE80" w:rsidR="00191A23" w:rsidRDefault="00097C5A" w:rsidP="00191A23">
            <w:pPr>
              <w:tabs>
                <w:tab w:val="left" w:pos="5400"/>
              </w:tabs>
              <w:rPr>
                <w:sz w:val="20"/>
              </w:rPr>
            </w:pPr>
            <w:r w:rsidRPr="00097C5A">
              <w:rPr>
                <w:sz w:val="20"/>
              </w:rPr>
              <w:t xml:space="preserve">The date of birth, hire date, and termination date were known for each new cohort member, thus no methods were needed to account for missing data in the present cohort expansion </w:t>
            </w:r>
            <w:r>
              <w:rPr>
                <w:sz w:val="20"/>
              </w:rPr>
              <w:t>…</w:t>
            </w:r>
            <w:r w:rsidRPr="00097C5A">
              <w:rPr>
                <w:sz w:val="20"/>
              </w:rPr>
              <w:t>Race was unknown for the majority of the majority of the cohort (~70%) and was weighted in analyses based on cohort members with known race.  Results displayed contain race weighting</w:t>
            </w:r>
          </w:p>
        </w:tc>
      </w:tr>
      <w:tr w:rsidR="00191A23" w:rsidRPr="0022554A" w14:paraId="7A70CCFF" w14:textId="77777777" w:rsidTr="009468D7">
        <w:tc>
          <w:tcPr>
            <w:tcW w:w="0" w:type="auto"/>
            <w:vMerge/>
          </w:tcPr>
          <w:p w14:paraId="3A8D361E" w14:textId="77777777" w:rsidR="00191A23" w:rsidRPr="0022554A" w:rsidRDefault="00191A23" w:rsidP="00191A23">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5661E26E" w14:textId="77777777" w:rsidR="00191A23" w:rsidRPr="0022554A" w:rsidRDefault="00191A23" w:rsidP="00191A23">
            <w:pPr>
              <w:tabs>
                <w:tab w:val="left" w:pos="5400"/>
              </w:tabs>
              <w:jc w:val="center"/>
              <w:rPr>
                <w:sz w:val="20"/>
              </w:rPr>
            </w:pPr>
          </w:p>
        </w:tc>
        <w:tc>
          <w:tcPr>
            <w:tcW w:w="7198" w:type="dxa"/>
          </w:tcPr>
          <w:p w14:paraId="04388562" w14:textId="77777777" w:rsidR="00191A23" w:rsidRPr="0022554A" w:rsidRDefault="00191A23" w:rsidP="00191A23">
            <w:pPr>
              <w:tabs>
                <w:tab w:val="left" w:pos="5400"/>
              </w:tabs>
              <w:rPr>
                <w:sz w:val="20"/>
              </w:rPr>
            </w:pPr>
            <w:r w:rsidRPr="00C713F8">
              <w:rPr>
                <w:sz w:val="20"/>
              </w:rPr>
              <w:t xml:space="preserve">(c) </w:t>
            </w:r>
            <w:r w:rsidRPr="00C713F8">
              <w:rPr>
                <w:i/>
                <w:sz w:val="20"/>
              </w:rPr>
              <w:t>Cohort study</w:t>
            </w:r>
            <w:r w:rsidRPr="00C713F8">
              <w:rPr>
                <w:sz w:val="20"/>
              </w:rPr>
              <w:t>—Summarise follow-up time (eg, average and total amount)</w:t>
            </w:r>
          </w:p>
        </w:tc>
        <w:tc>
          <w:tcPr>
            <w:tcW w:w="1170" w:type="dxa"/>
          </w:tcPr>
          <w:p w14:paraId="0761B7E7" w14:textId="673939A2" w:rsidR="00191A23" w:rsidRDefault="00F47575" w:rsidP="00191A23">
            <w:pPr>
              <w:tabs>
                <w:tab w:val="left" w:pos="5400"/>
              </w:tabs>
              <w:rPr>
                <w:sz w:val="20"/>
              </w:rPr>
            </w:pPr>
            <w:r>
              <w:rPr>
                <w:sz w:val="20"/>
              </w:rPr>
              <w:t>10</w:t>
            </w:r>
          </w:p>
        </w:tc>
        <w:tc>
          <w:tcPr>
            <w:tcW w:w="4354" w:type="dxa"/>
          </w:tcPr>
          <w:p w14:paraId="4AD8CE57" w14:textId="09E7A2D2" w:rsidR="00191A23" w:rsidRDefault="00F47575" w:rsidP="00191A23">
            <w:pPr>
              <w:tabs>
                <w:tab w:val="left" w:pos="5400"/>
              </w:tabs>
              <w:rPr>
                <w:sz w:val="20"/>
              </w:rPr>
            </w:pPr>
            <w:r w:rsidRPr="00F47575">
              <w:rPr>
                <w:sz w:val="20"/>
              </w:rPr>
              <w:t>The current study identified 1,034 additional workers who were eligible for study inclusion and 64,762 additional person-years of follow-up, for a total cohort comprised of 17,149 workers and 632,726 person-years of follow-up</w:t>
            </w:r>
            <w:r>
              <w:rPr>
                <w:sz w:val="20"/>
              </w:rPr>
              <w:t>…</w:t>
            </w:r>
            <w:r w:rsidRPr="00F47575">
              <w:rPr>
                <w:sz w:val="20"/>
              </w:rPr>
              <w:t>A total of 9,717 deaths occurred by the end of study follow-up.</w:t>
            </w:r>
          </w:p>
        </w:tc>
      </w:tr>
      <w:tr w:rsidR="00191A23" w:rsidRPr="0022554A" w14:paraId="6A84840F" w14:textId="77777777" w:rsidTr="009468D7">
        <w:trPr>
          <w:trHeight w:val="295"/>
        </w:trPr>
        <w:tc>
          <w:tcPr>
            <w:tcW w:w="0" w:type="auto"/>
            <w:vMerge w:val="restart"/>
          </w:tcPr>
          <w:p w14:paraId="54755A55" w14:textId="77777777" w:rsidR="00191A23" w:rsidRPr="0022554A" w:rsidRDefault="00191A23" w:rsidP="00191A23">
            <w:pPr>
              <w:tabs>
                <w:tab w:val="left" w:pos="5400"/>
              </w:tabs>
              <w:rPr>
                <w:bCs/>
                <w:sz w:val="20"/>
              </w:rPr>
            </w:pPr>
            <w:bookmarkStart w:id="71" w:name="bold38" w:colFirst="0" w:colLast="0"/>
            <w:bookmarkStart w:id="72" w:name="italic38" w:colFirst="0" w:colLast="0"/>
            <w:bookmarkEnd w:id="69"/>
            <w:bookmarkEnd w:id="70"/>
            <w:r w:rsidRPr="0022554A">
              <w:rPr>
                <w:bCs/>
                <w:sz w:val="20"/>
              </w:rPr>
              <w:t>Outcome data</w:t>
            </w:r>
          </w:p>
        </w:tc>
        <w:tc>
          <w:tcPr>
            <w:tcW w:w="0" w:type="auto"/>
            <w:vMerge w:val="restart"/>
          </w:tcPr>
          <w:p w14:paraId="351746EC" w14:textId="77777777" w:rsidR="00191A23" w:rsidRPr="0022554A" w:rsidRDefault="00191A23" w:rsidP="00191A23">
            <w:pPr>
              <w:tabs>
                <w:tab w:val="left" w:pos="5400"/>
              </w:tabs>
              <w:jc w:val="center"/>
              <w:rPr>
                <w:sz w:val="20"/>
              </w:rPr>
            </w:pPr>
            <w:r w:rsidRPr="0022554A">
              <w:rPr>
                <w:sz w:val="20"/>
              </w:rPr>
              <w:t>15</w:t>
            </w:r>
            <w:bookmarkStart w:id="73" w:name="bold39"/>
            <w:r w:rsidRPr="0022554A">
              <w:rPr>
                <w:bCs/>
                <w:sz w:val="20"/>
              </w:rPr>
              <w:t>*</w:t>
            </w:r>
            <w:bookmarkEnd w:id="73"/>
          </w:p>
        </w:tc>
        <w:tc>
          <w:tcPr>
            <w:tcW w:w="7198" w:type="dxa"/>
          </w:tcPr>
          <w:p w14:paraId="59088F9E" w14:textId="77777777" w:rsidR="00191A23" w:rsidRPr="0022554A" w:rsidRDefault="00191A23" w:rsidP="00191A23">
            <w:pPr>
              <w:tabs>
                <w:tab w:val="left" w:pos="5400"/>
              </w:tabs>
              <w:rPr>
                <w:sz w:val="20"/>
              </w:rPr>
            </w:pPr>
            <w:r w:rsidRPr="00FB02CC">
              <w:rPr>
                <w:i/>
                <w:sz w:val="20"/>
                <w:highlight w:val="yellow"/>
              </w:rPr>
              <w:t>Cohort study</w:t>
            </w:r>
            <w:r w:rsidRPr="0022554A">
              <w:rPr>
                <w:sz w:val="20"/>
              </w:rPr>
              <w:t>—Report numbers of outcome events or summary measures over time</w:t>
            </w:r>
          </w:p>
        </w:tc>
        <w:tc>
          <w:tcPr>
            <w:tcW w:w="1170" w:type="dxa"/>
          </w:tcPr>
          <w:p w14:paraId="387A8FF8" w14:textId="5C5986BF" w:rsidR="00191A23" w:rsidRPr="00064779" w:rsidRDefault="00C713F8" w:rsidP="00191A23">
            <w:pPr>
              <w:tabs>
                <w:tab w:val="left" w:pos="5400"/>
              </w:tabs>
              <w:rPr>
                <w:iCs/>
                <w:sz w:val="20"/>
              </w:rPr>
            </w:pPr>
            <w:r>
              <w:rPr>
                <w:iCs/>
                <w:sz w:val="20"/>
              </w:rPr>
              <w:t>See Tables</w:t>
            </w:r>
          </w:p>
        </w:tc>
        <w:tc>
          <w:tcPr>
            <w:tcW w:w="4354" w:type="dxa"/>
          </w:tcPr>
          <w:p w14:paraId="50F1E254" w14:textId="5506FE15" w:rsidR="00191A23" w:rsidRPr="009468D7" w:rsidRDefault="009468D7" w:rsidP="00191A23">
            <w:pPr>
              <w:tabs>
                <w:tab w:val="left" w:pos="5400"/>
              </w:tabs>
              <w:rPr>
                <w:iCs/>
                <w:sz w:val="20"/>
              </w:rPr>
            </w:pPr>
            <w:r>
              <w:rPr>
                <w:iCs/>
                <w:sz w:val="20"/>
              </w:rPr>
              <w:t>Please see Tables and Supplementary Tables</w:t>
            </w:r>
          </w:p>
        </w:tc>
      </w:tr>
      <w:tr w:rsidR="00191A23" w:rsidRPr="0022554A" w14:paraId="48F2BE5C" w14:textId="77777777" w:rsidTr="009468D7">
        <w:trPr>
          <w:trHeight w:val="294"/>
        </w:trPr>
        <w:tc>
          <w:tcPr>
            <w:tcW w:w="0" w:type="auto"/>
            <w:vMerge/>
          </w:tcPr>
          <w:p w14:paraId="78CB2197" w14:textId="77777777" w:rsidR="00191A23" w:rsidRPr="0022554A" w:rsidRDefault="00191A23" w:rsidP="00191A23">
            <w:pPr>
              <w:tabs>
                <w:tab w:val="left" w:pos="5400"/>
              </w:tabs>
              <w:rPr>
                <w:bCs/>
                <w:sz w:val="20"/>
              </w:rPr>
            </w:pPr>
          </w:p>
        </w:tc>
        <w:tc>
          <w:tcPr>
            <w:tcW w:w="0" w:type="auto"/>
            <w:vMerge/>
          </w:tcPr>
          <w:p w14:paraId="23D49E82" w14:textId="77777777" w:rsidR="00191A23" w:rsidRPr="0022554A" w:rsidRDefault="00191A23" w:rsidP="00191A23">
            <w:pPr>
              <w:tabs>
                <w:tab w:val="left" w:pos="5400"/>
              </w:tabs>
              <w:jc w:val="center"/>
              <w:rPr>
                <w:sz w:val="20"/>
              </w:rPr>
            </w:pPr>
          </w:p>
        </w:tc>
        <w:tc>
          <w:tcPr>
            <w:tcW w:w="7198" w:type="dxa"/>
          </w:tcPr>
          <w:p w14:paraId="2ED1B66C" w14:textId="77777777" w:rsidR="00191A23" w:rsidRPr="0022554A" w:rsidRDefault="00191A23" w:rsidP="00191A23">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170" w:type="dxa"/>
          </w:tcPr>
          <w:p w14:paraId="3E5014DE" w14:textId="77777777" w:rsidR="00191A23" w:rsidRPr="0022554A" w:rsidRDefault="00191A23" w:rsidP="00191A23">
            <w:pPr>
              <w:tabs>
                <w:tab w:val="left" w:pos="5400"/>
              </w:tabs>
              <w:rPr>
                <w:i/>
                <w:sz w:val="20"/>
              </w:rPr>
            </w:pPr>
          </w:p>
        </w:tc>
        <w:tc>
          <w:tcPr>
            <w:tcW w:w="4354" w:type="dxa"/>
          </w:tcPr>
          <w:p w14:paraId="213D5501" w14:textId="77777777" w:rsidR="00191A23" w:rsidRPr="0022554A" w:rsidRDefault="00191A23" w:rsidP="00191A23">
            <w:pPr>
              <w:tabs>
                <w:tab w:val="left" w:pos="5400"/>
              </w:tabs>
              <w:rPr>
                <w:i/>
                <w:sz w:val="20"/>
              </w:rPr>
            </w:pPr>
          </w:p>
        </w:tc>
      </w:tr>
      <w:tr w:rsidR="00191A23" w:rsidRPr="0022554A" w14:paraId="01D83E95" w14:textId="77777777" w:rsidTr="009468D7">
        <w:trPr>
          <w:trHeight w:val="294"/>
        </w:trPr>
        <w:tc>
          <w:tcPr>
            <w:tcW w:w="0" w:type="auto"/>
            <w:vMerge/>
          </w:tcPr>
          <w:p w14:paraId="237DB5B3" w14:textId="77777777" w:rsidR="00191A23" w:rsidRPr="0022554A" w:rsidRDefault="00191A23" w:rsidP="00191A23">
            <w:pPr>
              <w:tabs>
                <w:tab w:val="left" w:pos="5400"/>
              </w:tabs>
              <w:rPr>
                <w:bCs/>
                <w:sz w:val="20"/>
              </w:rPr>
            </w:pPr>
          </w:p>
        </w:tc>
        <w:tc>
          <w:tcPr>
            <w:tcW w:w="0" w:type="auto"/>
            <w:vMerge/>
          </w:tcPr>
          <w:p w14:paraId="28B06B8C" w14:textId="77777777" w:rsidR="00191A23" w:rsidRPr="0022554A" w:rsidRDefault="00191A23" w:rsidP="00191A23">
            <w:pPr>
              <w:tabs>
                <w:tab w:val="left" w:pos="5400"/>
              </w:tabs>
              <w:jc w:val="center"/>
              <w:rPr>
                <w:sz w:val="20"/>
              </w:rPr>
            </w:pPr>
          </w:p>
        </w:tc>
        <w:tc>
          <w:tcPr>
            <w:tcW w:w="7198" w:type="dxa"/>
          </w:tcPr>
          <w:p w14:paraId="131A9355" w14:textId="77777777" w:rsidR="00191A23" w:rsidRPr="0022554A" w:rsidRDefault="00191A23" w:rsidP="00191A23">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170" w:type="dxa"/>
          </w:tcPr>
          <w:p w14:paraId="7D92E391" w14:textId="77777777" w:rsidR="00191A23" w:rsidRDefault="00191A23" w:rsidP="00191A23">
            <w:pPr>
              <w:tabs>
                <w:tab w:val="left" w:pos="5400"/>
              </w:tabs>
              <w:rPr>
                <w:i/>
                <w:sz w:val="20"/>
              </w:rPr>
            </w:pPr>
          </w:p>
        </w:tc>
        <w:tc>
          <w:tcPr>
            <w:tcW w:w="4354" w:type="dxa"/>
          </w:tcPr>
          <w:p w14:paraId="07311AA7" w14:textId="77777777" w:rsidR="00191A23" w:rsidRDefault="00191A23" w:rsidP="00191A23">
            <w:pPr>
              <w:tabs>
                <w:tab w:val="left" w:pos="5400"/>
              </w:tabs>
              <w:rPr>
                <w:i/>
                <w:sz w:val="20"/>
              </w:rPr>
            </w:pPr>
          </w:p>
        </w:tc>
      </w:tr>
      <w:tr w:rsidR="00191A23" w:rsidRPr="0022554A" w14:paraId="25347841" w14:textId="77777777" w:rsidTr="009468D7">
        <w:tc>
          <w:tcPr>
            <w:tcW w:w="0" w:type="auto"/>
            <w:vMerge w:val="restart"/>
          </w:tcPr>
          <w:p w14:paraId="5FE5794C" w14:textId="77777777" w:rsidR="00191A23" w:rsidRPr="0022554A" w:rsidRDefault="00191A23" w:rsidP="00191A23">
            <w:pPr>
              <w:tabs>
                <w:tab w:val="left" w:pos="5400"/>
              </w:tabs>
              <w:rPr>
                <w:bCs/>
                <w:sz w:val="20"/>
              </w:rPr>
            </w:pPr>
            <w:bookmarkStart w:id="74" w:name="italic40" w:colFirst="0" w:colLast="0"/>
            <w:bookmarkStart w:id="75" w:name="bold41" w:colFirst="0" w:colLast="0"/>
            <w:bookmarkEnd w:id="71"/>
            <w:bookmarkEnd w:id="72"/>
            <w:r w:rsidRPr="0022554A">
              <w:rPr>
                <w:bCs/>
                <w:sz w:val="20"/>
              </w:rPr>
              <w:t>Main results</w:t>
            </w:r>
          </w:p>
        </w:tc>
        <w:tc>
          <w:tcPr>
            <w:tcW w:w="0" w:type="auto"/>
            <w:vMerge w:val="restart"/>
          </w:tcPr>
          <w:p w14:paraId="016B4809" w14:textId="77777777" w:rsidR="00191A23" w:rsidRPr="0022554A" w:rsidRDefault="00191A23" w:rsidP="00191A23">
            <w:pPr>
              <w:tabs>
                <w:tab w:val="left" w:pos="5400"/>
              </w:tabs>
              <w:jc w:val="center"/>
              <w:rPr>
                <w:sz w:val="20"/>
              </w:rPr>
            </w:pPr>
            <w:r w:rsidRPr="0022554A">
              <w:rPr>
                <w:sz w:val="20"/>
              </w:rPr>
              <w:t>16</w:t>
            </w:r>
          </w:p>
        </w:tc>
        <w:tc>
          <w:tcPr>
            <w:tcW w:w="7198" w:type="dxa"/>
          </w:tcPr>
          <w:p w14:paraId="0BB72936" w14:textId="77777777" w:rsidR="00191A23" w:rsidRPr="006149D3" w:rsidRDefault="00191A23" w:rsidP="00191A23">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1170" w:type="dxa"/>
          </w:tcPr>
          <w:p w14:paraId="0CB4A8FB" w14:textId="6034A4E0" w:rsidR="00191A23" w:rsidRPr="0022554A" w:rsidRDefault="00D17F4D" w:rsidP="00191A23">
            <w:pPr>
              <w:tabs>
                <w:tab w:val="left" w:pos="5400"/>
              </w:tabs>
              <w:rPr>
                <w:sz w:val="20"/>
              </w:rPr>
            </w:pPr>
            <w:r>
              <w:rPr>
                <w:sz w:val="20"/>
              </w:rPr>
              <w:t>10</w:t>
            </w:r>
            <w:r w:rsidR="00064779">
              <w:rPr>
                <w:sz w:val="20"/>
              </w:rPr>
              <w:t>-1</w:t>
            </w:r>
            <w:r>
              <w:rPr>
                <w:sz w:val="20"/>
              </w:rPr>
              <w:t>9</w:t>
            </w:r>
            <w:r w:rsidR="00FB02CC">
              <w:rPr>
                <w:sz w:val="20"/>
              </w:rPr>
              <w:t>, Tables</w:t>
            </w:r>
          </w:p>
        </w:tc>
        <w:tc>
          <w:tcPr>
            <w:tcW w:w="4354" w:type="dxa"/>
          </w:tcPr>
          <w:p w14:paraId="09C3522F" w14:textId="07B3EBA9" w:rsidR="00191A23" w:rsidRPr="0022554A" w:rsidRDefault="009468D7" w:rsidP="00191A23">
            <w:pPr>
              <w:tabs>
                <w:tab w:val="left" w:pos="5400"/>
              </w:tabs>
              <w:rPr>
                <w:sz w:val="20"/>
              </w:rPr>
            </w:pPr>
            <w:r>
              <w:rPr>
                <w:sz w:val="20"/>
              </w:rPr>
              <w:t>Please see Tables and Supplementary Tables</w:t>
            </w:r>
          </w:p>
        </w:tc>
      </w:tr>
      <w:tr w:rsidR="00191A23" w:rsidRPr="0022554A" w14:paraId="76608451" w14:textId="77777777" w:rsidTr="009468D7">
        <w:tc>
          <w:tcPr>
            <w:tcW w:w="0" w:type="auto"/>
            <w:vMerge/>
          </w:tcPr>
          <w:p w14:paraId="68F62705" w14:textId="77777777" w:rsidR="00191A23" w:rsidRPr="0022554A" w:rsidRDefault="00191A23" w:rsidP="00191A23">
            <w:pPr>
              <w:tabs>
                <w:tab w:val="left" w:pos="5400"/>
              </w:tabs>
              <w:rPr>
                <w:bCs/>
                <w:sz w:val="20"/>
              </w:rPr>
            </w:pPr>
            <w:bookmarkStart w:id="76" w:name="italic41" w:colFirst="0" w:colLast="0"/>
            <w:bookmarkStart w:id="77" w:name="bold42" w:colFirst="0" w:colLast="0"/>
            <w:bookmarkEnd w:id="74"/>
            <w:bookmarkEnd w:id="75"/>
          </w:p>
        </w:tc>
        <w:tc>
          <w:tcPr>
            <w:tcW w:w="0" w:type="auto"/>
            <w:vMerge/>
          </w:tcPr>
          <w:p w14:paraId="4643E55D" w14:textId="77777777" w:rsidR="00191A23" w:rsidRPr="0022554A" w:rsidRDefault="00191A23" w:rsidP="00191A23">
            <w:pPr>
              <w:tabs>
                <w:tab w:val="left" w:pos="5400"/>
              </w:tabs>
              <w:jc w:val="center"/>
              <w:rPr>
                <w:sz w:val="20"/>
              </w:rPr>
            </w:pPr>
          </w:p>
        </w:tc>
        <w:tc>
          <w:tcPr>
            <w:tcW w:w="7198" w:type="dxa"/>
          </w:tcPr>
          <w:p w14:paraId="35C2EA37" w14:textId="77777777" w:rsidR="00191A23" w:rsidRPr="006149D3" w:rsidRDefault="00191A23" w:rsidP="00191A23">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170" w:type="dxa"/>
          </w:tcPr>
          <w:p w14:paraId="11A01A1F" w14:textId="40ECB619" w:rsidR="00191A23" w:rsidRPr="0022554A" w:rsidRDefault="00611725" w:rsidP="00191A23">
            <w:pPr>
              <w:tabs>
                <w:tab w:val="left" w:pos="5400"/>
              </w:tabs>
              <w:rPr>
                <w:sz w:val="20"/>
              </w:rPr>
            </w:pPr>
            <w:r>
              <w:rPr>
                <w:sz w:val="20"/>
              </w:rPr>
              <w:t>11-12</w:t>
            </w:r>
            <w:r w:rsidR="00DA6906">
              <w:rPr>
                <w:sz w:val="20"/>
              </w:rPr>
              <w:t>, Tables</w:t>
            </w:r>
          </w:p>
        </w:tc>
        <w:tc>
          <w:tcPr>
            <w:tcW w:w="4354" w:type="dxa"/>
          </w:tcPr>
          <w:p w14:paraId="4171B51A" w14:textId="77777777" w:rsidR="00611725" w:rsidRPr="00611725" w:rsidRDefault="00611725" w:rsidP="00611725">
            <w:pPr>
              <w:pStyle w:val="ListParagraph"/>
              <w:numPr>
                <w:ilvl w:val="0"/>
                <w:numId w:val="22"/>
              </w:numPr>
              <w:tabs>
                <w:tab w:val="left" w:pos="5400"/>
              </w:tabs>
              <w:ind w:left="258"/>
              <w:rPr>
                <w:sz w:val="20"/>
              </w:rPr>
            </w:pPr>
            <w:r w:rsidRPr="00611725">
              <w:rPr>
                <w:sz w:val="20"/>
              </w:rPr>
              <w:t>Length of employment analysis…greater than one year…</w:t>
            </w:r>
            <w:r>
              <w:t xml:space="preserve"> </w:t>
            </w:r>
            <w:r w:rsidRPr="00611725">
              <w:rPr>
                <w:sz w:val="20"/>
              </w:rPr>
              <w:t>Sensitivity analyses of short-term workers (employed less than one year), further stratified length of employment into sub-categories (less than one month, less than three months, less than one year)</w:t>
            </w:r>
          </w:p>
          <w:p w14:paraId="4616DE72" w14:textId="072969E5" w:rsidR="00191A23" w:rsidRPr="00611725" w:rsidRDefault="00611725" w:rsidP="00611725">
            <w:pPr>
              <w:pStyle w:val="ListParagraph"/>
              <w:numPr>
                <w:ilvl w:val="0"/>
                <w:numId w:val="22"/>
              </w:numPr>
              <w:tabs>
                <w:tab w:val="left" w:pos="5400"/>
              </w:tabs>
              <w:ind w:left="258"/>
              <w:rPr>
                <w:sz w:val="20"/>
              </w:rPr>
            </w:pPr>
            <w:r>
              <w:rPr>
                <w:sz w:val="20"/>
              </w:rPr>
              <w:t>Period of hire analysis…</w:t>
            </w:r>
            <w:r>
              <w:t xml:space="preserve"> </w:t>
            </w:r>
            <w:r w:rsidRPr="00611725">
              <w:rPr>
                <w:sz w:val="20"/>
              </w:rPr>
              <w:t>hired pre 1955 and 1955 and later</w:t>
            </w:r>
          </w:p>
        </w:tc>
      </w:tr>
      <w:tr w:rsidR="00191A23" w:rsidRPr="0022554A" w14:paraId="664618E3" w14:textId="77777777" w:rsidTr="009468D7">
        <w:tc>
          <w:tcPr>
            <w:tcW w:w="0" w:type="auto"/>
            <w:vMerge/>
          </w:tcPr>
          <w:p w14:paraId="6FC10D83" w14:textId="77777777" w:rsidR="00191A23" w:rsidRPr="0022554A" w:rsidRDefault="00191A23" w:rsidP="00191A23">
            <w:pPr>
              <w:tabs>
                <w:tab w:val="left" w:pos="5400"/>
              </w:tabs>
              <w:rPr>
                <w:bCs/>
                <w:sz w:val="20"/>
              </w:rPr>
            </w:pPr>
            <w:bookmarkStart w:id="78" w:name="italic42" w:colFirst="0" w:colLast="0"/>
            <w:bookmarkStart w:id="79" w:name="bold43" w:colFirst="0" w:colLast="0"/>
            <w:bookmarkEnd w:id="76"/>
            <w:bookmarkEnd w:id="77"/>
          </w:p>
        </w:tc>
        <w:tc>
          <w:tcPr>
            <w:tcW w:w="0" w:type="auto"/>
            <w:vMerge/>
          </w:tcPr>
          <w:p w14:paraId="5C303E9E" w14:textId="77777777" w:rsidR="00191A23" w:rsidRPr="0022554A" w:rsidRDefault="00191A23" w:rsidP="00191A23">
            <w:pPr>
              <w:tabs>
                <w:tab w:val="left" w:pos="5400"/>
              </w:tabs>
              <w:jc w:val="center"/>
              <w:rPr>
                <w:sz w:val="20"/>
              </w:rPr>
            </w:pPr>
          </w:p>
        </w:tc>
        <w:tc>
          <w:tcPr>
            <w:tcW w:w="7198" w:type="dxa"/>
          </w:tcPr>
          <w:p w14:paraId="41DF201F" w14:textId="77777777" w:rsidR="00191A23" w:rsidRPr="006149D3" w:rsidRDefault="00191A23" w:rsidP="00191A23">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w:t>
            </w:r>
            <w:r w:rsidRPr="006149D3">
              <w:rPr>
                <w:sz w:val="20"/>
              </w:rPr>
              <w:lastRenderedPageBreak/>
              <w:t>meaningful time period</w:t>
            </w:r>
          </w:p>
        </w:tc>
        <w:tc>
          <w:tcPr>
            <w:tcW w:w="1170" w:type="dxa"/>
          </w:tcPr>
          <w:p w14:paraId="27E00E3E" w14:textId="522F19C5" w:rsidR="00191A23" w:rsidRPr="0022554A" w:rsidRDefault="00064779" w:rsidP="00191A23">
            <w:pPr>
              <w:tabs>
                <w:tab w:val="left" w:pos="5400"/>
              </w:tabs>
              <w:rPr>
                <w:sz w:val="20"/>
              </w:rPr>
            </w:pPr>
            <w:r>
              <w:rPr>
                <w:sz w:val="20"/>
              </w:rPr>
              <w:lastRenderedPageBreak/>
              <w:t>NA</w:t>
            </w:r>
          </w:p>
        </w:tc>
        <w:tc>
          <w:tcPr>
            <w:tcW w:w="4354" w:type="dxa"/>
          </w:tcPr>
          <w:p w14:paraId="598F3737" w14:textId="77777777" w:rsidR="00191A23" w:rsidRPr="0022554A" w:rsidRDefault="00191A23" w:rsidP="00191A23">
            <w:pPr>
              <w:tabs>
                <w:tab w:val="left" w:pos="5400"/>
              </w:tabs>
              <w:rPr>
                <w:sz w:val="20"/>
              </w:rPr>
            </w:pPr>
          </w:p>
        </w:tc>
      </w:tr>
    </w:tbl>
    <w:p w14:paraId="2A35A97D" w14:textId="77777777" w:rsidR="00191A23" w:rsidRDefault="00191A23">
      <w:bookmarkStart w:id="80" w:name="italic43"/>
      <w:bookmarkStart w:id="81" w:name="bold44"/>
      <w:bookmarkEnd w:id="78"/>
      <w:bookmarkEnd w:id="79"/>
      <w:proofErr w:type="gramStart"/>
      <w:r w:rsidRPr="004A32C8">
        <w:rPr>
          <w:sz w:val="16"/>
          <w:szCs w:val="16"/>
        </w:rPr>
        <w:t>Continued on</w:t>
      </w:r>
      <w:proofErr w:type="gramEnd"/>
      <w:r w:rsidRPr="004A32C8">
        <w:rPr>
          <w:sz w:val="16"/>
          <w:szCs w:val="16"/>
        </w:rPr>
        <w:t xml:space="preserve">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4"/>
        <w:gridCol w:w="416"/>
        <w:gridCol w:w="8644"/>
        <w:gridCol w:w="1316"/>
        <w:gridCol w:w="3122"/>
      </w:tblGrid>
      <w:tr w:rsidR="00191A23" w:rsidRPr="0022554A" w14:paraId="28743D68" w14:textId="77777777" w:rsidTr="00517788">
        <w:tc>
          <w:tcPr>
            <w:tcW w:w="0" w:type="auto"/>
          </w:tcPr>
          <w:p w14:paraId="67B3DEE6" w14:textId="77777777" w:rsidR="00191A23" w:rsidRPr="0022554A" w:rsidRDefault="00191A23" w:rsidP="00191A23">
            <w:pPr>
              <w:tabs>
                <w:tab w:val="left" w:pos="5400"/>
              </w:tabs>
              <w:rPr>
                <w:bCs/>
                <w:sz w:val="20"/>
              </w:rPr>
            </w:pPr>
            <w:r w:rsidRPr="0022554A">
              <w:rPr>
                <w:bCs/>
                <w:sz w:val="20"/>
              </w:rPr>
              <w:lastRenderedPageBreak/>
              <w:t>Other analyses</w:t>
            </w:r>
            <w:bookmarkEnd w:id="80"/>
            <w:bookmarkEnd w:id="81"/>
          </w:p>
        </w:tc>
        <w:tc>
          <w:tcPr>
            <w:tcW w:w="0" w:type="auto"/>
          </w:tcPr>
          <w:p w14:paraId="7A7B0A1F" w14:textId="77777777" w:rsidR="00191A23" w:rsidRPr="0022554A" w:rsidRDefault="00191A23" w:rsidP="00191A23">
            <w:pPr>
              <w:tabs>
                <w:tab w:val="left" w:pos="5400"/>
              </w:tabs>
              <w:jc w:val="center"/>
              <w:rPr>
                <w:sz w:val="20"/>
              </w:rPr>
            </w:pPr>
            <w:r w:rsidRPr="0022554A">
              <w:rPr>
                <w:sz w:val="20"/>
              </w:rPr>
              <w:t>17</w:t>
            </w:r>
          </w:p>
        </w:tc>
        <w:tc>
          <w:tcPr>
            <w:tcW w:w="8687" w:type="dxa"/>
          </w:tcPr>
          <w:p w14:paraId="5D404F08" w14:textId="77777777" w:rsidR="00191A23" w:rsidRPr="0022554A" w:rsidRDefault="00191A23" w:rsidP="00191A23">
            <w:pPr>
              <w:tabs>
                <w:tab w:val="left" w:pos="5400"/>
              </w:tabs>
              <w:rPr>
                <w:sz w:val="20"/>
              </w:rPr>
            </w:pPr>
            <w:r w:rsidRPr="0022554A">
              <w:rPr>
                <w:sz w:val="20"/>
              </w:rPr>
              <w:t>Report other analyses done—eg analyses of subgroups and interactions, and sensitivity analyses</w:t>
            </w:r>
          </w:p>
        </w:tc>
        <w:tc>
          <w:tcPr>
            <w:tcW w:w="1265" w:type="dxa"/>
          </w:tcPr>
          <w:p w14:paraId="0724C4D8" w14:textId="6EA41186" w:rsidR="00191A23" w:rsidRPr="0022554A" w:rsidRDefault="00DA6906" w:rsidP="00191A23">
            <w:pPr>
              <w:tabs>
                <w:tab w:val="left" w:pos="5400"/>
              </w:tabs>
              <w:rPr>
                <w:sz w:val="20"/>
              </w:rPr>
            </w:pPr>
            <w:r>
              <w:rPr>
                <w:sz w:val="20"/>
              </w:rPr>
              <w:t>11-1</w:t>
            </w:r>
            <w:r w:rsidR="00611725">
              <w:rPr>
                <w:sz w:val="20"/>
              </w:rPr>
              <w:t>9</w:t>
            </w:r>
            <w:r>
              <w:rPr>
                <w:sz w:val="20"/>
              </w:rPr>
              <w:t>, Tables 4-6, Supplemental Tables</w:t>
            </w:r>
          </w:p>
        </w:tc>
        <w:tc>
          <w:tcPr>
            <w:tcW w:w="3129" w:type="dxa"/>
          </w:tcPr>
          <w:p w14:paraId="28A04B44" w14:textId="1A9A4B0E" w:rsidR="00191A23" w:rsidRPr="0022554A" w:rsidRDefault="009468D7" w:rsidP="00191A23">
            <w:pPr>
              <w:tabs>
                <w:tab w:val="left" w:pos="5400"/>
              </w:tabs>
              <w:rPr>
                <w:sz w:val="20"/>
              </w:rPr>
            </w:pPr>
            <w:r>
              <w:rPr>
                <w:sz w:val="20"/>
              </w:rPr>
              <w:t>Please see Tables and Supplementary Tables</w:t>
            </w:r>
          </w:p>
        </w:tc>
      </w:tr>
      <w:tr w:rsidR="00976EE1" w:rsidRPr="0022554A" w14:paraId="4093E7B9" w14:textId="77777777" w:rsidTr="00191A23">
        <w:tc>
          <w:tcPr>
            <w:tcW w:w="14992" w:type="dxa"/>
            <w:gridSpan w:val="5"/>
          </w:tcPr>
          <w:p w14:paraId="0E64801F" w14:textId="77777777" w:rsidR="00976EE1" w:rsidRPr="0022554A" w:rsidRDefault="00976EE1" w:rsidP="00191A23">
            <w:pPr>
              <w:pStyle w:val="TableSubHead"/>
              <w:tabs>
                <w:tab w:val="left" w:pos="5400"/>
              </w:tabs>
              <w:rPr>
                <w:sz w:val="20"/>
              </w:rPr>
            </w:pPr>
            <w:bookmarkStart w:id="82" w:name="italic44"/>
            <w:bookmarkStart w:id="83" w:name="bold45"/>
            <w:r w:rsidRPr="0022554A">
              <w:rPr>
                <w:sz w:val="20"/>
              </w:rPr>
              <w:t>Discussion</w:t>
            </w:r>
            <w:bookmarkEnd w:id="82"/>
            <w:bookmarkEnd w:id="83"/>
          </w:p>
        </w:tc>
      </w:tr>
      <w:tr w:rsidR="00191A23" w:rsidRPr="0022554A" w14:paraId="78C3E197" w14:textId="77777777" w:rsidTr="00517788">
        <w:tc>
          <w:tcPr>
            <w:tcW w:w="0" w:type="auto"/>
          </w:tcPr>
          <w:p w14:paraId="052D8279" w14:textId="77777777" w:rsidR="00191A23" w:rsidRPr="0022554A" w:rsidRDefault="00191A23" w:rsidP="00191A23">
            <w:pPr>
              <w:tabs>
                <w:tab w:val="left" w:pos="5400"/>
              </w:tabs>
              <w:rPr>
                <w:bCs/>
                <w:sz w:val="20"/>
              </w:rPr>
            </w:pPr>
            <w:bookmarkStart w:id="84" w:name="italic45" w:colFirst="0" w:colLast="0"/>
            <w:bookmarkStart w:id="85" w:name="bold46" w:colFirst="0" w:colLast="0"/>
            <w:r w:rsidRPr="0022554A">
              <w:rPr>
                <w:bCs/>
                <w:sz w:val="20"/>
              </w:rPr>
              <w:t>Key results</w:t>
            </w:r>
          </w:p>
        </w:tc>
        <w:tc>
          <w:tcPr>
            <w:tcW w:w="0" w:type="auto"/>
          </w:tcPr>
          <w:p w14:paraId="3DF2FC67" w14:textId="77777777" w:rsidR="00191A23" w:rsidRPr="0022554A" w:rsidRDefault="00191A23" w:rsidP="00191A23">
            <w:pPr>
              <w:tabs>
                <w:tab w:val="left" w:pos="5400"/>
              </w:tabs>
              <w:jc w:val="center"/>
              <w:rPr>
                <w:sz w:val="20"/>
              </w:rPr>
            </w:pPr>
            <w:r w:rsidRPr="0022554A">
              <w:rPr>
                <w:sz w:val="20"/>
              </w:rPr>
              <w:t>18</w:t>
            </w:r>
          </w:p>
        </w:tc>
        <w:tc>
          <w:tcPr>
            <w:tcW w:w="8687" w:type="dxa"/>
          </w:tcPr>
          <w:p w14:paraId="2DC9C7D9"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31048DCD" w14:textId="28026ADC" w:rsidR="00191A23" w:rsidRPr="0022554A" w:rsidRDefault="00F47575" w:rsidP="00191A23">
            <w:pPr>
              <w:tabs>
                <w:tab w:val="left" w:pos="5400"/>
              </w:tabs>
              <w:rPr>
                <w:sz w:val="20"/>
              </w:rPr>
            </w:pPr>
            <w:r>
              <w:rPr>
                <w:sz w:val="20"/>
              </w:rPr>
              <w:t xml:space="preserve">20, </w:t>
            </w:r>
            <w:r w:rsidR="007500E5">
              <w:rPr>
                <w:sz w:val="20"/>
              </w:rPr>
              <w:t>22</w:t>
            </w:r>
            <w:r>
              <w:rPr>
                <w:sz w:val="20"/>
              </w:rPr>
              <w:t>, 23</w:t>
            </w:r>
          </w:p>
        </w:tc>
        <w:tc>
          <w:tcPr>
            <w:tcW w:w="3129" w:type="dxa"/>
          </w:tcPr>
          <w:p w14:paraId="16C0AD45" w14:textId="21BC517C" w:rsidR="00191A23" w:rsidRPr="0022554A" w:rsidRDefault="00DA6906" w:rsidP="00191A23">
            <w:pPr>
              <w:tabs>
                <w:tab w:val="left" w:pos="5400"/>
              </w:tabs>
              <w:rPr>
                <w:sz w:val="20"/>
              </w:rPr>
            </w:pPr>
            <w:r w:rsidRPr="00DA6906">
              <w:rPr>
                <w:sz w:val="20"/>
              </w:rPr>
              <w:t xml:space="preserve">The present analysis updates follow-up and expands the largest cohort of beryllium workers studied to date.  </w:t>
            </w:r>
            <w:proofErr w:type="gramStart"/>
            <w:r w:rsidRPr="00DA6906">
              <w:rPr>
                <w:sz w:val="20"/>
              </w:rPr>
              <w:t>The majority of</w:t>
            </w:r>
            <w:proofErr w:type="gramEnd"/>
            <w:r w:rsidRPr="00DA6906">
              <w:rPr>
                <w:sz w:val="20"/>
              </w:rPr>
              <w:t xml:space="preserve"> causes of death evaluated were not elevated compared to the US population</w:t>
            </w:r>
            <w:r w:rsidR="00E878F5">
              <w:rPr>
                <w:sz w:val="20"/>
              </w:rPr>
              <w:t>…</w:t>
            </w:r>
            <w:r w:rsidR="00E878F5" w:rsidRPr="00E878F5">
              <w:rPr>
                <w:sz w:val="20"/>
              </w:rPr>
              <w:t>In the general analysis, ONMRD was elevated for the total cohort and for both male and female workers. These elevations were present among workers in facilities with mixed beryllium exposure, but not in workers with insoluble beryllium exposure</w:t>
            </w:r>
            <w:r w:rsidR="00E878F5">
              <w:rPr>
                <w:sz w:val="20"/>
              </w:rPr>
              <w:t>…</w:t>
            </w:r>
            <w:r w:rsidR="00E878F5">
              <w:t xml:space="preserve"> </w:t>
            </w:r>
            <w:r w:rsidR="00E878F5" w:rsidRPr="00E878F5">
              <w:rPr>
                <w:sz w:val="20"/>
              </w:rPr>
              <w:t xml:space="preserve">When </w:t>
            </w:r>
            <w:proofErr w:type="spellStart"/>
            <w:r w:rsidR="00E878F5" w:rsidRPr="00E878F5">
              <w:rPr>
                <w:sz w:val="20"/>
              </w:rPr>
              <w:t>analyzed</w:t>
            </w:r>
            <w:proofErr w:type="spellEnd"/>
            <w:r w:rsidR="00E878F5" w:rsidRPr="00E878F5">
              <w:rPr>
                <w:sz w:val="20"/>
              </w:rPr>
              <w:t xml:space="preserve"> by period of hire, statistically significant SMRs were observed among workers with mixed beryllium exposure hired prior to 1955</w:t>
            </w:r>
            <w:r w:rsidR="00E878F5">
              <w:rPr>
                <w:sz w:val="20"/>
              </w:rPr>
              <w:t>…</w:t>
            </w:r>
            <w:r w:rsidR="00E878F5" w:rsidRPr="007500E5">
              <w:rPr>
                <w:sz w:val="20"/>
              </w:rPr>
              <w:t xml:space="preserve"> </w:t>
            </w:r>
            <w:r w:rsidR="007500E5" w:rsidRPr="007500E5">
              <w:rPr>
                <w:sz w:val="20"/>
              </w:rPr>
              <w:t xml:space="preserve">Lung cancer mortality was elevated in all workers with exposure to mixed beryllium. Additional analyses of mixed beryllium facility workers also revealed elevated lung cancer mortality among those who had been hired prior to 1955 as well as </w:t>
            </w:r>
            <w:r w:rsidR="007500E5" w:rsidRPr="007500E5">
              <w:rPr>
                <w:sz w:val="20"/>
              </w:rPr>
              <w:lastRenderedPageBreak/>
              <w:t xml:space="preserve">short-term workers (less than one year of </w:t>
            </w:r>
            <w:proofErr w:type="gramStart"/>
            <w:r w:rsidR="007500E5" w:rsidRPr="007500E5">
              <w:rPr>
                <w:sz w:val="20"/>
              </w:rPr>
              <w:t>employment)…</w:t>
            </w:r>
            <w:proofErr w:type="gramEnd"/>
            <w:r w:rsidR="007500E5" w:rsidRPr="007500E5">
              <w:rPr>
                <w:sz w:val="20"/>
              </w:rPr>
              <w:t xml:space="preserve"> </w:t>
            </w:r>
            <w:r w:rsidR="00E878F5" w:rsidRPr="00E878F5">
              <w:rPr>
                <w:sz w:val="20"/>
              </w:rPr>
              <w:t>Significantly elevated mortality risks for select causes of death were only observed among facilities where both soluble and insoluble forms beryllium had been processed (mixed facilities).</w:t>
            </w:r>
          </w:p>
        </w:tc>
      </w:tr>
      <w:tr w:rsidR="00191A23" w:rsidRPr="0022554A" w14:paraId="1AF38CAD" w14:textId="77777777" w:rsidTr="00517788">
        <w:tc>
          <w:tcPr>
            <w:tcW w:w="0" w:type="auto"/>
          </w:tcPr>
          <w:p w14:paraId="0DB26089" w14:textId="77777777" w:rsidR="00191A23" w:rsidRPr="0022554A" w:rsidRDefault="00191A23" w:rsidP="00191A23">
            <w:pPr>
              <w:tabs>
                <w:tab w:val="left" w:pos="5400"/>
              </w:tabs>
              <w:rPr>
                <w:bCs/>
                <w:sz w:val="20"/>
              </w:rPr>
            </w:pPr>
            <w:bookmarkStart w:id="86" w:name="italic46" w:colFirst="0" w:colLast="0"/>
            <w:bookmarkStart w:id="87" w:name="bold47" w:colFirst="0" w:colLast="0"/>
            <w:bookmarkEnd w:id="84"/>
            <w:bookmarkEnd w:id="85"/>
            <w:r w:rsidRPr="0022554A">
              <w:rPr>
                <w:bCs/>
                <w:sz w:val="20"/>
              </w:rPr>
              <w:lastRenderedPageBreak/>
              <w:t>Limitations</w:t>
            </w:r>
          </w:p>
        </w:tc>
        <w:tc>
          <w:tcPr>
            <w:tcW w:w="0" w:type="auto"/>
          </w:tcPr>
          <w:p w14:paraId="0F2E12DB" w14:textId="77777777" w:rsidR="00191A23" w:rsidRPr="0022554A" w:rsidRDefault="00191A23" w:rsidP="00191A23">
            <w:pPr>
              <w:tabs>
                <w:tab w:val="left" w:pos="5400"/>
              </w:tabs>
              <w:jc w:val="center"/>
              <w:rPr>
                <w:sz w:val="20"/>
              </w:rPr>
            </w:pPr>
            <w:r w:rsidRPr="0022554A">
              <w:rPr>
                <w:sz w:val="20"/>
              </w:rPr>
              <w:t>19</w:t>
            </w:r>
          </w:p>
        </w:tc>
        <w:tc>
          <w:tcPr>
            <w:tcW w:w="8687" w:type="dxa"/>
          </w:tcPr>
          <w:p w14:paraId="7596200A" w14:textId="77777777" w:rsidR="00191A23" w:rsidRPr="0022554A" w:rsidRDefault="00191A23"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1265" w:type="dxa"/>
          </w:tcPr>
          <w:p w14:paraId="1B582096" w14:textId="5D722E1A" w:rsidR="00191A23" w:rsidRPr="0022554A" w:rsidRDefault="008404AA" w:rsidP="00191A23">
            <w:pPr>
              <w:tabs>
                <w:tab w:val="left" w:pos="5400"/>
              </w:tabs>
              <w:rPr>
                <w:sz w:val="20"/>
              </w:rPr>
            </w:pPr>
            <w:r>
              <w:rPr>
                <w:sz w:val="20"/>
              </w:rPr>
              <w:t>20-27</w:t>
            </w:r>
          </w:p>
        </w:tc>
        <w:tc>
          <w:tcPr>
            <w:tcW w:w="3129" w:type="dxa"/>
          </w:tcPr>
          <w:p w14:paraId="1EE6E533" w14:textId="5BA00111" w:rsidR="00191A23" w:rsidRPr="0022554A" w:rsidRDefault="00F47575" w:rsidP="00191A23">
            <w:pPr>
              <w:tabs>
                <w:tab w:val="left" w:pos="5400"/>
              </w:tabs>
              <w:rPr>
                <w:sz w:val="20"/>
              </w:rPr>
            </w:pPr>
            <w:r w:rsidRPr="00F47575">
              <w:rPr>
                <w:sz w:val="20"/>
              </w:rPr>
              <w:t>Still, the current study utilized the ONMRD mortality grouping due to concern that a portion of deaths due to beryllium disease could be misclassified as other ONMRD diseases, such as “lung diseases due to external agents” (N=55), and “interstitial lung diseases” (N=47)</w:t>
            </w:r>
            <w:r w:rsidR="008404AA">
              <w:rPr>
                <w:sz w:val="20"/>
              </w:rPr>
              <w:t>…</w:t>
            </w:r>
            <w:r w:rsidR="00DA6906" w:rsidRPr="00DA6906">
              <w:rPr>
                <w:sz w:val="20"/>
              </w:rPr>
              <w:t xml:space="preserve"> Additionally, due to limitations of the mortality data published by CDC Wonder (suppression of small data counts across demographic categories to avoid revealing the identities of individual people), we were unable to calculate appropriate reference rates and corresponding separate SMRs for berylliosis or CBD</w:t>
            </w:r>
            <w:r w:rsidR="00DA6906">
              <w:rPr>
                <w:sz w:val="20"/>
              </w:rPr>
              <w:t>…</w:t>
            </w:r>
            <w:r w:rsidR="00DA6906">
              <w:t xml:space="preserve"> </w:t>
            </w:r>
            <w:r w:rsidR="008404AA" w:rsidRPr="008404AA">
              <w:rPr>
                <w:sz w:val="20"/>
              </w:rPr>
              <w:t>Conclusions made regarding CBD or berylliosis based on our findings presented on the broader ONMRD category are cautioned, given the potential diluting effect of the broader ONMRD grouping.</w:t>
            </w:r>
            <w:r w:rsidR="00DA6906" w:rsidRPr="00DA6906">
              <w:rPr>
                <w:sz w:val="20"/>
              </w:rPr>
              <w:t xml:space="preserve">. </w:t>
            </w:r>
            <w:r w:rsidR="00DA6906" w:rsidRPr="00DA6906">
              <w:rPr>
                <w:sz w:val="20"/>
              </w:rPr>
              <w:lastRenderedPageBreak/>
              <w:t>Unfortunately, it was not possible to run SMR analyses excluding this group of deaths, due to similar data limitations as mentioned above</w:t>
            </w:r>
            <w:r w:rsidR="00DA6906">
              <w:rPr>
                <w:sz w:val="20"/>
              </w:rPr>
              <w:t>…</w:t>
            </w:r>
            <w:r w:rsidR="008404AA">
              <w:t xml:space="preserve"> </w:t>
            </w:r>
            <w:r w:rsidR="008404AA" w:rsidRPr="008404AA">
              <w:rPr>
                <w:sz w:val="20"/>
              </w:rPr>
              <w:t>The lack of quantitative exposure data is a limitation of our current study</w:t>
            </w:r>
            <w:r w:rsidR="008404AA">
              <w:rPr>
                <w:sz w:val="20"/>
              </w:rPr>
              <w:t>…</w:t>
            </w:r>
            <w:r w:rsidR="008404AA" w:rsidRPr="008404AA">
              <w:rPr>
                <w:sz w:val="20"/>
              </w:rPr>
              <w:t>this may represent a source of exposure misclassification for those workers at mixed facilities who had no exposure to soluble forms of beryllium</w:t>
            </w:r>
            <w:r w:rsidR="008404AA">
              <w:rPr>
                <w:sz w:val="20"/>
              </w:rPr>
              <w:t>…</w:t>
            </w:r>
            <w:r w:rsidR="008404AA">
              <w:t xml:space="preserve"> </w:t>
            </w:r>
            <w:r w:rsidR="008404AA" w:rsidRPr="008404AA">
              <w:rPr>
                <w:sz w:val="20"/>
              </w:rPr>
              <w:t>The potential for a “healthy worker effect” (HWE) was considered</w:t>
            </w:r>
            <w:r w:rsidR="00DA6906">
              <w:rPr>
                <w:sz w:val="20"/>
              </w:rPr>
              <w:t>…</w:t>
            </w:r>
            <w:r w:rsidR="008404AA">
              <w:t xml:space="preserve"> </w:t>
            </w:r>
            <w:r w:rsidR="008404AA" w:rsidRPr="008404AA">
              <w:rPr>
                <w:sz w:val="20"/>
              </w:rPr>
              <w:t>In the present SMR analysis, there does appear to be a HWE which is evident when causes of death most likely unrelated to workplace exposures are considered</w:t>
            </w:r>
            <w:r w:rsidR="008404AA">
              <w:rPr>
                <w:sz w:val="20"/>
              </w:rPr>
              <w:t>…</w:t>
            </w:r>
            <w:r w:rsidR="008404AA">
              <w:t xml:space="preserve"> </w:t>
            </w:r>
            <w:r w:rsidR="008404AA" w:rsidRPr="008404AA">
              <w:rPr>
                <w:sz w:val="20"/>
              </w:rPr>
              <w:t>it should be considered that SMRs for a priori causes of death of interest that were close to the null value might have been attenuated due to HWE</w:t>
            </w:r>
            <w:r w:rsidR="008404AA">
              <w:rPr>
                <w:sz w:val="20"/>
              </w:rPr>
              <w:t>…</w:t>
            </w:r>
            <w:r w:rsidR="008404AA" w:rsidRPr="008404AA">
              <w:rPr>
                <w:sz w:val="20"/>
              </w:rPr>
              <w:t>Overall, the results of the Cox model analyses supported the general trends of the main SMR analyses</w:t>
            </w:r>
            <w:r w:rsidR="008404AA">
              <w:rPr>
                <w:sz w:val="20"/>
              </w:rPr>
              <w:t>…</w:t>
            </w:r>
            <w:r w:rsidR="008404AA" w:rsidRPr="008404AA">
              <w:rPr>
                <w:sz w:val="20"/>
              </w:rPr>
              <w:t xml:space="preserve">in line with previous suggestions that the HWE would not easily explain </w:t>
            </w:r>
            <w:r>
              <w:rPr>
                <w:sz w:val="20"/>
              </w:rPr>
              <w:t>trends in results</w:t>
            </w:r>
            <w:r w:rsidR="008404AA" w:rsidRPr="008404AA">
              <w:rPr>
                <w:sz w:val="20"/>
              </w:rPr>
              <w:t xml:space="preserve"> based on internal comparisons</w:t>
            </w:r>
            <w:r w:rsidR="008404AA">
              <w:rPr>
                <w:sz w:val="20"/>
              </w:rPr>
              <w:t>…</w:t>
            </w:r>
            <w:r w:rsidR="008404AA" w:rsidRPr="008404AA">
              <w:rPr>
                <w:sz w:val="20"/>
              </w:rPr>
              <w:t xml:space="preserve"> </w:t>
            </w:r>
            <w:r w:rsidR="00DA6906" w:rsidRPr="00DA6906">
              <w:rPr>
                <w:sz w:val="20"/>
              </w:rPr>
              <w:t xml:space="preserve">State mortality rates which can adjust for shared environmental and beryllium industry employment </w:t>
            </w:r>
            <w:r w:rsidR="00DA6906" w:rsidRPr="00DA6906">
              <w:rPr>
                <w:sz w:val="20"/>
              </w:rPr>
              <w:lastRenderedPageBreak/>
              <w:t>factors were not used for comparison for the present analysis due to the inability to report low sample size counts.  Thus, factors such as tobacco smoking, employment in high-risk industries, and other factors could not be considered in statistical analyses. Elevations seen when compared to the US population in causes of death such as tuberculosis, for example, may be attenuated or null compared to State mortality rates due to a strong geographic heterogeneity. While this could not be evaluated in the current study, previous analyses within this cohort did not demonstrate extensive differences</w:t>
            </w:r>
          </w:p>
        </w:tc>
      </w:tr>
      <w:tr w:rsidR="00191A23" w:rsidRPr="0022554A" w14:paraId="356A00EA" w14:textId="77777777" w:rsidTr="00517788">
        <w:tc>
          <w:tcPr>
            <w:tcW w:w="0" w:type="auto"/>
          </w:tcPr>
          <w:p w14:paraId="0C6896B4" w14:textId="77777777" w:rsidR="00191A23" w:rsidRPr="0022554A" w:rsidRDefault="00191A23" w:rsidP="00191A23">
            <w:pPr>
              <w:tabs>
                <w:tab w:val="left" w:pos="5400"/>
              </w:tabs>
              <w:rPr>
                <w:bCs/>
                <w:sz w:val="20"/>
              </w:rPr>
            </w:pPr>
            <w:bookmarkStart w:id="88" w:name="italic47" w:colFirst="0" w:colLast="0"/>
            <w:bookmarkStart w:id="89" w:name="bold48" w:colFirst="0" w:colLast="0"/>
            <w:bookmarkEnd w:id="86"/>
            <w:bookmarkEnd w:id="87"/>
            <w:r w:rsidRPr="0022554A">
              <w:rPr>
                <w:bCs/>
                <w:sz w:val="20"/>
              </w:rPr>
              <w:lastRenderedPageBreak/>
              <w:t>Interpretation</w:t>
            </w:r>
          </w:p>
        </w:tc>
        <w:tc>
          <w:tcPr>
            <w:tcW w:w="0" w:type="auto"/>
          </w:tcPr>
          <w:p w14:paraId="236A204E" w14:textId="77777777" w:rsidR="00191A23" w:rsidRPr="0022554A" w:rsidRDefault="00191A23" w:rsidP="00191A23">
            <w:pPr>
              <w:tabs>
                <w:tab w:val="left" w:pos="5400"/>
              </w:tabs>
              <w:jc w:val="center"/>
              <w:rPr>
                <w:sz w:val="20"/>
              </w:rPr>
            </w:pPr>
            <w:r w:rsidRPr="0022554A">
              <w:rPr>
                <w:sz w:val="20"/>
              </w:rPr>
              <w:t>20</w:t>
            </w:r>
          </w:p>
        </w:tc>
        <w:tc>
          <w:tcPr>
            <w:tcW w:w="8687" w:type="dxa"/>
          </w:tcPr>
          <w:p w14:paraId="39660A8E"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1AAFC899" w14:textId="0863E186" w:rsidR="00191A23" w:rsidRPr="0022554A" w:rsidRDefault="008404AA" w:rsidP="00191A23">
            <w:pPr>
              <w:tabs>
                <w:tab w:val="left" w:pos="5400"/>
              </w:tabs>
              <w:rPr>
                <w:sz w:val="20"/>
              </w:rPr>
            </w:pPr>
            <w:r>
              <w:rPr>
                <w:sz w:val="20"/>
              </w:rPr>
              <w:t>28</w:t>
            </w:r>
          </w:p>
        </w:tc>
        <w:tc>
          <w:tcPr>
            <w:tcW w:w="3129" w:type="dxa"/>
          </w:tcPr>
          <w:p w14:paraId="64AF5558" w14:textId="26CFAE71" w:rsidR="00191A23" w:rsidRPr="0022554A" w:rsidRDefault="00F47575" w:rsidP="00191A23">
            <w:pPr>
              <w:tabs>
                <w:tab w:val="left" w:pos="5400"/>
              </w:tabs>
              <w:rPr>
                <w:sz w:val="20"/>
              </w:rPr>
            </w:pPr>
            <w:r w:rsidRPr="00F47575">
              <w:rPr>
                <w:sz w:val="20"/>
              </w:rPr>
              <w:t xml:space="preserve">This study provides </w:t>
            </w:r>
            <w:r>
              <w:rPr>
                <w:sz w:val="20"/>
              </w:rPr>
              <w:t xml:space="preserve">further evidence </w:t>
            </w:r>
            <w:r w:rsidR="008404AA" w:rsidRPr="008404AA">
              <w:rPr>
                <w:sz w:val="20"/>
              </w:rPr>
              <w:t xml:space="preserve">supporting the 2016 study finding of no risk of lung cancer mortality for workers employed in facilities with insoluble-only beryllium exposure over any </w:t>
            </w:r>
            <w:proofErr w:type="gramStart"/>
            <w:r w:rsidR="008404AA" w:rsidRPr="008404AA">
              <w:rPr>
                <w:sz w:val="20"/>
              </w:rPr>
              <w:t>time period</w:t>
            </w:r>
            <w:proofErr w:type="gramEnd"/>
            <w:r w:rsidR="008404AA" w:rsidRPr="008404AA">
              <w:rPr>
                <w:sz w:val="20"/>
              </w:rPr>
              <w:t xml:space="preserve">. In addition, the study observed no elevated risk of lung cancer mortality for workers hired 1955 and later, regardless of mixed or insoluble beryllium exposures.  Elevated risk of ONMRD, an ICD grouping containing deaths </w:t>
            </w:r>
            <w:r w:rsidR="008404AA" w:rsidRPr="008404AA">
              <w:rPr>
                <w:sz w:val="20"/>
              </w:rPr>
              <w:lastRenderedPageBreak/>
              <w:t xml:space="preserve">attributed to berylliosis, was observed only among workers hired prior to 1955 and those who had been employed in facilities that processed both soluble and insoluble beryllium. We also did not find evidence of increased risk of all cancer, kidney cancer, bladder cancer, or cancer of CNS in this cohort, regardless of type of beryllium exposure. </w:t>
            </w:r>
            <w:proofErr w:type="gramStart"/>
            <w:r w:rsidR="008404AA" w:rsidRPr="008404AA">
              <w:rPr>
                <w:sz w:val="20"/>
              </w:rPr>
              <w:t>In light of</w:t>
            </w:r>
            <w:proofErr w:type="gramEnd"/>
            <w:r w:rsidR="008404AA" w:rsidRPr="008404AA">
              <w:rPr>
                <w:sz w:val="20"/>
              </w:rPr>
              <w:t xml:space="preserve"> this additional evidence, hazard classifications for insoluble forms of beryllium and soluble forms of beryllium should be separated to provide workers with the most evidence-based beryllium hazard communications. This could have a significant impact as insoluble forms of beryllium comprise over 99.9% of the beryllium used in commerce.</w:t>
            </w:r>
          </w:p>
        </w:tc>
      </w:tr>
      <w:tr w:rsidR="00191A23" w:rsidRPr="0022554A" w14:paraId="38679407" w14:textId="77777777" w:rsidTr="00517788">
        <w:tc>
          <w:tcPr>
            <w:tcW w:w="0" w:type="auto"/>
          </w:tcPr>
          <w:p w14:paraId="3EB1D2B8" w14:textId="77777777" w:rsidR="00191A23" w:rsidRPr="0022554A" w:rsidRDefault="00191A23" w:rsidP="00191A23">
            <w:pPr>
              <w:tabs>
                <w:tab w:val="left" w:pos="5400"/>
              </w:tabs>
              <w:rPr>
                <w:bCs/>
                <w:sz w:val="20"/>
              </w:rPr>
            </w:pPr>
            <w:bookmarkStart w:id="90" w:name="italic48" w:colFirst="0" w:colLast="0"/>
            <w:bookmarkStart w:id="91" w:name="bold49" w:colFirst="0" w:colLast="0"/>
            <w:bookmarkEnd w:id="88"/>
            <w:bookmarkEnd w:id="89"/>
            <w:r w:rsidRPr="0022554A">
              <w:rPr>
                <w:bCs/>
                <w:sz w:val="20"/>
              </w:rPr>
              <w:lastRenderedPageBreak/>
              <w:t>Generalisability</w:t>
            </w:r>
          </w:p>
        </w:tc>
        <w:tc>
          <w:tcPr>
            <w:tcW w:w="0" w:type="auto"/>
          </w:tcPr>
          <w:p w14:paraId="46EDC226" w14:textId="77777777" w:rsidR="00191A23" w:rsidRPr="0022554A" w:rsidRDefault="00191A23" w:rsidP="00191A23">
            <w:pPr>
              <w:tabs>
                <w:tab w:val="left" w:pos="5400"/>
              </w:tabs>
              <w:jc w:val="center"/>
              <w:rPr>
                <w:sz w:val="20"/>
              </w:rPr>
            </w:pPr>
            <w:r w:rsidRPr="0022554A">
              <w:rPr>
                <w:sz w:val="20"/>
              </w:rPr>
              <w:t>21</w:t>
            </w:r>
          </w:p>
        </w:tc>
        <w:tc>
          <w:tcPr>
            <w:tcW w:w="8687" w:type="dxa"/>
          </w:tcPr>
          <w:p w14:paraId="2A3DF576"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25FE788D" w14:textId="3E584991" w:rsidR="00191A23" w:rsidRPr="0022554A" w:rsidRDefault="008404AA" w:rsidP="00191A23">
            <w:pPr>
              <w:tabs>
                <w:tab w:val="left" w:pos="5400"/>
              </w:tabs>
              <w:rPr>
                <w:sz w:val="20"/>
              </w:rPr>
            </w:pPr>
            <w:r>
              <w:rPr>
                <w:sz w:val="20"/>
              </w:rPr>
              <w:t>2</w:t>
            </w:r>
            <w:r w:rsidR="00F47575">
              <w:rPr>
                <w:sz w:val="20"/>
              </w:rPr>
              <w:t>6</w:t>
            </w:r>
            <w:r>
              <w:rPr>
                <w:sz w:val="20"/>
              </w:rPr>
              <w:t>-2</w:t>
            </w:r>
            <w:r w:rsidR="00F47575">
              <w:rPr>
                <w:sz w:val="20"/>
              </w:rPr>
              <w:t>7</w:t>
            </w:r>
          </w:p>
        </w:tc>
        <w:tc>
          <w:tcPr>
            <w:tcW w:w="3129" w:type="dxa"/>
          </w:tcPr>
          <w:p w14:paraId="2E63740B" w14:textId="2D0DADEE" w:rsidR="00191A23" w:rsidRPr="0022554A" w:rsidRDefault="00F47575" w:rsidP="00191A23">
            <w:pPr>
              <w:tabs>
                <w:tab w:val="left" w:pos="5400"/>
              </w:tabs>
              <w:rPr>
                <w:sz w:val="20"/>
              </w:rPr>
            </w:pPr>
            <w:r w:rsidRPr="00F47575">
              <w:rPr>
                <w:sz w:val="20"/>
              </w:rPr>
              <w:t>However, as previously reported by Boffetta et al. 2016, the HWE in this cohort might contribute to an under-estimation of the mortality risk of lung cancer and ONMRD when the worker cohort is compared with external (non-worker) populations</w:t>
            </w:r>
            <w:r w:rsidR="00064779">
              <w:rPr>
                <w:sz w:val="20"/>
              </w:rPr>
              <w:t>…</w:t>
            </w:r>
            <w:r w:rsidR="008404AA" w:rsidRPr="008404AA">
              <w:rPr>
                <w:sz w:val="20"/>
              </w:rPr>
              <w:t xml:space="preserve">Overall, the results of the Cox model analyses supported the general trends of the </w:t>
            </w:r>
            <w:r w:rsidR="008404AA" w:rsidRPr="008404AA">
              <w:rPr>
                <w:sz w:val="20"/>
              </w:rPr>
              <w:lastRenderedPageBreak/>
              <w:t>main SMR</w:t>
            </w:r>
            <w:r w:rsidR="008404AA">
              <w:rPr>
                <w:sz w:val="20"/>
              </w:rPr>
              <w:t>…</w:t>
            </w:r>
            <w:r w:rsidR="008404AA" w:rsidRPr="008404AA">
              <w:rPr>
                <w:sz w:val="20"/>
              </w:rPr>
              <w:t xml:space="preserve"> </w:t>
            </w:r>
            <w:r w:rsidRPr="00F47575">
              <w:rPr>
                <w:sz w:val="20"/>
              </w:rPr>
              <w:t xml:space="preserve">in line with previous suggestions that the HWE would not fully explain trends in results reported based on internal comparisons </w:t>
            </w:r>
            <w:r w:rsidR="008404AA">
              <w:rPr>
                <w:sz w:val="20"/>
              </w:rPr>
              <w:t xml:space="preserve">… </w:t>
            </w:r>
            <w:r w:rsidR="00064779" w:rsidRPr="00064779">
              <w:rPr>
                <w:sz w:val="20"/>
              </w:rPr>
              <w:t>State mortality rates which can adjust for shared environmental and beryllium industry employment factors were not used for comparison for the present analysis due to the inability to report low sample size counts</w:t>
            </w:r>
            <w:r w:rsidR="00064779">
              <w:rPr>
                <w:sz w:val="20"/>
              </w:rPr>
              <w:t>…</w:t>
            </w:r>
            <w:r w:rsidR="00064779" w:rsidRPr="00064779">
              <w:rPr>
                <w:sz w:val="20"/>
              </w:rPr>
              <w:t xml:space="preserve"> While this could not be evaluated in the current study, previous analyses within this cohort did not demonstrate extensive differences</w:t>
            </w:r>
          </w:p>
        </w:tc>
      </w:tr>
      <w:tr w:rsidR="00191A23" w:rsidRPr="0022554A" w14:paraId="41AE8425" w14:textId="77777777" w:rsidTr="00517788">
        <w:tc>
          <w:tcPr>
            <w:tcW w:w="1911" w:type="dxa"/>
            <w:gridSpan w:val="2"/>
          </w:tcPr>
          <w:p w14:paraId="78A695B3" w14:textId="77777777" w:rsidR="00191A23" w:rsidRPr="0022554A" w:rsidRDefault="00191A23" w:rsidP="00191A23">
            <w:pPr>
              <w:pStyle w:val="TableSubHead"/>
              <w:tabs>
                <w:tab w:val="left" w:pos="5400"/>
              </w:tabs>
              <w:rPr>
                <w:sz w:val="20"/>
              </w:rPr>
            </w:pPr>
            <w:bookmarkStart w:id="92" w:name="italic49"/>
            <w:bookmarkStart w:id="93" w:name="bold50"/>
            <w:bookmarkEnd w:id="90"/>
            <w:bookmarkEnd w:id="91"/>
            <w:r w:rsidRPr="0022554A">
              <w:rPr>
                <w:sz w:val="20"/>
              </w:rPr>
              <w:lastRenderedPageBreak/>
              <w:t>Other information</w:t>
            </w:r>
          </w:p>
        </w:tc>
        <w:bookmarkEnd w:id="92"/>
        <w:bookmarkEnd w:id="93"/>
        <w:tc>
          <w:tcPr>
            <w:tcW w:w="13081" w:type="dxa"/>
            <w:gridSpan w:val="3"/>
          </w:tcPr>
          <w:p w14:paraId="29C9E6F8" w14:textId="77777777" w:rsidR="00191A23" w:rsidRPr="0022554A" w:rsidRDefault="00191A23" w:rsidP="00191A23">
            <w:pPr>
              <w:pStyle w:val="TableSubHead"/>
              <w:tabs>
                <w:tab w:val="left" w:pos="5400"/>
              </w:tabs>
              <w:rPr>
                <w:sz w:val="20"/>
              </w:rPr>
            </w:pPr>
          </w:p>
        </w:tc>
      </w:tr>
      <w:tr w:rsidR="00191A23" w:rsidRPr="0022554A" w14:paraId="3AB25C2A" w14:textId="77777777" w:rsidTr="00517788">
        <w:tc>
          <w:tcPr>
            <w:tcW w:w="0" w:type="auto"/>
          </w:tcPr>
          <w:p w14:paraId="5F10674A" w14:textId="77777777" w:rsidR="00191A23" w:rsidRPr="0022554A" w:rsidRDefault="00191A23" w:rsidP="00191A23">
            <w:pPr>
              <w:tabs>
                <w:tab w:val="left" w:pos="5400"/>
              </w:tabs>
              <w:rPr>
                <w:bCs/>
                <w:sz w:val="20"/>
              </w:rPr>
            </w:pPr>
            <w:bookmarkStart w:id="94" w:name="italic50" w:colFirst="0" w:colLast="0"/>
            <w:bookmarkStart w:id="95" w:name="bold51" w:colFirst="0" w:colLast="0"/>
            <w:r w:rsidRPr="0022554A">
              <w:rPr>
                <w:bCs/>
                <w:sz w:val="20"/>
              </w:rPr>
              <w:t>Funding</w:t>
            </w:r>
          </w:p>
        </w:tc>
        <w:tc>
          <w:tcPr>
            <w:tcW w:w="0" w:type="auto"/>
          </w:tcPr>
          <w:p w14:paraId="135778A6" w14:textId="77777777" w:rsidR="00191A23" w:rsidRPr="0022554A" w:rsidRDefault="00191A23" w:rsidP="00191A23">
            <w:pPr>
              <w:tabs>
                <w:tab w:val="left" w:pos="5400"/>
              </w:tabs>
              <w:jc w:val="center"/>
              <w:rPr>
                <w:sz w:val="20"/>
              </w:rPr>
            </w:pPr>
            <w:r w:rsidRPr="0022554A">
              <w:rPr>
                <w:sz w:val="20"/>
              </w:rPr>
              <w:t>22</w:t>
            </w:r>
          </w:p>
        </w:tc>
        <w:tc>
          <w:tcPr>
            <w:tcW w:w="8687" w:type="dxa"/>
          </w:tcPr>
          <w:p w14:paraId="1DBC27F6"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5655CFEC" w14:textId="7D638560" w:rsidR="00191A23" w:rsidRPr="0022554A" w:rsidRDefault="00064779" w:rsidP="00191A23">
            <w:pPr>
              <w:tabs>
                <w:tab w:val="left" w:pos="5400"/>
              </w:tabs>
              <w:rPr>
                <w:sz w:val="20"/>
              </w:rPr>
            </w:pPr>
            <w:r>
              <w:rPr>
                <w:sz w:val="20"/>
              </w:rPr>
              <w:t xml:space="preserve">Title Page </w:t>
            </w:r>
          </w:p>
        </w:tc>
        <w:tc>
          <w:tcPr>
            <w:tcW w:w="3129" w:type="dxa"/>
          </w:tcPr>
          <w:p w14:paraId="35167C7B" w14:textId="783B40F6" w:rsidR="00191A23" w:rsidRPr="0022554A" w:rsidRDefault="00064779" w:rsidP="00191A23">
            <w:pPr>
              <w:tabs>
                <w:tab w:val="left" w:pos="5400"/>
              </w:tabs>
              <w:rPr>
                <w:sz w:val="20"/>
              </w:rPr>
            </w:pPr>
            <w:r w:rsidRPr="00064779">
              <w:rPr>
                <w:rFonts w:eastAsia="Calibri"/>
                <w:sz w:val="22"/>
                <w:szCs w:val="22"/>
                <w:lang w:val="en-US"/>
              </w:rPr>
              <w:t xml:space="preserve">The results reported herein correspond to specific aims of grant # TX220306P1 awarded to investigators TF, PB, and </w:t>
            </w:r>
            <w:r w:rsidRPr="00E878F5">
              <w:rPr>
                <w:rFonts w:eastAsia="Calibri"/>
                <w:sz w:val="22"/>
                <w:szCs w:val="22"/>
                <w:lang w:val="en-US"/>
              </w:rPr>
              <w:t>Dr. Constantine Dumas</w:t>
            </w:r>
            <w:r w:rsidRPr="00064779">
              <w:rPr>
                <w:rFonts w:eastAsia="Calibri"/>
                <w:sz w:val="22"/>
                <w:szCs w:val="22"/>
                <w:lang w:val="en-US"/>
              </w:rPr>
              <w:t xml:space="preserve"> by the U.S. Department of Defense</w:t>
            </w:r>
          </w:p>
        </w:tc>
      </w:tr>
      <w:bookmarkEnd w:id="94"/>
      <w:bookmarkEnd w:id="95"/>
    </w:tbl>
    <w:p w14:paraId="67869D28" w14:textId="77777777" w:rsidR="002602FB" w:rsidRDefault="002602FB" w:rsidP="0022554A">
      <w:pPr>
        <w:pStyle w:val="TableNote"/>
        <w:tabs>
          <w:tab w:val="left" w:pos="5400"/>
        </w:tabs>
        <w:rPr>
          <w:bCs/>
          <w:sz w:val="20"/>
        </w:rPr>
      </w:pPr>
    </w:p>
    <w:p w14:paraId="324808EF"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108B86E7" w14:textId="77777777" w:rsidR="00AE2C57" w:rsidRDefault="00AE2C57" w:rsidP="0022554A">
      <w:pPr>
        <w:pStyle w:val="TableNote"/>
        <w:tabs>
          <w:tab w:val="left" w:pos="5400"/>
        </w:tabs>
        <w:rPr>
          <w:sz w:val="20"/>
        </w:rPr>
      </w:pPr>
    </w:p>
    <w:p w14:paraId="777A6CDD" w14:textId="4A5D2E1D" w:rsidR="00BC3927"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t>
      </w:r>
      <w:hyperlink r:id="rId7" w:history="1">
        <w:r w:rsidR="00BC3927" w:rsidRPr="00595093">
          <w:rPr>
            <w:rStyle w:val="Hyperlink"/>
            <w:sz w:val="20"/>
          </w:rPr>
          <w:t>www.strobe-statement.org</w:t>
        </w:r>
      </w:hyperlink>
      <w:r w:rsidRPr="002602FB">
        <w:rPr>
          <w:sz w:val="20"/>
        </w:rPr>
        <w:t>.</w:t>
      </w:r>
    </w:p>
    <w:sectPr w:rsidR="00BC3927" w:rsidRPr="002602FB" w:rsidSect="00191A23">
      <w:footerReference w:type="even" r:id="rId8"/>
      <w:footerReference w:type="default" r:id="rId9"/>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5DE1D" w14:textId="77777777" w:rsidR="00FE5A5C" w:rsidRDefault="00FE5A5C">
      <w:r>
        <w:separator/>
      </w:r>
    </w:p>
  </w:endnote>
  <w:endnote w:type="continuationSeparator" w:id="0">
    <w:p w14:paraId="3C5FFB4A" w14:textId="77777777" w:rsidR="00FE5A5C" w:rsidRDefault="00FE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0FAC1" w14:textId="77777777" w:rsidR="00A13C96" w:rsidRDefault="00A13C96" w:rsidP="00A13C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C09209" w14:textId="77777777" w:rsidR="00A13C96" w:rsidRDefault="00A13C9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5217" w14:textId="77777777" w:rsidR="00A13C96" w:rsidRDefault="00A13C96" w:rsidP="007F7F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489B">
      <w:rPr>
        <w:rStyle w:val="PageNumber"/>
        <w:noProof/>
      </w:rPr>
      <w:t>3</w:t>
    </w:r>
    <w:r>
      <w:rPr>
        <w:rStyle w:val="PageNumber"/>
      </w:rPr>
      <w:fldChar w:fldCharType="end"/>
    </w:r>
  </w:p>
  <w:p w14:paraId="59361359" w14:textId="77777777" w:rsidR="00A13C96" w:rsidRDefault="00A13C9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E7164" w14:textId="77777777" w:rsidR="00FE5A5C" w:rsidRDefault="00FE5A5C">
      <w:r>
        <w:separator/>
      </w:r>
    </w:p>
  </w:footnote>
  <w:footnote w:type="continuationSeparator" w:id="0">
    <w:p w14:paraId="5953BC4E" w14:textId="77777777" w:rsidR="00FE5A5C" w:rsidRDefault="00FE5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C1B50FD"/>
    <w:multiLevelType w:val="hybridMultilevel"/>
    <w:tmpl w:val="88640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7"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8"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1213619249">
    <w:abstractNumId w:val="21"/>
  </w:num>
  <w:num w:numId="2" w16cid:durableId="1842157485">
    <w:abstractNumId w:val="11"/>
  </w:num>
  <w:num w:numId="3" w16cid:durableId="924460041">
    <w:abstractNumId w:val="19"/>
  </w:num>
  <w:num w:numId="4" w16cid:durableId="680818958">
    <w:abstractNumId w:val="17"/>
  </w:num>
  <w:num w:numId="5" w16cid:durableId="1625113945">
    <w:abstractNumId w:val="16"/>
  </w:num>
  <w:num w:numId="6" w16cid:durableId="1805927781">
    <w:abstractNumId w:val="20"/>
  </w:num>
  <w:num w:numId="7" w16cid:durableId="1489635108">
    <w:abstractNumId w:val="10"/>
  </w:num>
  <w:num w:numId="8" w16cid:durableId="495146929">
    <w:abstractNumId w:val="13"/>
  </w:num>
  <w:num w:numId="9" w16cid:durableId="1357195270">
    <w:abstractNumId w:val="9"/>
  </w:num>
  <w:num w:numId="10" w16cid:durableId="2059816140">
    <w:abstractNumId w:val="15"/>
  </w:num>
  <w:num w:numId="11" w16cid:durableId="3947770">
    <w:abstractNumId w:val="7"/>
  </w:num>
  <w:num w:numId="12" w16cid:durableId="1870949839">
    <w:abstractNumId w:val="6"/>
  </w:num>
  <w:num w:numId="13" w16cid:durableId="1409302972">
    <w:abstractNumId w:val="5"/>
  </w:num>
  <w:num w:numId="14" w16cid:durableId="1184781413">
    <w:abstractNumId w:val="4"/>
  </w:num>
  <w:num w:numId="15" w16cid:durableId="325714175">
    <w:abstractNumId w:val="8"/>
  </w:num>
  <w:num w:numId="16" w16cid:durableId="1753619080">
    <w:abstractNumId w:val="3"/>
  </w:num>
  <w:num w:numId="17" w16cid:durableId="893086080">
    <w:abstractNumId w:val="2"/>
  </w:num>
  <w:num w:numId="18" w16cid:durableId="670766483">
    <w:abstractNumId w:val="1"/>
  </w:num>
  <w:num w:numId="19" w16cid:durableId="1627155113">
    <w:abstractNumId w:val="0"/>
  </w:num>
  <w:num w:numId="20" w16cid:durableId="493494366">
    <w:abstractNumId w:val="12"/>
  </w:num>
  <w:num w:numId="21" w16cid:durableId="1980452053">
    <w:abstractNumId w:val="18"/>
  </w:num>
  <w:num w:numId="22" w16cid:durableId="17859983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12E4B"/>
    <w:rsid w:val="00023515"/>
    <w:rsid w:val="000641AE"/>
    <w:rsid w:val="00064779"/>
    <w:rsid w:val="00093E3A"/>
    <w:rsid w:val="00097C5A"/>
    <w:rsid w:val="000B6FD4"/>
    <w:rsid w:val="000B7476"/>
    <w:rsid w:val="000C778E"/>
    <w:rsid w:val="000E3193"/>
    <w:rsid w:val="000E691B"/>
    <w:rsid w:val="000F26ED"/>
    <w:rsid w:val="00110BFB"/>
    <w:rsid w:val="00134AAC"/>
    <w:rsid w:val="00191A23"/>
    <w:rsid w:val="001A495C"/>
    <w:rsid w:val="001A75E9"/>
    <w:rsid w:val="001B6945"/>
    <w:rsid w:val="001E02AD"/>
    <w:rsid w:val="0021265E"/>
    <w:rsid w:val="00215E03"/>
    <w:rsid w:val="00224268"/>
    <w:rsid w:val="0022554A"/>
    <w:rsid w:val="00226A29"/>
    <w:rsid w:val="002552FD"/>
    <w:rsid w:val="002602FB"/>
    <w:rsid w:val="002775C3"/>
    <w:rsid w:val="002B385C"/>
    <w:rsid w:val="002C731D"/>
    <w:rsid w:val="002D06D0"/>
    <w:rsid w:val="002D1ABE"/>
    <w:rsid w:val="002F1A87"/>
    <w:rsid w:val="003354B7"/>
    <w:rsid w:val="003508EF"/>
    <w:rsid w:val="00372129"/>
    <w:rsid w:val="00377415"/>
    <w:rsid w:val="003840C4"/>
    <w:rsid w:val="00385050"/>
    <w:rsid w:val="003A01C6"/>
    <w:rsid w:val="003A21B4"/>
    <w:rsid w:val="003A3FDD"/>
    <w:rsid w:val="00404D2C"/>
    <w:rsid w:val="004060E6"/>
    <w:rsid w:val="00407BEA"/>
    <w:rsid w:val="0041758D"/>
    <w:rsid w:val="004243C8"/>
    <w:rsid w:val="0045419E"/>
    <w:rsid w:val="0045734B"/>
    <w:rsid w:val="00465542"/>
    <w:rsid w:val="00472DF5"/>
    <w:rsid w:val="00495204"/>
    <w:rsid w:val="004A31B3"/>
    <w:rsid w:val="004A32C8"/>
    <w:rsid w:val="004D0377"/>
    <w:rsid w:val="004E1263"/>
    <w:rsid w:val="005044A6"/>
    <w:rsid w:val="00507156"/>
    <w:rsid w:val="00517788"/>
    <w:rsid w:val="00584B2D"/>
    <w:rsid w:val="00590F64"/>
    <w:rsid w:val="005923E5"/>
    <w:rsid w:val="005B567D"/>
    <w:rsid w:val="005D0CFC"/>
    <w:rsid w:val="005D19F4"/>
    <w:rsid w:val="005F254A"/>
    <w:rsid w:val="00611725"/>
    <w:rsid w:val="006149D3"/>
    <w:rsid w:val="0065657F"/>
    <w:rsid w:val="00666336"/>
    <w:rsid w:val="00683E42"/>
    <w:rsid w:val="00692019"/>
    <w:rsid w:val="006A2F18"/>
    <w:rsid w:val="006A5DD9"/>
    <w:rsid w:val="006B2915"/>
    <w:rsid w:val="006B56D7"/>
    <w:rsid w:val="006C0B63"/>
    <w:rsid w:val="006C7601"/>
    <w:rsid w:val="006D16AA"/>
    <w:rsid w:val="006F66AC"/>
    <w:rsid w:val="00701AC5"/>
    <w:rsid w:val="00711D81"/>
    <w:rsid w:val="007346DA"/>
    <w:rsid w:val="0074576C"/>
    <w:rsid w:val="007500E5"/>
    <w:rsid w:val="00754BA5"/>
    <w:rsid w:val="007562C3"/>
    <w:rsid w:val="007C72F6"/>
    <w:rsid w:val="007F7FA0"/>
    <w:rsid w:val="00816966"/>
    <w:rsid w:val="00817D26"/>
    <w:rsid w:val="00821CD4"/>
    <w:rsid w:val="008404AA"/>
    <w:rsid w:val="008423A7"/>
    <w:rsid w:val="008440CC"/>
    <w:rsid w:val="0089107E"/>
    <w:rsid w:val="00891604"/>
    <w:rsid w:val="008D225B"/>
    <w:rsid w:val="00921BF8"/>
    <w:rsid w:val="009367F9"/>
    <w:rsid w:val="009468D7"/>
    <w:rsid w:val="009642BE"/>
    <w:rsid w:val="00976EE1"/>
    <w:rsid w:val="009872CC"/>
    <w:rsid w:val="009B10F1"/>
    <w:rsid w:val="009B368D"/>
    <w:rsid w:val="009C24D4"/>
    <w:rsid w:val="009E0429"/>
    <w:rsid w:val="009F5211"/>
    <w:rsid w:val="00A10017"/>
    <w:rsid w:val="00A13C96"/>
    <w:rsid w:val="00A42352"/>
    <w:rsid w:val="00A527E4"/>
    <w:rsid w:val="00A55662"/>
    <w:rsid w:val="00A5640D"/>
    <w:rsid w:val="00A729D6"/>
    <w:rsid w:val="00A938BF"/>
    <w:rsid w:val="00AB7BC4"/>
    <w:rsid w:val="00AE23EB"/>
    <w:rsid w:val="00AE2C57"/>
    <w:rsid w:val="00AF4615"/>
    <w:rsid w:val="00B50DF8"/>
    <w:rsid w:val="00B52E1E"/>
    <w:rsid w:val="00B54EA0"/>
    <w:rsid w:val="00B60EFB"/>
    <w:rsid w:val="00B65366"/>
    <w:rsid w:val="00B77807"/>
    <w:rsid w:val="00B940E9"/>
    <w:rsid w:val="00BA1206"/>
    <w:rsid w:val="00BC3927"/>
    <w:rsid w:val="00BC7FE6"/>
    <w:rsid w:val="00BE3709"/>
    <w:rsid w:val="00C713F8"/>
    <w:rsid w:val="00CA489B"/>
    <w:rsid w:val="00CB2F87"/>
    <w:rsid w:val="00CB6CC8"/>
    <w:rsid w:val="00CC4C93"/>
    <w:rsid w:val="00D120D2"/>
    <w:rsid w:val="00D17F4D"/>
    <w:rsid w:val="00D20D7C"/>
    <w:rsid w:val="00D26FCA"/>
    <w:rsid w:val="00D35FA9"/>
    <w:rsid w:val="00D6407C"/>
    <w:rsid w:val="00D87AF7"/>
    <w:rsid w:val="00DA120C"/>
    <w:rsid w:val="00DA6906"/>
    <w:rsid w:val="00DC4BEF"/>
    <w:rsid w:val="00DE5959"/>
    <w:rsid w:val="00E10628"/>
    <w:rsid w:val="00E144CD"/>
    <w:rsid w:val="00E2292B"/>
    <w:rsid w:val="00E341E9"/>
    <w:rsid w:val="00E8354D"/>
    <w:rsid w:val="00E878F5"/>
    <w:rsid w:val="00E936E2"/>
    <w:rsid w:val="00EA6E28"/>
    <w:rsid w:val="00EF659D"/>
    <w:rsid w:val="00F0752A"/>
    <w:rsid w:val="00F12E5F"/>
    <w:rsid w:val="00F378D0"/>
    <w:rsid w:val="00F47575"/>
    <w:rsid w:val="00F76A7F"/>
    <w:rsid w:val="00F838E1"/>
    <w:rsid w:val="00F842DC"/>
    <w:rsid w:val="00F876FF"/>
    <w:rsid w:val="00F93A89"/>
    <w:rsid w:val="00F970FA"/>
    <w:rsid w:val="00FA2721"/>
    <w:rsid w:val="00FA3D11"/>
    <w:rsid w:val="00FB02CC"/>
    <w:rsid w:val="00FE5A5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A93A5"/>
  <w15:docId w15:val="{566AD458-E340-442E-B61E-44DE9848C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link w:val="CommentTextChar"/>
    <w:uiPriority w:val="99"/>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uiPriority w:val="99"/>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 w:type="character" w:styleId="UnresolvedMention">
    <w:name w:val="Unresolved Mention"/>
    <w:basedOn w:val="DefaultParagraphFont"/>
    <w:uiPriority w:val="99"/>
    <w:semiHidden/>
    <w:unhideWhenUsed/>
    <w:rsid w:val="00BC3927"/>
    <w:rPr>
      <w:color w:val="605E5C"/>
      <w:shd w:val="clear" w:color="auto" w:fill="E1DFDD"/>
    </w:rPr>
  </w:style>
  <w:style w:type="character" w:customStyle="1" w:styleId="CommentTextChar">
    <w:name w:val="Comment Text Char"/>
    <w:basedOn w:val="DefaultParagraphFont"/>
    <w:link w:val="CommentText"/>
    <w:uiPriority w:val="99"/>
    <w:rsid w:val="001B6945"/>
    <w:rPr>
      <w:lang w:val="en-GB" w:eastAsia="en-US"/>
    </w:rPr>
  </w:style>
  <w:style w:type="paragraph" w:styleId="ListParagraph">
    <w:name w:val="List Paragraph"/>
    <w:basedOn w:val="Normal"/>
    <w:uiPriority w:val="34"/>
    <w:qFormat/>
    <w:rsid w:val="006117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trobe-statemen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TotalTime>
  <Pages>16</Pages>
  <Words>3269</Words>
  <Characters>18637</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21863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subject/>
  <dc:creator>pplouffe</dc:creator>
  <cp:keywords/>
  <dc:description/>
  <cp:lastModifiedBy>Alesia Jung</cp:lastModifiedBy>
  <cp:revision>2</cp:revision>
  <cp:lastPrinted>2014-09-01T08:36:00Z</cp:lastPrinted>
  <dcterms:created xsi:type="dcterms:W3CDTF">2025-05-09T19:19:00Z</dcterms:created>
  <dcterms:modified xsi:type="dcterms:W3CDTF">2025-05-09T19:19:00Z</dcterms:modified>
</cp:coreProperties>
</file>

<file path=docProps/custom.xml><?xml version="1.0" encoding="utf-8"?>
<Properties xmlns="http://schemas.openxmlformats.org/officeDocument/2006/custom-properties" xmlns:vt="http://schemas.openxmlformats.org/officeDocument/2006/docPropsVTypes"/>
</file>