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1BDC" w:rsidRDefault="00483DF9">
      <w:pPr>
        <w:keepNext/>
        <w:keepLines/>
        <w:spacing w:before="360" w:after="80"/>
        <w:ind w:left="360"/>
        <w:outlineLvl w:val="0"/>
        <w:rPr>
          <w:rFonts w:ascii="Calibri Light" w:eastAsia="Times New Roman" w:hAnsi="Calibri Light"/>
          <w:b/>
          <w:bCs/>
          <w:color w:val="2F5496"/>
          <w:sz w:val="24"/>
          <w:szCs w:val="24"/>
          <w:lang w:val="en-US"/>
        </w:rPr>
      </w:pPr>
      <w:bookmarkStart w:id="0" w:name="_GoBack"/>
      <w:bookmarkEnd w:id="0"/>
      <w:r>
        <w:rPr>
          <w:rFonts w:ascii="Calibri Light" w:eastAsia="Times New Roman" w:hAnsi="Calibri Light"/>
          <w:b/>
          <w:bCs/>
          <w:color w:val="2F5496"/>
          <w:sz w:val="24"/>
          <w:szCs w:val="24"/>
          <w:lang w:val="en-US"/>
        </w:rPr>
        <w:t>Supplementary materials</w:t>
      </w:r>
    </w:p>
    <w:p w:rsidR="00431BDC" w:rsidRDefault="00483DF9">
      <w:pPr>
        <w:spacing w:before="240" w:after="200" w:line="240" w:lineRule="auto"/>
        <w:jc w:val="both"/>
      </w:pPr>
      <w:r>
        <w:rPr>
          <w:b/>
          <w:bCs/>
          <w:i/>
          <w:iCs/>
          <w:color w:val="44546A"/>
          <w:lang w:val="en-GB"/>
        </w:rPr>
        <w:t>Supplementary Material S1.</w:t>
      </w:r>
      <w:r>
        <w:rPr>
          <w:rFonts w:eastAsia="Times New Roman"/>
          <w:i/>
          <w:iCs/>
          <w:color w:val="44546A"/>
          <w:lang w:val="en-GB"/>
        </w:rPr>
        <w:t xml:space="preserve"> </w:t>
      </w:r>
      <w:r>
        <w:rPr>
          <w:i/>
          <w:iCs/>
          <w:color w:val="44546A"/>
          <w:lang w:val="en-GB"/>
        </w:rPr>
        <w:t xml:space="preserve">Comprehensive workflow for automated fishing gear prediction from small-scale fishing vessel GPS data. The process begins with </w:t>
      </w:r>
      <w:r>
        <w:rPr>
          <w:i/>
          <w:iCs/>
          <w:color w:val="44546A"/>
          <w:lang w:val="en-GB"/>
        </w:rPr>
        <w:t>positional data downloaded from the Traccar Server, followed by standardization and trip identification according to the code provided by Mendo et al., 2024. Next, fishing events are defined (distinction between fishing = hauling / not_fishing = setting or</w:t>
      </w:r>
      <w:r>
        <w:rPr>
          <w:i/>
          <w:iCs/>
          <w:color w:val="44546A"/>
          <w:lang w:val="en-GB"/>
        </w:rPr>
        <w:t xml:space="preserve"> navigation), validated by fishers, and labelled by gear, enabling the matching of paired setting/hauling events and calculation of soak time (code available from Mendo et al., 2023). The final stage involves the automatic recognition and prediction of fis</w:t>
      </w:r>
      <w:r>
        <w:rPr>
          <w:i/>
          <w:iCs/>
          <w:color w:val="44546A"/>
          <w:lang w:val="en-GB"/>
        </w:rPr>
        <w:t xml:space="preserve">hing gears for each hauling event, the approach described in the present paper with the shared Python code at the </w:t>
      </w:r>
      <w:r>
        <w:rPr>
          <w:color w:val="44546A"/>
          <w:lang w:val="en-GB"/>
        </w:rPr>
        <w:t>Figshare</w:t>
      </w:r>
      <w:r>
        <w:rPr>
          <w:i/>
          <w:iCs/>
          <w:color w:val="44546A"/>
          <w:lang w:val="en-GB"/>
        </w:rPr>
        <w:t xml:space="preserve"> repository (available at </w:t>
      </w:r>
      <w:hyperlink r:id="rId6" w:history="1">
        <w:r>
          <w:rPr>
            <w:i/>
            <w:iCs/>
            <w:color w:val="0563C1"/>
            <w:u w:val="single"/>
            <w:lang w:val="en-GB"/>
          </w:rPr>
          <w:t>https://doi.org/10.6084/m9.figshare.29647448</w:t>
        </w:r>
      </w:hyperlink>
      <w:r>
        <w:rPr>
          <w:i/>
          <w:iCs/>
          <w:color w:val="44546A"/>
          <w:lang w:val="en-GB"/>
        </w:rPr>
        <w:t>)(</w:t>
      </w:r>
      <w:r>
        <w:rPr>
          <w:i/>
          <w:iCs/>
          <w:color w:val="44546A"/>
          <w:lang w:val="en-GB"/>
        </w:rPr>
        <w:t>Lattanzi et al., 2025) .</w:t>
      </w:r>
    </w:p>
    <w:p w:rsidR="00431BDC" w:rsidRDefault="00483DF9">
      <w:pPr>
        <w:jc w:val="center"/>
      </w:pPr>
      <w:r>
        <w:rPr>
          <w:noProof/>
          <w:lang w:val="en-IN" w:eastAsia="en-IN"/>
        </w:rPr>
        <w:drawing>
          <wp:inline distT="0" distB="0" distL="0" distR="0">
            <wp:extent cx="6124578" cy="3248021"/>
            <wp:effectExtent l="0" t="0" r="9522" b="0"/>
            <wp:docPr id="1" name="Picture 77394519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6124578" cy="3248021"/>
                    </a:xfrm>
                    <a:prstGeom prst="rect">
                      <a:avLst/>
                    </a:prstGeom>
                    <a:noFill/>
                    <a:ln>
                      <a:noFill/>
                      <a:prstDash/>
                    </a:ln>
                  </pic:spPr>
                </pic:pic>
              </a:graphicData>
            </a:graphic>
          </wp:inline>
        </w:drawing>
      </w:r>
    </w:p>
    <w:p w:rsidR="00431BDC" w:rsidRDefault="00431BDC"/>
    <w:p w:rsidR="00431BDC" w:rsidRDefault="00483DF9">
      <w:pPr>
        <w:spacing w:after="0" w:line="240" w:lineRule="auto"/>
        <w:jc w:val="both"/>
      </w:pPr>
      <w:r>
        <w:rPr>
          <w:b/>
          <w:bCs/>
          <w:i/>
          <w:iCs/>
          <w:color w:val="44546A"/>
          <w:shd w:val="clear" w:color="auto" w:fill="FFFF00"/>
          <w:lang w:val="en-US"/>
        </w:rPr>
        <w:t>Supplementary Material S2.</w:t>
      </w:r>
      <w:r>
        <w:rPr>
          <w:i/>
          <w:iCs/>
          <w:color w:val="44546A"/>
          <w:shd w:val="clear" w:color="auto" w:fill="FFFF00"/>
          <w:lang w:val="en-US"/>
        </w:rPr>
        <w:t xml:space="preserve"> Per-Class Robustness Analysis Against Outliers - Per-Class Classification F1-Score by Model for both levels of analysis. The plots illustrate the mean F1-Score (bars) and performance stability (error b</w:t>
      </w:r>
      <w:r>
        <w:rPr>
          <w:i/>
          <w:iCs/>
          <w:color w:val="44546A"/>
          <w:shd w:val="clear" w:color="auto" w:fill="FFFF00"/>
          <w:lang w:val="en-US"/>
        </w:rPr>
        <w:t xml:space="preserve">ars = standard deviation) achieved for each specific fishing gear class during cross-validation. The models were trained with a class-weighted loss function, fewer predictors and optimized tuning hyperparameters, but without the logarithmic transformation </w:t>
      </w:r>
      <w:r>
        <w:rPr>
          <w:i/>
          <w:iCs/>
          <w:color w:val="44546A"/>
          <w:shd w:val="clear" w:color="auto" w:fill="FFFF00"/>
          <w:lang w:val="en-US"/>
        </w:rPr>
        <w:t>of numerical variables. The red dashed line indicates a minimum acceptable score threshold (60%).</w:t>
      </w:r>
      <w:r>
        <w:rPr>
          <w:i/>
          <w:iCs/>
          <w:color w:val="44546A"/>
          <w:sz w:val="18"/>
          <w:szCs w:val="18"/>
          <w:shd w:val="clear" w:color="auto" w:fill="FFFF00"/>
        </w:rPr>
        <w:t xml:space="preserve"> </w:t>
      </w:r>
      <w:r>
        <w:rPr>
          <w:i/>
          <w:iCs/>
          <w:color w:val="44546A"/>
          <w:shd w:val="clear" w:color="auto" w:fill="FFFF00"/>
          <w:lang w:val="en-US"/>
        </w:rPr>
        <w:t>The best performing model for each level of analysis is highlighted by the green box. This analysis confirms the robustness of the investigated models against</w:t>
      </w:r>
      <w:r>
        <w:rPr>
          <w:i/>
          <w:iCs/>
          <w:color w:val="44546A"/>
          <w:shd w:val="clear" w:color="auto" w:fill="FFFF00"/>
          <w:lang w:val="en-US"/>
        </w:rPr>
        <w:t xml:space="preserve"> potential outliers – demonstrating only minimal differences in stability and performance when compared to the corresponding figure where numerical predictors were logarithmically transformed (Supplementary Material S3).</w:t>
      </w:r>
    </w:p>
    <w:p w:rsidR="00431BDC" w:rsidRDefault="00431BDC"/>
    <w:p w:rsidR="00431BDC" w:rsidRDefault="00483DF9">
      <w:r>
        <w:rPr>
          <w:noProof/>
          <w:lang w:val="en-IN" w:eastAsia="en-IN"/>
        </w:rPr>
        <w:lastRenderedPageBreak/>
        <w:drawing>
          <wp:inline distT="0" distB="0" distL="0" distR="0">
            <wp:extent cx="6120134" cy="8159748"/>
            <wp:effectExtent l="0" t="0" r="0" b="0"/>
            <wp:docPr id="2" name="Pictur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6120134" cy="8159748"/>
                    </a:xfrm>
                    <a:prstGeom prst="rect">
                      <a:avLst/>
                    </a:prstGeom>
                    <a:noFill/>
                    <a:ln>
                      <a:noFill/>
                      <a:prstDash/>
                    </a:ln>
                  </pic:spPr>
                </pic:pic>
              </a:graphicData>
            </a:graphic>
          </wp:inline>
        </w:drawing>
      </w:r>
    </w:p>
    <w:p w:rsidR="00431BDC" w:rsidRDefault="00431BDC"/>
    <w:p w:rsidR="00431BDC" w:rsidRDefault="00431BDC"/>
    <w:p w:rsidR="00431BDC" w:rsidRDefault="00483DF9">
      <w:pPr>
        <w:spacing w:after="0" w:line="240" w:lineRule="auto"/>
        <w:jc w:val="both"/>
      </w:pPr>
      <w:r>
        <w:rPr>
          <w:b/>
          <w:bCs/>
          <w:i/>
          <w:iCs/>
          <w:color w:val="44546A"/>
          <w:shd w:val="clear" w:color="auto" w:fill="FFFF00"/>
          <w:lang w:val="en-US"/>
        </w:rPr>
        <w:lastRenderedPageBreak/>
        <w:t>Supplementary Material S3.</w:t>
      </w:r>
      <w:r>
        <w:rPr>
          <w:i/>
          <w:iCs/>
          <w:color w:val="44546A"/>
          <w:shd w:val="clear" w:color="auto" w:fill="FFFF00"/>
          <w:lang w:val="en-US"/>
        </w:rPr>
        <w:t xml:space="preserve"> Per</w:t>
      </w:r>
      <w:r>
        <w:rPr>
          <w:i/>
          <w:iCs/>
          <w:color w:val="44546A"/>
          <w:shd w:val="clear" w:color="auto" w:fill="FFFF00"/>
          <w:lang w:val="en-US"/>
        </w:rPr>
        <w:t>-Class Robustness Analysis of Class-Weighted Models - Per-Class Classification F1-Score by Model (all trained with fewer predictors and optimized tuning hyperparameters) for both the levels of analysis. The plots show the mean metric score (bars) and perfo</w:t>
      </w:r>
      <w:r>
        <w:rPr>
          <w:i/>
          <w:iCs/>
          <w:color w:val="44546A"/>
          <w:shd w:val="clear" w:color="auto" w:fill="FFFF00"/>
          <w:lang w:val="en-US"/>
        </w:rPr>
        <w:t>rmance stability (error bars = standard deviation) for each fishing gear class during cross-validation. The red dashed line indicates a minimum acceptable score threshold (60%), allowing for easy visualization of classes where model performance falls short</w:t>
      </w:r>
      <w:r>
        <w:rPr>
          <w:i/>
          <w:iCs/>
          <w:color w:val="44546A"/>
          <w:shd w:val="clear" w:color="auto" w:fill="FFFF00"/>
          <w:lang w:val="en-US"/>
        </w:rPr>
        <w:t xml:space="preserve"> due to the lower number of observations available. </w:t>
      </w:r>
      <w:bookmarkStart w:id="1" w:name="_Hlk213151835"/>
      <w:r>
        <w:rPr>
          <w:i/>
          <w:iCs/>
          <w:color w:val="44546A"/>
          <w:shd w:val="clear" w:color="auto" w:fill="FFFF00"/>
          <w:lang w:val="en-US"/>
        </w:rPr>
        <w:t>The best performing model for each level of analysis is highlighted by the green box.</w:t>
      </w:r>
      <w:bookmarkEnd w:id="1"/>
      <w:r>
        <w:rPr>
          <w:i/>
          <w:iCs/>
          <w:color w:val="44546A"/>
          <w:shd w:val="clear" w:color="auto" w:fill="FFFF00"/>
          <w:lang w:val="en-US"/>
        </w:rPr>
        <w:t xml:space="preserve"> This analysis confirms the robustness of the class-weighted training approach by demonstrating consistent, good perfor</w:t>
      </w:r>
      <w:r>
        <w:rPr>
          <w:i/>
          <w:iCs/>
          <w:color w:val="44546A"/>
          <w:shd w:val="clear" w:color="auto" w:fill="FFFF00"/>
          <w:lang w:val="en-US"/>
        </w:rPr>
        <w:t>mance across all categories, including those affected by class imbalance.</w:t>
      </w:r>
    </w:p>
    <w:p w:rsidR="00431BDC" w:rsidRDefault="00483DF9">
      <w:pPr>
        <w:spacing w:after="0"/>
      </w:pPr>
      <w:r>
        <w:rPr>
          <w:noProof/>
          <w:lang w:val="en-IN" w:eastAsia="en-IN"/>
        </w:rPr>
        <w:lastRenderedPageBreak/>
        <w:drawing>
          <wp:inline distT="0" distB="0" distL="0" distR="0">
            <wp:extent cx="6120134" cy="8159748"/>
            <wp:effectExtent l="0" t="0" r="0" b="0"/>
            <wp:docPr id="3"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6120134" cy="8159748"/>
                    </a:xfrm>
                    <a:prstGeom prst="rect">
                      <a:avLst/>
                    </a:prstGeom>
                    <a:noFill/>
                    <a:ln>
                      <a:noFill/>
                      <a:prstDash/>
                    </a:ln>
                  </pic:spPr>
                </pic:pic>
              </a:graphicData>
            </a:graphic>
          </wp:inline>
        </w:drawing>
      </w:r>
    </w:p>
    <w:p w:rsidR="00431BDC" w:rsidRDefault="00431BDC">
      <w:pPr>
        <w:spacing w:after="0" w:line="240" w:lineRule="auto"/>
        <w:jc w:val="both"/>
        <w:rPr>
          <w:b/>
          <w:bCs/>
          <w:i/>
          <w:iCs/>
          <w:color w:val="44546A"/>
          <w:lang w:val="en-GB"/>
        </w:rPr>
      </w:pPr>
    </w:p>
    <w:p w:rsidR="00431BDC" w:rsidRDefault="00431BDC">
      <w:pPr>
        <w:spacing w:after="0" w:line="240" w:lineRule="auto"/>
        <w:jc w:val="both"/>
        <w:rPr>
          <w:b/>
          <w:bCs/>
          <w:i/>
          <w:iCs/>
          <w:color w:val="44546A"/>
          <w:lang w:val="en-GB"/>
        </w:rPr>
      </w:pPr>
    </w:p>
    <w:p w:rsidR="00431BDC" w:rsidRDefault="00431BDC">
      <w:pPr>
        <w:spacing w:after="0" w:line="240" w:lineRule="auto"/>
        <w:jc w:val="both"/>
        <w:rPr>
          <w:b/>
          <w:bCs/>
          <w:i/>
          <w:iCs/>
          <w:color w:val="44546A"/>
          <w:lang w:val="en-GB"/>
        </w:rPr>
      </w:pPr>
    </w:p>
    <w:p w:rsidR="00431BDC" w:rsidRDefault="00483DF9">
      <w:pPr>
        <w:spacing w:after="0" w:line="240" w:lineRule="auto"/>
        <w:jc w:val="both"/>
      </w:pPr>
      <w:r>
        <w:rPr>
          <w:b/>
          <w:bCs/>
          <w:i/>
          <w:iCs/>
          <w:color w:val="44546A"/>
          <w:shd w:val="clear" w:color="auto" w:fill="FFFF00"/>
          <w:lang w:val="en-GB"/>
        </w:rPr>
        <w:lastRenderedPageBreak/>
        <w:t xml:space="preserve">Supplementary Material S4. </w:t>
      </w:r>
      <w:r>
        <w:rPr>
          <w:rFonts w:eastAsia="Times New Roman"/>
          <w:i/>
          <w:iCs/>
          <w:color w:val="44546A"/>
          <w:shd w:val="clear" w:color="auto" w:fill="FFFF00"/>
          <w:lang w:val="en-GB"/>
        </w:rPr>
        <w:t>Pearson Correlation Heatmap of Model Predictors. The heatmap visualizes the Pearson correlation coefficients between the predictors. The numerical pre</w:t>
      </w:r>
      <w:r>
        <w:rPr>
          <w:rFonts w:eastAsia="Times New Roman"/>
          <w:i/>
          <w:iCs/>
          <w:color w:val="44546A"/>
          <w:shd w:val="clear" w:color="auto" w:fill="FFFF00"/>
          <w:lang w:val="en-GB"/>
        </w:rPr>
        <w:t>dictors were first log(x+1) transformed and subsequently scaled to the [0,1] interval before correlation analysis. Categorical variables (months, hours, main_substrate, and gear_change) were encoded into numerical representations using integer mapping to o</w:t>
      </w:r>
      <w:r>
        <w:rPr>
          <w:rFonts w:eastAsia="Times New Roman"/>
          <w:i/>
          <w:iCs/>
          <w:color w:val="44546A"/>
          <w:shd w:val="clear" w:color="auto" w:fill="FFFF00"/>
          <w:lang w:val="en-GB"/>
        </w:rPr>
        <w:t>bserve their linear relationships with other features. The colour scale ranges from -1 (strong negative correlation) to +1 (strong positive correlation).</w:t>
      </w:r>
    </w:p>
    <w:p w:rsidR="00431BDC" w:rsidRDefault="00483DF9">
      <w:pPr>
        <w:spacing w:after="0"/>
        <w:jc w:val="center"/>
      </w:pPr>
      <w:r>
        <w:rPr>
          <w:noProof/>
          <w:lang w:val="en-IN" w:eastAsia="en-IN"/>
        </w:rPr>
        <w:lastRenderedPageBreak/>
        <w:drawing>
          <wp:inline distT="0" distB="0" distL="0" distR="0">
            <wp:extent cx="6047997" cy="8063499"/>
            <wp:effectExtent l="0" t="0" r="0" b="0"/>
            <wp:docPr id="4" name="Picture 105853012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047997" cy="8063499"/>
                    </a:xfrm>
                    <a:prstGeom prst="rect">
                      <a:avLst/>
                    </a:prstGeom>
                    <a:noFill/>
                    <a:ln>
                      <a:noFill/>
                      <a:prstDash/>
                    </a:ln>
                  </pic:spPr>
                </pic:pic>
              </a:graphicData>
            </a:graphic>
          </wp:inline>
        </w:drawing>
      </w:r>
    </w:p>
    <w:p w:rsidR="00431BDC" w:rsidRDefault="00483DF9">
      <w:pPr>
        <w:spacing w:after="0"/>
      </w:pPr>
      <w:r>
        <w:rPr>
          <w:noProof/>
          <w:lang w:val="en-IN" w:eastAsia="en-IN"/>
        </w:rPr>
        <w:drawing>
          <wp:inline distT="0" distB="0" distL="0" distR="0">
            <wp:extent cx="6119996" cy="8159492"/>
            <wp:effectExtent l="0" t="0" r="0" b="0"/>
            <wp:docPr id="5" name="Picture 62522040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19996" cy="8159492"/>
                    </a:xfrm>
                    <a:prstGeom prst="rect">
                      <a:avLst/>
                    </a:prstGeom>
                    <a:noFill/>
                    <a:ln>
                      <a:noFill/>
                      <a:prstDash/>
                    </a:ln>
                  </pic:spPr>
                </pic:pic>
              </a:graphicData>
            </a:graphic>
          </wp:inline>
        </w:drawing>
      </w:r>
    </w:p>
    <w:p w:rsidR="00431BDC" w:rsidRDefault="00431BDC">
      <w:pPr>
        <w:rPr>
          <w:lang w:val="en-US"/>
        </w:rPr>
      </w:pPr>
    </w:p>
    <w:p w:rsidR="00431BDC" w:rsidRDefault="00431BDC">
      <w:pPr>
        <w:pageBreakBefore/>
      </w:pPr>
    </w:p>
    <w:p w:rsidR="00431BDC" w:rsidRDefault="00483DF9">
      <w:pPr>
        <w:spacing w:after="0" w:line="276" w:lineRule="auto"/>
        <w:jc w:val="both"/>
      </w:pPr>
      <w:r>
        <w:rPr>
          <w:b/>
          <w:bCs/>
          <w:i/>
          <w:iCs/>
          <w:color w:val="44546A"/>
          <w:shd w:val="clear" w:color="auto" w:fill="FFFF00"/>
          <w:lang w:val="en-GB"/>
        </w:rPr>
        <w:t xml:space="preserve">Supplementary Material S5. </w:t>
      </w:r>
      <w:r>
        <w:rPr>
          <w:i/>
          <w:iCs/>
          <w:color w:val="44546A"/>
          <w:shd w:val="clear" w:color="auto" w:fill="FFFF00"/>
        </w:rPr>
        <w:t xml:space="preserve">A visual analysis of the configuration and stability of the LoRe </w:t>
      </w:r>
      <w:r>
        <w:rPr>
          <w:i/>
          <w:iCs/>
          <w:color w:val="44546A"/>
          <w:shd w:val="clear" w:color="auto" w:fill="FFFF00"/>
        </w:rPr>
        <w:t xml:space="preserve">model for both </w:t>
      </w:r>
      <w:r>
        <w:rPr>
          <w:color w:val="44546A"/>
          <w:shd w:val="clear" w:color="auto" w:fill="FFFF00"/>
        </w:rPr>
        <w:t>gear-category</w:t>
      </w:r>
      <w:r>
        <w:rPr>
          <w:i/>
          <w:iCs/>
          <w:color w:val="44546A"/>
          <w:shd w:val="clear" w:color="auto" w:fill="FFFF00"/>
        </w:rPr>
        <w:t xml:space="preserve"> and </w:t>
      </w:r>
      <w:r>
        <w:rPr>
          <w:color w:val="44546A"/>
          <w:shd w:val="clear" w:color="auto" w:fill="FFFF00"/>
        </w:rPr>
        <w:t xml:space="preserve">specific-gears </w:t>
      </w:r>
      <w:r>
        <w:rPr>
          <w:i/>
          <w:iCs/>
          <w:color w:val="44546A"/>
          <w:shd w:val="clear" w:color="auto" w:fill="FFFF00"/>
        </w:rPr>
        <w:t>prediction. A,B,C) Learning Curves track the model's mean performance (Accuracy, Error Rate, and Log Loss, respectively) as the training set size increases. Accuracy curves flattening near the maximum trainin</w:t>
      </w:r>
      <w:r>
        <w:rPr>
          <w:i/>
          <w:iCs/>
          <w:color w:val="44546A"/>
          <w:shd w:val="clear" w:color="auto" w:fill="FFFF00"/>
        </w:rPr>
        <w:t>g size suggests that adding significantly more data is unlikely to yield substantial performance gains. The convergency of Training and CV curves demonstrates the low variance of the model, fitting quite well the cross-validation set and, thus, showing alm</w:t>
      </w:r>
      <w:r>
        <w:rPr>
          <w:i/>
          <w:iCs/>
          <w:color w:val="44546A"/>
          <w:shd w:val="clear" w:color="auto" w:fill="FFFF00"/>
        </w:rPr>
        <w:t>ost no overfitting. D) Confusion matrices of the described model for classification task on the test set, displaying normalized true label percentages and raw prediction counts.</w:t>
      </w:r>
    </w:p>
    <w:p w:rsidR="00431BDC" w:rsidRDefault="00431BDC">
      <w:pPr>
        <w:pageBreakBefore/>
        <w:rPr>
          <w:i/>
          <w:color w:val="44546A"/>
        </w:rPr>
      </w:pPr>
    </w:p>
    <w:p w:rsidR="00431BDC" w:rsidRDefault="00483DF9">
      <w:r>
        <w:rPr>
          <w:noProof/>
          <w:lang w:val="en-IN" w:eastAsia="en-IN"/>
        </w:rPr>
        <w:drawing>
          <wp:inline distT="0" distB="0" distL="0" distR="0">
            <wp:extent cx="6120134" cy="4066537"/>
            <wp:effectExtent l="0" t="0" r="0" b="0"/>
            <wp:docPr id="6" name="Pictur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120134" cy="4066537"/>
                    </a:xfrm>
                    <a:prstGeom prst="rect">
                      <a:avLst/>
                    </a:prstGeom>
                    <a:noFill/>
                    <a:ln>
                      <a:noFill/>
                      <a:prstDash/>
                    </a:ln>
                  </pic:spPr>
                </pic:pic>
              </a:graphicData>
            </a:graphic>
          </wp:inline>
        </w:drawing>
      </w:r>
    </w:p>
    <w:p w:rsidR="00431BDC" w:rsidRDefault="00483DF9">
      <w:r>
        <w:rPr>
          <w:noProof/>
          <w:lang w:val="en-IN" w:eastAsia="en-IN"/>
        </w:rPr>
        <w:drawing>
          <wp:inline distT="0" distB="0" distL="0" distR="0">
            <wp:extent cx="6120134" cy="4066537"/>
            <wp:effectExtent l="0" t="0" r="0" b="0"/>
            <wp:docPr id="7"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120134" cy="4066537"/>
                    </a:xfrm>
                    <a:prstGeom prst="rect">
                      <a:avLst/>
                    </a:prstGeom>
                    <a:noFill/>
                    <a:ln>
                      <a:noFill/>
                      <a:prstDash/>
                    </a:ln>
                  </pic:spPr>
                </pic:pic>
              </a:graphicData>
            </a:graphic>
          </wp:inline>
        </w:drawing>
      </w:r>
    </w:p>
    <w:p w:rsidR="00431BDC" w:rsidRDefault="00431BDC">
      <w:pPr>
        <w:rPr>
          <w:lang w:val="en-GB"/>
        </w:rPr>
      </w:pPr>
    </w:p>
    <w:p w:rsidR="00431BDC" w:rsidRDefault="00431BDC"/>
    <w:sectPr w:rsidR="00431BDC">
      <w:headerReference w:type="default" r:id="rId14"/>
      <w:footerReference w:type="default" r:id="rId15"/>
      <w:pgSz w:w="11906" w:h="16838"/>
      <w:pgMar w:top="1417" w:right="1134" w:bottom="1134" w:left="1134" w:header="708" w:footer="708" w:gutter="0"/>
      <w:lnNumType w:countBy="1" w:distance="180" w:restart="continuou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83DF9">
      <w:pPr>
        <w:spacing w:after="0" w:line="240" w:lineRule="auto"/>
      </w:pPr>
      <w:r>
        <w:separator/>
      </w:r>
    </w:p>
  </w:endnote>
  <w:endnote w:type="continuationSeparator" w:id="0">
    <w:p w:rsidR="00000000" w:rsidRDefault="00483D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0D9" w:rsidRDefault="00483DF9">
    <w:pPr>
      <w:pStyle w:val="Footer"/>
      <w:jc w:val="center"/>
    </w:pPr>
    <w:r>
      <w:fldChar w:fldCharType="begin"/>
    </w:r>
    <w:r>
      <w:instrText xml:space="preserve"> PAGE </w:instrText>
    </w:r>
    <w:r>
      <w:fldChar w:fldCharType="separate"/>
    </w:r>
    <w:r>
      <w:rPr>
        <w:noProof/>
      </w:rPr>
      <w:t>5</w:t>
    </w:r>
    <w:r>
      <w:fldChar w:fldCharType="end"/>
    </w:r>
  </w:p>
  <w:p w:rsidR="00FB50D9" w:rsidRDefault="00483D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83DF9">
      <w:pPr>
        <w:spacing w:after="0" w:line="240" w:lineRule="auto"/>
      </w:pPr>
      <w:r>
        <w:rPr>
          <w:color w:val="000000"/>
        </w:rPr>
        <w:separator/>
      </w:r>
    </w:p>
  </w:footnote>
  <w:footnote w:type="continuationSeparator" w:id="0">
    <w:p w:rsidR="00000000" w:rsidRDefault="00483D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Layout w:type="fixed"/>
      <w:tblCellMar>
        <w:left w:w="10" w:type="dxa"/>
        <w:right w:w="10" w:type="dxa"/>
      </w:tblCellMar>
      <w:tblLook w:val="0000" w:firstRow="0" w:lastRow="0" w:firstColumn="0" w:lastColumn="0" w:noHBand="0" w:noVBand="0"/>
    </w:tblPr>
    <w:tblGrid>
      <w:gridCol w:w="3210"/>
      <w:gridCol w:w="3210"/>
      <w:gridCol w:w="3210"/>
    </w:tblGrid>
    <w:tr w:rsidR="00FB50D9">
      <w:tblPrEx>
        <w:tblCellMar>
          <w:top w:w="0" w:type="dxa"/>
          <w:bottom w:w="0" w:type="dxa"/>
        </w:tblCellMar>
      </w:tblPrEx>
      <w:trPr>
        <w:trHeight w:val="300"/>
      </w:trPr>
      <w:tc>
        <w:tcPr>
          <w:tcW w:w="3210" w:type="dxa"/>
          <w:shd w:val="clear" w:color="auto" w:fill="auto"/>
          <w:tcMar>
            <w:top w:w="0" w:type="dxa"/>
            <w:left w:w="108" w:type="dxa"/>
            <w:bottom w:w="0" w:type="dxa"/>
            <w:right w:w="108" w:type="dxa"/>
          </w:tcMar>
        </w:tcPr>
        <w:p w:rsidR="00FB50D9" w:rsidRDefault="00483DF9">
          <w:pPr>
            <w:pStyle w:val="Header"/>
            <w:ind w:left="-115"/>
          </w:pPr>
        </w:p>
      </w:tc>
      <w:tc>
        <w:tcPr>
          <w:tcW w:w="3210" w:type="dxa"/>
          <w:shd w:val="clear" w:color="auto" w:fill="auto"/>
          <w:tcMar>
            <w:top w:w="0" w:type="dxa"/>
            <w:left w:w="108" w:type="dxa"/>
            <w:bottom w:w="0" w:type="dxa"/>
            <w:right w:w="108" w:type="dxa"/>
          </w:tcMar>
        </w:tcPr>
        <w:p w:rsidR="00FB50D9" w:rsidRDefault="00483DF9">
          <w:pPr>
            <w:pStyle w:val="Header"/>
            <w:jc w:val="center"/>
          </w:pPr>
        </w:p>
      </w:tc>
      <w:tc>
        <w:tcPr>
          <w:tcW w:w="3210" w:type="dxa"/>
          <w:shd w:val="clear" w:color="auto" w:fill="auto"/>
          <w:tcMar>
            <w:top w:w="0" w:type="dxa"/>
            <w:left w:w="108" w:type="dxa"/>
            <w:bottom w:w="0" w:type="dxa"/>
            <w:right w:w="108" w:type="dxa"/>
          </w:tcMar>
        </w:tcPr>
        <w:p w:rsidR="00FB50D9" w:rsidRDefault="00483DF9">
          <w:pPr>
            <w:pStyle w:val="Header"/>
            <w:ind w:right="-115"/>
            <w:jc w:val="right"/>
          </w:pPr>
        </w:p>
      </w:tc>
    </w:tr>
  </w:tbl>
  <w:p w:rsidR="00FB50D9" w:rsidRDefault="00483DF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
  <w:rsids>
    <w:rsidRoot w:val="00431BDC"/>
    <w:rsid w:val="00431BDC"/>
    <w:rsid w:val="00483DF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BF48A0-9E77-4D6A-A2AD-44CE0FD8F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it-IT" w:eastAsia="en-US" w:bidi="ar-SA"/>
      </w:rPr>
    </w:rPrDefault>
    <w:pPrDefault>
      <w:pPr>
        <w:autoSpaceDN w:val="0"/>
        <w:spacing w:after="160" w:line="254"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819"/>
        <w:tab w:val="right" w:pos="9638"/>
      </w:tabs>
      <w:spacing w:after="0" w:line="240" w:lineRule="auto"/>
    </w:pPr>
  </w:style>
  <w:style w:type="character" w:customStyle="1" w:styleId="HeaderChar">
    <w:name w:val="Header Char"/>
    <w:basedOn w:val="DefaultParagraphFont"/>
  </w:style>
  <w:style w:type="paragraph" w:styleId="Footer">
    <w:name w:val="footer"/>
    <w:basedOn w:val="Normal"/>
    <w:pPr>
      <w:tabs>
        <w:tab w:val="center" w:pos="4819"/>
        <w:tab w:val="right" w:pos="9638"/>
      </w:tabs>
      <w:spacing w:after="0" w:line="240" w:lineRule="auto"/>
    </w:pPr>
  </w:style>
  <w:style w:type="character" w:customStyle="1" w:styleId="FooterChar">
    <w:name w:val="Footer Char"/>
    <w:basedOn w:val="DefaultParagraphFont"/>
  </w:style>
  <w:style w:type="character" w:styleId="LineNumber">
    <w:name w:val="lin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oi.org/10.6084/m9.figshare.29647448" TargetMode="External"/><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626</Words>
  <Characters>3573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Lattanzi</dc:creator>
  <dc:description/>
  <cp:lastModifiedBy>E403155</cp:lastModifiedBy>
  <cp:revision>2</cp:revision>
  <dcterms:created xsi:type="dcterms:W3CDTF">2026-02-27T10:02:00Z</dcterms:created>
  <dcterms:modified xsi:type="dcterms:W3CDTF">2026-02-27T10:02:00Z</dcterms:modified>
</cp:coreProperties>
</file>