
<file path=[Content_Types].xml><?xml version="1.0" encoding="utf-8"?>
<Types xmlns="http://schemas.openxmlformats.org/package/2006/content-types">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D0F28" w14:textId="1F6B7DC5" w:rsidR="00561B2F" w:rsidRPr="00C91676" w:rsidRDefault="00561B2F" w:rsidP="00561B2F">
      <w:pPr>
        <w:pStyle w:val="Title1"/>
        <w:spacing w:before="240" w:after="240" w:line="240" w:lineRule="atLeast"/>
        <w:rPr>
          <w:rFonts w:cs="Arial"/>
          <w:szCs w:val="32"/>
          <w:lang w:val="en-US"/>
        </w:rPr>
      </w:pPr>
      <w:bookmarkStart w:id="0" w:name="_Hlk109048647"/>
      <w:r w:rsidRPr="00242DF1">
        <w:rPr>
          <w:rFonts w:cs="Arial"/>
          <w:szCs w:val="32"/>
          <w:lang w:val="en-US"/>
        </w:rPr>
        <w:t xml:space="preserve">Pd nanoparticles supported on activated carbon and their application </w:t>
      </w:r>
      <w:r w:rsidR="00B65E0F" w:rsidRPr="00B65E0F">
        <w:rPr>
          <w:rFonts w:cs="Arial"/>
          <w:szCs w:val="32"/>
          <w:lang w:val="en-US"/>
        </w:rPr>
        <w:t xml:space="preserve">in the oxidative condensation reaction </w:t>
      </w:r>
      <w:r w:rsidRPr="00242DF1">
        <w:rPr>
          <w:rFonts w:cs="Arial"/>
          <w:szCs w:val="32"/>
          <w:lang w:val="en-US"/>
        </w:rPr>
        <w:t>of furfural</w:t>
      </w:r>
      <w:r>
        <w:rPr>
          <w:rFonts w:cs="Arial"/>
          <w:szCs w:val="32"/>
          <w:lang w:val="en-US"/>
        </w:rPr>
        <w:t xml:space="preserve">. </w:t>
      </w:r>
      <w:r w:rsidRPr="00242DF1">
        <w:rPr>
          <w:rFonts w:cs="Arial"/>
          <w:szCs w:val="32"/>
          <w:lang w:val="en-US"/>
        </w:rPr>
        <w:t>Effect of base and oxidizing agent on catalytic behavior and deactivation</w:t>
      </w:r>
      <w:r w:rsidRPr="00C91676">
        <w:rPr>
          <w:rFonts w:cs="Arial"/>
          <w:szCs w:val="32"/>
          <w:lang w:val="en-US"/>
        </w:rPr>
        <w:t xml:space="preserve"> </w:t>
      </w:r>
    </w:p>
    <w:bookmarkEnd w:id="0"/>
    <w:p w14:paraId="7770B56D" w14:textId="09D30344" w:rsidR="00561B2F" w:rsidRPr="00561B2F" w:rsidRDefault="00561B2F" w:rsidP="00561B2F">
      <w:pPr>
        <w:pStyle w:val="Authors"/>
        <w:spacing w:before="240" w:after="240" w:line="240" w:lineRule="atLeast"/>
        <w:rPr>
          <w:rFonts w:cs="Arial"/>
          <w:sz w:val="20"/>
          <w:szCs w:val="20"/>
          <w:lang w:val="es-ES"/>
        </w:rPr>
      </w:pPr>
      <w:r w:rsidRPr="00561B2F">
        <w:rPr>
          <w:rFonts w:cs="Arial"/>
          <w:sz w:val="20"/>
          <w:szCs w:val="20"/>
          <w:lang w:val="es-ES"/>
        </w:rPr>
        <w:t xml:space="preserve">Rocío Maderuelo </w:t>
      </w:r>
      <w:proofErr w:type="gramStart"/>
      <w:r w:rsidRPr="00561B2F">
        <w:rPr>
          <w:rFonts w:cs="Arial"/>
          <w:sz w:val="20"/>
          <w:szCs w:val="20"/>
          <w:lang w:val="es-ES"/>
        </w:rPr>
        <w:t>Solera,</w:t>
      </w:r>
      <w:r w:rsidRPr="00561B2F">
        <w:rPr>
          <w:rFonts w:cs="Arial"/>
          <w:sz w:val="20"/>
          <w:szCs w:val="20"/>
          <w:vertAlign w:val="superscript"/>
          <w:lang w:val="es-ES"/>
        </w:rPr>
        <w:t>[</w:t>
      </w:r>
      <w:proofErr w:type="spellStart"/>
      <w:r w:rsidRPr="00561B2F">
        <w:rPr>
          <w:rFonts w:cs="Arial"/>
          <w:sz w:val="20"/>
          <w:szCs w:val="20"/>
          <w:vertAlign w:val="superscript"/>
          <w:lang w:val="es-ES"/>
        </w:rPr>
        <w:t>a,b</w:t>
      </w:r>
      <w:proofErr w:type="spellEnd"/>
      <w:proofErr w:type="gramEnd"/>
      <w:r w:rsidRPr="00561B2F">
        <w:rPr>
          <w:rFonts w:cs="Arial"/>
          <w:sz w:val="20"/>
          <w:szCs w:val="20"/>
          <w:vertAlign w:val="superscript"/>
          <w:lang w:val="es-ES"/>
        </w:rPr>
        <w:t>]</w:t>
      </w:r>
      <w:r w:rsidRPr="00561B2F">
        <w:rPr>
          <w:rFonts w:cs="Arial"/>
          <w:sz w:val="20"/>
          <w:szCs w:val="20"/>
          <w:lang w:val="es-ES"/>
        </w:rPr>
        <w:t xml:space="preserve"> Eleonora </w:t>
      </w:r>
      <w:proofErr w:type="gramStart"/>
      <w:r w:rsidRPr="00561B2F">
        <w:rPr>
          <w:rFonts w:cs="Arial"/>
          <w:sz w:val="20"/>
          <w:szCs w:val="20"/>
          <w:lang w:val="es-ES"/>
        </w:rPr>
        <w:t>Monti,</w:t>
      </w:r>
      <w:r w:rsidRPr="00561B2F">
        <w:rPr>
          <w:rFonts w:cs="Arial"/>
          <w:sz w:val="20"/>
          <w:szCs w:val="20"/>
          <w:vertAlign w:val="superscript"/>
          <w:lang w:val="es-ES"/>
        </w:rPr>
        <w:t>[</w:t>
      </w:r>
      <w:proofErr w:type="spellStart"/>
      <w:r w:rsidRPr="00561B2F">
        <w:rPr>
          <w:rFonts w:cs="Arial"/>
          <w:sz w:val="20"/>
          <w:szCs w:val="20"/>
          <w:vertAlign w:val="superscript"/>
          <w:lang w:val="es-ES"/>
        </w:rPr>
        <w:t>c,d</w:t>
      </w:r>
      <w:proofErr w:type="spellEnd"/>
      <w:proofErr w:type="gramEnd"/>
      <w:r w:rsidRPr="00561B2F">
        <w:rPr>
          <w:rFonts w:cs="Arial"/>
          <w:sz w:val="20"/>
          <w:szCs w:val="20"/>
          <w:vertAlign w:val="superscript"/>
          <w:lang w:val="es-ES"/>
        </w:rPr>
        <w:t>]</w:t>
      </w:r>
      <w:r w:rsidRPr="00561B2F">
        <w:rPr>
          <w:rFonts w:cs="Arial"/>
          <w:sz w:val="20"/>
          <w:szCs w:val="20"/>
          <w:lang w:val="es-ES"/>
        </w:rPr>
        <w:t xml:space="preserve"> Ramón Moreno-</w:t>
      </w:r>
      <w:proofErr w:type="gramStart"/>
      <w:r w:rsidRPr="00561B2F">
        <w:rPr>
          <w:rFonts w:cs="Arial"/>
          <w:sz w:val="20"/>
          <w:szCs w:val="20"/>
          <w:lang w:val="es-ES"/>
        </w:rPr>
        <w:t>Tost,</w:t>
      </w:r>
      <w:r w:rsidRPr="00561B2F">
        <w:rPr>
          <w:rFonts w:cs="Arial"/>
          <w:sz w:val="20"/>
          <w:szCs w:val="20"/>
          <w:vertAlign w:val="superscript"/>
          <w:lang w:val="es-ES"/>
        </w:rPr>
        <w:t>[</w:t>
      </w:r>
      <w:proofErr w:type="spellStart"/>
      <w:r w:rsidRPr="00561B2F">
        <w:rPr>
          <w:rFonts w:cs="Arial"/>
          <w:sz w:val="20"/>
          <w:szCs w:val="20"/>
          <w:vertAlign w:val="superscript"/>
          <w:lang w:val="es-ES"/>
        </w:rPr>
        <w:t>a,b</w:t>
      </w:r>
      <w:proofErr w:type="spellEnd"/>
      <w:proofErr w:type="gramEnd"/>
      <w:r w:rsidRPr="00561B2F">
        <w:rPr>
          <w:rFonts w:cs="Arial"/>
          <w:sz w:val="20"/>
          <w:szCs w:val="20"/>
          <w:vertAlign w:val="superscript"/>
          <w:lang w:val="es-ES"/>
        </w:rPr>
        <w:t>]</w:t>
      </w:r>
      <w:r w:rsidRPr="00561B2F">
        <w:rPr>
          <w:rFonts w:cs="Arial"/>
          <w:sz w:val="20"/>
          <w:szCs w:val="20"/>
          <w:lang w:val="es-ES"/>
        </w:rPr>
        <w:t xml:space="preserve"> Cristina García-</w:t>
      </w:r>
      <w:proofErr w:type="gramStart"/>
      <w:r w:rsidRPr="00561B2F">
        <w:rPr>
          <w:rFonts w:cs="Arial"/>
          <w:sz w:val="20"/>
          <w:szCs w:val="20"/>
          <w:lang w:val="es-ES"/>
        </w:rPr>
        <w:t>Sancho,</w:t>
      </w:r>
      <w:r w:rsidRPr="00561B2F">
        <w:rPr>
          <w:rFonts w:cs="Arial"/>
          <w:sz w:val="20"/>
          <w:szCs w:val="20"/>
          <w:vertAlign w:val="superscript"/>
          <w:lang w:val="es-ES"/>
        </w:rPr>
        <w:t>[</w:t>
      </w:r>
      <w:proofErr w:type="spellStart"/>
      <w:r w:rsidRPr="00561B2F">
        <w:rPr>
          <w:rFonts w:cs="Arial"/>
          <w:sz w:val="20"/>
          <w:szCs w:val="20"/>
          <w:vertAlign w:val="superscript"/>
          <w:lang w:val="es-ES"/>
        </w:rPr>
        <w:t>a,b</w:t>
      </w:r>
      <w:proofErr w:type="spellEnd"/>
      <w:proofErr w:type="gramEnd"/>
      <w:r w:rsidRPr="00561B2F">
        <w:rPr>
          <w:rFonts w:cs="Arial"/>
          <w:sz w:val="20"/>
          <w:szCs w:val="20"/>
          <w:vertAlign w:val="superscript"/>
          <w:lang w:val="es-ES"/>
        </w:rPr>
        <w:t>]</w:t>
      </w:r>
      <w:r w:rsidRPr="00561B2F">
        <w:rPr>
          <w:rFonts w:cs="Arial"/>
          <w:sz w:val="20"/>
          <w:szCs w:val="20"/>
          <w:lang w:val="es-ES"/>
        </w:rPr>
        <w:t xml:space="preserve"> Pedro Maireles-</w:t>
      </w:r>
      <w:proofErr w:type="gramStart"/>
      <w:r w:rsidRPr="00561B2F">
        <w:rPr>
          <w:rFonts w:cs="Arial"/>
          <w:sz w:val="20"/>
          <w:szCs w:val="20"/>
          <w:lang w:val="es-ES"/>
        </w:rPr>
        <w:t>Torres,</w:t>
      </w:r>
      <w:r w:rsidRPr="00561B2F">
        <w:rPr>
          <w:rFonts w:cs="Arial"/>
          <w:sz w:val="20"/>
          <w:szCs w:val="20"/>
          <w:vertAlign w:val="superscript"/>
          <w:lang w:val="es-ES"/>
        </w:rPr>
        <w:t>[</w:t>
      </w:r>
      <w:proofErr w:type="spellStart"/>
      <w:r w:rsidRPr="00561B2F">
        <w:rPr>
          <w:rFonts w:cs="Arial"/>
          <w:sz w:val="20"/>
          <w:szCs w:val="20"/>
          <w:vertAlign w:val="superscript"/>
          <w:lang w:val="es-ES"/>
        </w:rPr>
        <w:t>a,b</w:t>
      </w:r>
      <w:proofErr w:type="spellEnd"/>
      <w:proofErr w:type="gramEnd"/>
      <w:r w:rsidRPr="00561B2F">
        <w:rPr>
          <w:rFonts w:cs="Arial"/>
          <w:sz w:val="20"/>
          <w:szCs w:val="20"/>
          <w:vertAlign w:val="superscript"/>
          <w:lang w:val="es-ES"/>
        </w:rPr>
        <w:t>]</w:t>
      </w:r>
      <w:r w:rsidRPr="00561B2F">
        <w:rPr>
          <w:rFonts w:cs="Arial"/>
          <w:sz w:val="20"/>
          <w:szCs w:val="20"/>
          <w:lang w:val="es-ES"/>
        </w:rPr>
        <w:t xml:space="preserve"> Juan Antonio Cecilia*</w:t>
      </w:r>
      <w:r w:rsidRPr="00561B2F">
        <w:rPr>
          <w:rFonts w:cs="Arial"/>
          <w:sz w:val="20"/>
          <w:szCs w:val="20"/>
          <w:vertAlign w:val="superscript"/>
          <w:lang w:val="es-ES"/>
        </w:rPr>
        <w:t>[</w:t>
      </w:r>
      <w:proofErr w:type="spellStart"/>
      <w:proofErr w:type="gramStart"/>
      <w:r w:rsidRPr="00561B2F">
        <w:rPr>
          <w:rFonts w:cs="Arial"/>
          <w:sz w:val="20"/>
          <w:szCs w:val="20"/>
          <w:vertAlign w:val="superscript"/>
          <w:lang w:val="es-ES"/>
        </w:rPr>
        <w:t>a,b</w:t>
      </w:r>
      <w:proofErr w:type="spellEnd"/>
      <w:proofErr w:type="gramEnd"/>
      <w:r w:rsidRPr="00561B2F">
        <w:rPr>
          <w:rFonts w:cs="Arial"/>
          <w:sz w:val="20"/>
          <w:szCs w:val="20"/>
          <w:vertAlign w:val="superscript"/>
          <w:lang w:val="es-ES"/>
        </w:rPr>
        <w:t xml:space="preserve">] </w:t>
      </w:r>
      <w:r w:rsidRPr="00561B2F">
        <w:rPr>
          <w:rFonts w:cs="Arial"/>
          <w:sz w:val="20"/>
          <w:szCs w:val="20"/>
          <w:lang w:val="es-ES"/>
        </w:rPr>
        <w:t>and Nikolaos Dimitratos*</w:t>
      </w:r>
      <w:r w:rsidRPr="00561B2F">
        <w:rPr>
          <w:rFonts w:cs="Arial"/>
          <w:sz w:val="20"/>
          <w:szCs w:val="20"/>
          <w:vertAlign w:val="superscript"/>
          <w:lang w:val="es-ES"/>
        </w:rPr>
        <w:t>[</w:t>
      </w:r>
      <w:proofErr w:type="spellStart"/>
      <w:proofErr w:type="gramStart"/>
      <w:r w:rsidRPr="00561B2F">
        <w:rPr>
          <w:rFonts w:cs="Arial"/>
          <w:sz w:val="20"/>
          <w:szCs w:val="20"/>
          <w:vertAlign w:val="superscript"/>
          <w:lang w:val="es-ES"/>
        </w:rPr>
        <w:t>c,d</w:t>
      </w:r>
      <w:proofErr w:type="spellEnd"/>
      <w:proofErr w:type="gramEnd"/>
      <w:r w:rsidRPr="00561B2F">
        <w:rPr>
          <w:rFonts w:cs="Arial"/>
          <w:sz w:val="20"/>
          <w:szCs w:val="20"/>
          <w:vertAlign w:val="superscript"/>
          <w:lang w:val="es-ES"/>
        </w:rPr>
        <w:t>]</w:t>
      </w:r>
    </w:p>
    <w:p w14:paraId="68FB6C0F" w14:textId="0AFF190D" w:rsidR="004C124F" w:rsidRPr="00561B2F" w:rsidRDefault="004C124F" w:rsidP="00561B2F">
      <w:pPr>
        <w:spacing w:before="240" w:after="240" w:line="240" w:lineRule="auto"/>
        <w:jc w:val="both"/>
        <w:rPr>
          <w:rFonts w:ascii="Arial" w:hAnsi="Arial" w:cs="Arial"/>
          <w:b/>
          <w:bCs/>
          <w:sz w:val="20"/>
          <w:szCs w:val="20"/>
          <w:lang w:val="en-US"/>
        </w:rPr>
      </w:pPr>
      <w:r w:rsidRPr="00561B2F">
        <w:rPr>
          <w:rFonts w:ascii="Arial" w:hAnsi="Arial" w:cs="Arial"/>
          <w:b/>
          <w:bCs/>
          <w:sz w:val="20"/>
          <w:szCs w:val="20"/>
          <w:lang w:val="en-US"/>
        </w:rPr>
        <w:t>Supplementary material</w:t>
      </w:r>
    </w:p>
    <w:p w14:paraId="20F2F45C" w14:textId="317A089D" w:rsidR="004C124F" w:rsidRPr="00B65492" w:rsidRDefault="00B65492" w:rsidP="00561B2F">
      <w:pPr>
        <w:spacing w:before="240" w:after="240" w:line="240" w:lineRule="auto"/>
        <w:jc w:val="both"/>
        <w:rPr>
          <w:rFonts w:ascii="Arial" w:hAnsi="Arial" w:cs="Arial"/>
          <w:sz w:val="20"/>
          <w:szCs w:val="20"/>
          <w:lang w:val="en-US"/>
        </w:rPr>
      </w:pPr>
      <w:r w:rsidRPr="00B65492">
        <w:rPr>
          <w:rFonts w:ascii="Arial" w:hAnsi="Arial" w:cs="Arial"/>
          <w:sz w:val="20"/>
          <w:szCs w:val="20"/>
          <w:lang w:val="en-US"/>
        </w:rPr>
        <w:t>Powder X-ray diffraction patterns were obtained on a Philips EMPYREAN automated diffractometer using Cu K</w:t>
      </w:r>
      <w:r w:rsidRPr="00B65492">
        <w:rPr>
          <w:rFonts w:ascii="Arial" w:hAnsi="Arial" w:cs="Arial"/>
          <w:sz w:val="20"/>
          <w:szCs w:val="20"/>
          <w:vertAlign w:val="subscript"/>
        </w:rPr>
        <w:t>α</w:t>
      </w:r>
      <w:r w:rsidRPr="00B65492">
        <w:rPr>
          <w:rFonts w:ascii="Arial" w:hAnsi="Arial" w:cs="Arial"/>
          <w:sz w:val="20"/>
          <w:szCs w:val="20"/>
          <w:vertAlign w:val="subscript"/>
          <w:lang w:val="en-US"/>
        </w:rPr>
        <w:t>1,2</w:t>
      </w:r>
      <w:r w:rsidRPr="00B65492">
        <w:rPr>
          <w:rFonts w:ascii="Arial" w:hAnsi="Arial" w:cs="Arial"/>
          <w:sz w:val="20"/>
          <w:szCs w:val="20"/>
          <w:lang w:val="en-US"/>
        </w:rPr>
        <w:t xml:space="preserve"> (1.5406 Å) and a </w:t>
      </w:r>
      <w:proofErr w:type="spellStart"/>
      <w:r w:rsidRPr="00B65492">
        <w:rPr>
          <w:rFonts w:ascii="Arial" w:hAnsi="Arial" w:cs="Arial"/>
          <w:sz w:val="20"/>
          <w:szCs w:val="20"/>
          <w:lang w:val="en-US"/>
        </w:rPr>
        <w:t>PIXcel</w:t>
      </w:r>
      <w:proofErr w:type="spellEnd"/>
      <w:r w:rsidRPr="00B65492">
        <w:rPr>
          <w:rFonts w:ascii="Arial" w:hAnsi="Arial" w:cs="Arial"/>
          <w:sz w:val="20"/>
          <w:szCs w:val="20"/>
          <w:lang w:val="en-US"/>
        </w:rPr>
        <w:t xml:space="preserve"> detector. Divergence and anti-divergence slits were fixed at 1/4º and 1/2º Soller slits, respectively, for incident and refracted rays were employed at 0.04 rads. Measures were taken from 5 to 80º (2</w:t>
      </w:r>
      <w:r w:rsidRPr="00B65492">
        <w:rPr>
          <w:rFonts w:ascii="Arial" w:hAnsi="Arial" w:cs="Arial"/>
          <w:sz w:val="20"/>
          <w:szCs w:val="20"/>
        </w:rPr>
        <w:t>θ</w:t>
      </w:r>
      <w:r w:rsidRPr="00B65492">
        <w:rPr>
          <w:rFonts w:ascii="Arial" w:hAnsi="Arial" w:cs="Arial"/>
          <w:sz w:val="20"/>
          <w:szCs w:val="20"/>
          <w:lang w:val="en-US"/>
        </w:rPr>
        <w:t>) for approximately 30 min with a step size of 0.0167º. The X-ray tube voltage employed was 45 kV and current of 40 mA. The sample was rotated continuously to increase particle statistics</w:t>
      </w:r>
    </w:p>
    <w:p w14:paraId="14C6DDF0" w14:textId="03E770D8" w:rsidR="006A706E" w:rsidRPr="00561B2F" w:rsidRDefault="006A706E" w:rsidP="00561B2F">
      <w:pPr>
        <w:spacing w:before="240" w:after="240" w:line="240" w:lineRule="auto"/>
        <w:jc w:val="both"/>
        <w:rPr>
          <w:rFonts w:ascii="Arial" w:hAnsi="Arial" w:cs="Arial"/>
          <w:color w:val="000000" w:themeColor="text1"/>
          <w:sz w:val="20"/>
          <w:szCs w:val="20"/>
          <w:lang w:val="en-GB"/>
        </w:rPr>
      </w:pPr>
      <w:r w:rsidRPr="00561B2F">
        <w:rPr>
          <w:rFonts w:ascii="Arial" w:hAnsi="Arial" w:cs="Arial"/>
          <w:color w:val="000000" w:themeColor="text1"/>
          <w:sz w:val="20"/>
          <w:szCs w:val="20"/>
          <w:lang w:val="en-GB"/>
        </w:rPr>
        <w:t>The determination of the textural properties of the AC and Pd-based catalysts supported on AC was carried out through N</w:t>
      </w:r>
      <w:r w:rsidRPr="00561B2F">
        <w:rPr>
          <w:rFonts w:ascii="Arial" w:hAnsi="Arial" w:cs="Arial"/>
          <w:color w:val="000000" w:themeColor="text1"/>
          <w:sz w:val="20"/>
          <w:szCs w:val="20"/>
          <w:vertAlign w:val="subscript"/>
          <w:lang w:val="en-GB"/>
        </w:rPr>
        <w:t>2</w:t>
      </w:r>
      <w:r w:rsidRPr="00561B2F">
        <w:rPr>
          <w:rFonts w:ascii="Arial" w:hAnsi="Arial" w:cs="Arial"/>
          <w:color w:val="000000" w:themeColor="text1"/>
          <w:sz w:val="20"/>
          <w:szCs w:val="20"/>
          <w:lang w:val="en-GB"/>
        </w:rPr>
        <w:t xml:space="preserve"> adsorption-desorption at -196 °C and CO</w:t>
      </w:r>
      <w:r w:rsidRPr="00561B2F">
        <w:rPr>
          <w:rFonts w:ascii="Arial" w:hAnsi="Arial" w:cs="Arial"/>
          <w:color w:val="000000" w:themeColor="text1"/>
          <w:sz w:val="20"/>
          <w:szCs w:val="20"/>
          <w:vertAlign w:val="subscript"/>
          <w:lang w:val="en-GB"/>
        </w:rPr>
        <w:t>2</w:t>
      </w:r>
      <w:r w:rsidRPr="00561B2F">
        <w:rPr>
          <w:rFonts w:ascii="Arial" w:hAnsi="Arial" w:cs="Arial"/>
          <w:color w:val="000000" w:themeColor="text1"/>
          <w:sz w:val="20"/>
          <w:szCs w:val="20"/>
          <w:lang w:val="en-GB"/>
        </w:rPr>
        <w:t xml:space="preserve"> adsorption-desorption at 0 °C, both experiments were performed using an ASAP 2020 equipment. Prior to each measurement, the samples were degassed under vacuum overnight at 100 °C.</w:t>
      </w:r>
      <w:r w:rsidRPr="00561B2F">
        <w:rPr>
          <w:rFonts w:ascii="Arial" w:hAnsi="Arial" w:cs="Arial"/>
          <w:color w:val="000000" w:themeColor="text1"/>
          <w:sz w:val="20"/>
          <w:szCs w:val="20"/>
          <w:lang w:val="en-US"/>
        </w:rPr>
        <w:t xml:space="preserve"> The de Boer’s t-plot method was used to obtain the micropore surface areas, whereas the specific surface area was deduced from the </w:t>
      </w:r>
      <w:proofErr w:type="spellStart"/>
      <w:r w:rsidRPr="00561B2F">
        <w:rPr>
          <w:rFonts w:ascii="Arial" w:hAnsi="Arial" w:cs="Arial"/>
          <w:color w:val="000000" w:themeColor="text1"/>
          <w:sz w:val="20"/>
          <w:szCs w:val="20"/>
          <w:lang w:val="en-US"/>
        </w:rPr>
        <w:t>Brunauer</w:t>
      </w:r>
      <w:proofErr w:type="spellEnd"/>
      <w:r w:rsidRPr="00561B2F">
        <w:rPr>
          <w:rFonts w:ascii="Arial" w:hAnsi="Arial" w:cs="Arial"/>
          <w:color w:val="000000" w:themeColor="text1"/>
          <w:sz w:val="20"/>
          <w:szCs w:val="20"/>
          <w:lang w:val="en-US"/>
        </w:rPr>
        <w:t>-Emmett-Teller equation (BET), considering a N</w:t>
      </w:r>
      <w:r w:rsidRPr="00561B2F">
        <w:rPr>
          <w:rFonts w:ascii="Arial" w:hAnsi="Arial" w:cs="Arial"/>
          <w:color w:val="000000" w:themeColor="text1"/>
          <w:sz w:val="20"/>
          <w:szCs w:val="20"/>
          <w:vertAlign w:val="subscript"/>
          <w:lang w:val="en-US"/>
        </w:rPr>
        <w:t>2</w:t>
      </w:r>
      <w:r w:rsidRPr="00561B2F">
        <w:rPr>
          <w:rFonts w:ascii="Arial" w:hAnsi="Arial" w:cs="Arial"/>
          <w:color w:val="000000" w:themeColor="text1"/>
          <w:sz w:val="20"/>
          <w:szCs w:val="20"/>
          <w:lang w:val="en-US"/>
        </w:rPr>
        <w:t xml:space="preserve"> cross section of 16.2 Å</w:t>
      </w:r>
      <w:r w:rsidRPr="00561B2F">
        <w:rPr>
          <w:rFonts w:ascii="Arial" w:hAnsi="Arial" w:cs="Arial"/>
          <w:color w:val="000000" w:themeColor="text1"/>
          <w:sz w:val="20"/>
          <w:szCs w:val="20"/>
          <w:vertAlign w:val="superscript"/>
          <w:lang w:val="en-US"/>
        </w:rPr>
        <w:t>2</w:t>
      </w:r>
      <w:r w:rsidRPr="00561B2F">
        <w:rPr>
          <w:rFonts w:ascii="Arial" w:hAnsi="Arial" w:cs="Arial"/>
          <w:color w:val="000000" w:themeColor="text1"/>
          <w:sz w:val="20"/>
          <w:szCs w:val="20"/>
          <w:lang w:val="en-GB"/>
        </w:rPr>
        <w:t>. In addition, the CO</w:t>
      </w:r>
      <w:r w:rsidRPr="00561B2F">
        <w:rPr>
          <w:rFonts w:ascii="Arial" w:hAnsi="Arial" w:cs="Arial"/>
          <w:color w:val="000000" w:themeColor="text1"/>
          <w:sz w:val="20"/>
          <w:szCs w:val="20"/>
          <w:vertAlign w:val="subscript"/>
          <w:lang w:val="en-GB"/>
        </w:rPr>
        <w:t>2</w:t>
      </w:r>
      <w:r w:rsidRPr="00561B2F">
        <w:rPr>
          <w:rFonts w:ascii="Arial" w:hAnsi="Arial" w:cs="Arial"/>
          <w:color w:val="000000" w:themeColor="text1"/>
          <w:sz w:val="20"/>
          <w:szCs w:val="20"/>
          <w:lang w:val="en-GB"/>
        </w:rPr>
        <w:t xml:space="preserve"> adsorption data was used to compute the narrow micropore volume (V</w:t>
      </w:r>
      <w:r w:rsidRPr="00561B2F">
        <w:rPr>
          <w:rFonts w:ascii="Arial" w:hAnsi="Arial" w:cs="Arial"/>
          <w:color w:val="000000" w:themeColor="text1"/>
          <w:sz w:val="20"/>
          <w:szCs w:val="20"/>
          <w:vertAlign w:val="subscript"/>
          <w:lang w:val="en-GB"/>
        </w:rPr>
        <w:t>DR</w:t>
      </w:r>
      <w:r w:rsidRPr="00561B2F">
        <w:rPr>
          <w:rFonts w:ascii="Arial" w:hAnsi="Arial" w:cs="Arial"/>
          <w:color w:val="000000" w:themeColor="text1"/>
          <w:sz w:val="20"/>
          <w:szCs w:val="20"/>
          <w:lang w:val="en-GB"/>
        </w:rPr>
        <w:t>) and surface area (A</w:t>
      </w:r>
      <w:r w:rsidRPr="00561B2F">
        <w:rPr>
          <w:rFonts w:ascii="Arial" w:hAnsi="Arial" w:cs="Arial"/>
          <w:color w:val="000000" w:themeColor="text1"/>
          <w:sz w:val="20"/>
          <w:szCs w:val="20"/>
          <w:vertAlign w:val="subscript"/>
          <w:lang w:val="en-GB"/>
        </w:rPr>
        <w:t>DR</w:t>
      </w:r>
      <w:r w:rsidRPr="00561B2F">
        <w:rPr>
          <w:rFonts w:ascii="Arial" w:hAnsi="Arial" w:cs="Arial"/>
          <w:color w:val="000000" w:themeColor="text1"/>
          <w:sz w:val="20"/>
          <w:szCs w:val="20"/>
          <w:lang w:val="en-GB"/>
        </w:rPr>
        <w:t>) via the Dubinin–</w:t>
      </w:r>
      <w:proofErr w:type="spellStart"/>
      <w:r w:rsidRPr="00561B2F">
        <w:rPr>
          <w:rFonts w:ascii="Arial" w:hAnsi="Arial" w:cs="Arial"/>
          <w:color w:val="000000" w:themeColor="text1"/>
          <w:sz w:val="20"/>
          <w:szCs w:val="20"/>
          <w:lang w:val="en-GB"/>
        </w:rPr>
        <w:t>Radushkevich</w:t>
      </w:r>
      <w:proofErr w:type="spellEnd"/>
      <w:r w:rsidRPr="00561B2F">
        <w:rPr>
          <w:rFonts w:ascii="Arial" w:hAnsi="Arial" w:cs="Arial"/>
          <w:color w:val="000000" w:themeColor="text1"/>
          <w:sz w:val="20"/>
          <w:szCs w:val="20"/>
          <w:lang w:val="en-GB"/>
        </w:rPr>
        <w:t xml:space="preserve"> equation.</w:t>
      </w:r>
    </w:p>
    <w:p w14:paraId="273E4C74" w14:textId="18A59AD4" w:rsidR="006A706E" w:rsidRDefault="006A706E" w:rsidP="00561B2F">
      <w:pPr>
        <w:spacing w:before="240" w:after="240" w:line="240" w:lineRule="auto"/>
        <w:jc w:val="both"/>
        <w:rPr>
          <w:rFonts w:ascii="Arial" w:hAnsi="Arial" w:cs="Arial"/>
          <w:color w:val="000000" w:themeColor="text1"/>
          <w:sz w:val="20"/>
          <w:szCs w:val="20"/>
          <w:lang w:val="en-US"/>
        </w:rPr>
      </w:pPr>
      <w:r w:rsidRPr="00561B2F">
        <w:rPr>
          <w:rFonts w:ascii="Arial" w:hAnsi="Arial" w:cs="Arial"/>
          <w:color w:val="000000" w:themeColor="text1"/>
          <w:sz w:val="20"/>
          <w:szCs w:val="20"/>
          <w:lang w:val="en-US"/>
        </w:rPr>
        <w:t>A Physical Electronics PHI5700 spectrometer, with non-monochromatic Mg K</w:t>
      </w:r>
      <w:r w:rsidRPr="00561B2F">
        <w:rPr>
          <w:rFonts w:ascii="Arial" w:hAnsi="Arial" w:cs="Arial"/>
          <w:color w:val="000000" w:themeColor="text1"/>
          <w:sz w:val="20"/>
          <w:szCs w:val="20"/>
        </w:rPr>
        <w:t>α</w:t>
      </w:r>
      <w:r w:rsidRPr="00561B2F">
        <w:rPr>
          <w:rFonts w:ascii="Arial" w:hAnsi="Arial" w:cs="Arial"/>
          <w:color w:val="000000" w:themeColor="text1"/>
          <w:sz w:val="20"/>
          <w:szCs w:val="20"/>
          <w:lang w:val="en-US"/>
        </w:rPr>
        <w:t xml:space="preserve"> radiation (300 W, 15 kV, and 1253.6 eV) and a multichannel detector, was employed to obtain the X-ray photoelectron spectra. A constant pass energy mode at 29.35 eV, with a 720 </w:t>
      </w:r>
      <w:r w:rsidRPr="00561B2F">
        <w:rPr>
          <w:rFonts w:ascii="Arial" w:hAnsi="Arial" w:cs="Arial"/>
          <w:color w:val="000000" w:themeColor="text1"/>
          <w:sz w:val="20"/>
          <w:szCs w:val="20"/>
        </w:rPr>
        <w:t>μ</w:t>
      </w:r>
      <w:r w:rsidRPr="00561B2F">
        <w:rPr>
          <w:rFonts w:ascii="Arial" w:hAnsi="Arial" w:cs="Arial"/>
          <w:color w:val="000000" w:themeColor="text1"/>
          <w:sz w:val="20"/>
          <w:szCs w:val="20"/>
          <w:lang w:val="en-US"/>
        </w:rPr>
        <w:t>m diameter analysis area, was used for recording the spectra. Acquisition and data analysis were performed with a PHI ACCESS ESCA-V6.0F software package, whereas charge referencing was measured against adventitious carbon (C 1s at 284.8 eV). A Shirley-type background was subtracted from the signals, and the fitting of recorded spectra was carried out with Gaussian-Lorentzian curves, for a better determination of different binding energies.</w:t>
      </w:r>
    </w:p>
    <w:p w14:paraId="5749F314" w14:textId="110D9600" w:rsidR="002A5360" w:rsidRPr="00800263" w:rsidRDefault="002A5360" w:rsidP="002A5360">
      <w:pPr>
        <w:spacing w:before="240" w:after="240" w:line="240" w:lineRule="auto"/>
        <w:jc w:val="both"/>
        <w:rPr>
          <w:rFonts w:ascii="Arial" w:hAnsi="Arial" w:cs="Arial"/>
          <w:color w:val="000000" w:themeColor="text1"/>
          <w:sz w:val="20"/>
          <w:szCs w:val="20"/>
          <w:lang w:val="en-US"/>
        </w:rPr>
      </w:pPr>
      <w:r w:rsidRPr="00800263">
        <w:rPr>
          <w:rFonts w:ascii="Arial" w:hAnsi="Arial" w:cs="Arial"/>
          <w:color w:val="000000" w:themeColor="text1"/>
          <w:sz w:val="20"/>
          <w:szCs w:val="20"/>
          <w:lang w:val="en-US"/>
        </w:rPr>
        <w:t xml:space="preserve">The Pd-content of the catalysts was determined by an </w:t>
      </w:r>
      <w:bookmarkStart w:id="1" w:name="_Hlk197607315"/>
      <w:r w:rsidRPr="00800263">
        <w:rPr>
          <w:rFonts w:ascii="Arial" w:hAnsi="Arial" w:cs="Arial"/>
          <w:color w:val="000000" w:themeColor="text1"/>
          <w:sz w:val="20"/>
          <w:szCs w:val="20"/>
          <w:lang w:val="en-US"/>
        </w:rPr>
        <w:t>inductively coupled plasma (ICP)</w:t>
      </w:r>
      <w:bookmarkEnd w:id="1"/>
      <w:r w:rsidRPr="00800263">
        <w:rPr>
          <w:rFonts w:ascii="Arial" w:hAnsi="Arial" w:cs="Arial"/>
          <w:color w:val="000000" w:themeColor="text1"/>
          <w:sz w:val="20"/>
          <w:szCs w:val="20"/>
          <w:lang w:val="en-US"/>
        </w:rPr>
        <w:t xml:space="preserve"> optical emission spectrometer, Perkin Elmer Optima 7300 DV implemented with a Marathon Scientific Multimode Sample Introduction System cyclonic spray chamber (MSIS) and a Perkin Elmer AS-91 autosampler connected with a Perkin Elmer FIAS 400 AS system was used throughout. The FIAS manifold was connected directly with the ICP and was controlled by Optima software.</w:t>
      </w:r>
    </w:p>
    <w:p w14:paraId="3A597413" w14:textId="27AA81F4" w:rsidR="006A706E" w:rsidRDefault="00145625" w:rsidP="00561B2F">
      <w:pPr>
        <w:spacing w:before="240" w:after="240" w:line="240" w:lineRule="auto"/>
        <w:jc w:val="both"/>
        <w:rPr>
          <w:rFonts w:ascii="Arial" w:hAnsi="Arial" w:cs="Arial"/>
          <w:sz w:val="20"/>
          <w:szCs w:val="20"/>
          <w:lang w:val="en-US"/>
        </w:rPr>
      </w:pPr>
      <w:r w:rsidRPr="00561B2F">
        <w:rPr>
          <w:rFonts w:ascii="Arial" w:hAnsi="Arial" w:cs="Arial"/>
          <w:sz w:val="20"/>
          <w:szCs w:val="20"/>
          <w:lang w:val="en-US"/>
        </w:rPr>
        <w:t xml:space="preserve">CO chemisorption was performed under static volumetric conditions by using a Micromeritics ASAP 2020 apparatus. Samples were reduced ex situ and then transferred to an inert atmosphere. </w:t>
      </w:r>
      <w:proofErr w:type="gramStart"/>
      <w:r w:rsidRPr="00561B2F">
        <w:rPr>
          <w:rFonts w:ascii="Arial" w:hAnsi="Arial" w:cs="Arial"/>
          <w:sz w:val="20"/>
          <w:szCs w:val="20"/>
          <w:lang w:val="en-US"/>
        </w:rPr>
        <w:t>Prior</w:t>
      </w:r>
      <w:proofErr w:type="gramEnd"/>
      <w:r w:rsidRPr="00561B2F">
        <w:rPr>
          <w:rFonts w:ascii="Arial" w:hAnsi="Arial" w:cs="Arial"/>
          <w:sz w:val="20"/>
          <w:szCs w:val="20"/>
          <w:lang w:val="en-US"/>
        </w:rPr>
        <w:t xml:space="preserve"> the analysis the samples were degassed in </w:t>
      </w:r>
      <w:proofErr w:type="spellStart"/>
      <w:r w:rsidRPr="00561B2F">
        <w:rPr>
          <w:rFonts w:ascii="Arial" w:hAnsi="Arial" w:cs="Arial"/>
          <w:sz w:val="20"/>
          <w:szCs w:val="20"/>
          <w:lang w:val="en-US"/>
        </w:rPr>
        <w:t>He at</w:t>
      </w:r>
      <w:proofErr w:type="spellEnd"/>
      <w:r w:rsidRPr="00561B2F">
        <w:rPr>
          <w:rFonts w:ascii="Arial" w:hAnsi="Arial" w:cs="Arial"/>
          <w:sz w:val="20"/>
          <w:szCs w:val="20"/>
          <w:lang w:val="en-US"/>
        </w:rPr>
        <w:t xml:space="preserve"> 50 ºC for 10 h. The chemisorption isotherms were obtained by measuring the amount of CO adsorbed between 10 and 600 mmHg at 35 ºC. After completing the initial analysis, the gas adsorbed reversibly was evacuated and the analysis was repeated to determine only the chemisorbed amount.</w:t>
      </w:r>
    </w:p>
    <w:p w14:paraId="240AE3BF" w14:textId="50CFEAE8" w:rsidR="00FC0684" w:rsidRDefault="00FC0684">
      <w:pPr>
        <w:rPr>
          <w:rFonts w:ascii="Arial" w:hAnsi="Arial" w:cs="Arial"/>
          <w:sz w:val="20"/>
          <w:szCs w:val="20"/>
          <w:lang w:val="en-US"/>
        </w:rPr>
      </w:pPr>
      <w:r>
        <w:rPr>
          <w:rFonts w:ascii="Arial" w:hAnsi="Arial" w:cs="Arial"/>
          <w:sz w:val="20"/>
          <w:szCs w:val="20"/>
          <w:lang w:val="en-US"/>
        </w:rPr>
        <w:br w:type="page"/>
      </w:r>
    </w:p>
    <w:p w14:paraId="53739BEC" w14:textId="77777777" w:rsidR="00FC0684" w:rsidRDefault="00FC0684" w:rsidP="00561B2F">
      <w:pPr>
        <w:spacing w:before="240" w:after="240" w:line="240" w:lineRule="auto"/>
        <w:jc w:val="both"/>
        <w:rPr>
          <w:rFonts w:ascii="Arial" w:hAnsi="Arial" w:cs="Arial"/>
          <w:sz w:val="20"/>
          <w:szCs w:val="20"/>
          <w:lang w:val="en-US"/>
        </w:rPr>
      </w:pPr>
    </w:p>
    <w:p w14:paraId="2B8DFE57" w14:textId="4F576458" w:rsidR="00FC0684" w:rsidRDefault="00FC0684" w:rsidP="00FC0684">
      <w:pPr>
        <w:spacing w:before="240" w:after="240" w:line="240" w:lineRule="auto"/>
        <w:jc w:val="center"/>
        <w:rPr>
          <w:rFonts w:ascii="Arial" w:hAnsi="Arial" w:cs="Arial"/>
          <w:sz w:val="20"/>
          <w:szCs w:val="20"/>
          <w:lang w:val="en-US"/>
        </w:rPr>
      </w:pPr>
      <w:r>
        <w:rPr>
          <w:rFonts w:ascii="Arial" w:hAnsi="Arial" w:cs="Arial"/>
          <w:noProof/>
          <w:sz w:val="20"/>
          <w:szCs w:val="20"/>
          <w:lang w:val="en-US"/>
        </w:rPr>
        <w:drawing>
          <wp:inline distT="0" distB="0" distL="0" distR="0" wp14:anchorId="66B152F1" wp14:editId="72FD1D89">
            <wp:extent cx="4320000" cy="3305532"/>
            <wp:effectExtent l="0" t="0" r="4445" b="9525"/>
            <wp:docPr id="349830857" name="Imagen 1" descr="Gráfico, Histo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830857" name="Imagen 1" descr="Gráfico, Histograma&#10;&#10;El contenido generado por IA puede ser incorrecto."/>
                    <pic:cNvPicPr/>
                  </pic:nvPicPr>
                  <pic:blipFill>
                    <a:blip r:embed="rId4" cstate="print">
                      <a:extLst>
                        <a:ext uri="{28A0092B-C50C-407E-A947-70E740481C1C}">
                          <a14:useLocalDpi xmlns:a14="http://schemas.microsoft.com/office/drawing/2010/main" val="0"/>
                        </a:ext>
                      </a:extLst>
                    </a:blip>
                    <a:stretch>
                      <a:fillRect/>
                    </a:stretch>
                  </pic:blipFill>
                  <pic:spPr>
                    <a:xfrm>
                      <a:off x="0" y="0"/>
                      <a:ext cx="4320000" cy="3305532"/>
                    </a:xfrm>
                    <a:prstGeom prst="rect">
                      <a:avLst/>
                    </a:prstGeom>
                  </pic:spPr>
                </pic:pic>
              </a:graphicData>
            </a:graphic>
          </wp:inline>
        </w:drawing>
      </w:r>
    </w:p>
    <w:p w14:paraId="6DBDC7E3" w14:textId="2B6DB31A" w:rsidR="00FC0684" w:rsidRDefault="00FC0684" w:rsidP="00FC0684">
      <w:pPr>
        <w:spacing w:before="240" w:after="240" w:line="240" w:lineRule="auto"/>
        <w:jc w:val="center"/>
        <w:rPr>
          <w:rFonts w:ascii="Arial" w:hAnsi="Arial" w:cs="Arial"/>
          <w:sz w:val="16"/>
          <w:szCs w:val="16"/>
          <w:lang w:val="en-US"/>
        </w:rPr>
      </w:pPr>
      <w:r w:rsidRPr="00FC0684">
        <w:rPr>
          <w:rFonts w:ascii="Arial" w:hAnsi="Arial" w:cs="Arial"/>
          <w:b/>
          <w:bCs/>
          <w:sz w:val="16"/>
          <w:szCs w:val="16"/>
          <w:lang w:val="en-US"/>
        </w:rPr>
        <w:t>Figure S1.</w:t>
      </w:r>
      <w:r w:rsidRPr="00FC0684">
        <w:rPr>
          <w:rFonts w:ascii="Arial" w:hAnsi="Arial" w:cs="Arial"/>
          <w:sz w:val="16"/>
          <w:szCs w:val="16"/>
          <w:lang w:val="en-US"/>
        </w:rPr>
        <w:t xml:space="preserve"> N</w:t>
      </w:r>
      <w:r w:rsidRPr="00FC0684">
        <w:rPr>
          <w:rFonts w:ascii="Arial" w:hAnsi="Arial" w:cs="Arial"/>
          <w:sz w:val="16"/>
          <w:szCs w:val="16"/>
          <w:vertAlign w:val="subscript"/>
          <w:lang w:val="en-US"/>
        </w:rPr>
        <w:t>2</w:t>
      </w:r>
      <w:r w:rsidRPr="00FC0684">
        <w:rPr>
          <w:rFonts w:ascii="Arial" w:hAnsi="Arial" w:cs="Arial"/>
          <w:sz w:val="16"/>
          <w:szCs w:val="16"/>
          <w:lang w:val="en-US"/>
        </w:rPr>
        <w:t xml:space="preserve"> adsorption-desorption isotherms at -196 ºC of the activated carbon and Pd-based catalysts</w:t>
      </w:r>
      <w:r>
        <w:rPr>
          <w:rFonts w:ascii="Arial" w:hAnsi="Arial" w:cs="Arial"/>
          <w:sz w:val="16"/>
          <w:szCs w:val="16"/>
          <w:lang w:val="en-US"/>
        </w:rPr>
        <w:t>.</w:t>
      </w:r>
    </w:p>
    <w:p w14:paraId="2A7CB6DA" w14:textId="77777777" w:rsidR="00FC0684" w:rsidRDefault="00FC0684">
      <w:pPr>
        <w:rPr>
          <w:rFonts w:ascii="Arial" w:hAnsi="Arial" w:cs="Arial"/>
          <w:sz w:val="16"/>
          <w:szCs w:val="16"/>
          <w:lang w:val="en-US"/>
        </w:rPr>
      </w:pPr>
      <w:r>
        <w:rPr>
          <w:rFonts w:ascii="Arial" w:hAnsi="Arial" w:cs="Arial"/>
          <w:sz w:val="16"/>
          <w:szCs w:val="16"/>
          <w:lang w:val="en-US"/>
        </w:rPr>
        <w:br w:type="page"/>
      </w:r>
    </w:p>
    <w:p w14:paraId="223D7993" w14:textId="77777777" w:rsidR="00FC0684" w:rsidRDefault="00FC0684" w:rsidP="00FC0684">
      <w:pPr>
        <w:spacing w:before="240" w:after="240" w:line="240" w:lineRule="auto"/>
        <w:jc w:val="center"/>
        <w:rPr>
          <w:rFonts w:ascii="Arial" w:hAnsi="Arial" w:cs="Arial"/>
          <w:sz w:val="16"/>
          <w:szCs w:val="16"/>
          <w:lang w:val="en-US"/>
        </w:rPr>
      </w:pPr>
    </w:p>
    <w:p w14:paraId="70FDEBB6" w14:textId="742C416E" w:rsidR="00FC0684" w:rsidRDefault="00FC0684" w:rsidP="00FC0684">
      <w:pPr>
        <w:spacing w:before="240" w:after="240" w:line="240" w:lineRule="auto"/>
        <w:jc w:val="center"/>
        <w:rPr>
          <w:rFonts w:ascii="Arial" w:hAnsi="Arial" w:cs="Arial"/>
          <w:sz w:val="16"/>
          <w:szCs w:val="16"/>
          <w:lang w:val="en-US"/>
        </w:rPr>
      </w:pPr>
      <w:r>
        <w:rPr>
          <w:rFonts w:ascii="Arial" w:hAnsi="Arial" w:cs="Arial"/>
          <w:noProof/>
          <w:sz w:val="16"/>
          <w:szCs w:val="16"/>
          <w:lang w:val="en-US"/>
        </w:rPr>
        <w:drawing>
          <wp:inline distT="0" distB="0" distL="0" distR="0" wp14:anchorId="60D70B99" wp14:editId="23B3C3AF">
            <wp:extent cx="4320000" cy="3305532"/>
            <wp:effectExtent l="0" t="0" r="4445" b="9525"/>
            <wp:docPr id="108515001" name="Imagen 2" descr="Gráfico, Histograma, Gráfico de dispers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15001" name="Imagen 2" descr="Gráfico, Histograma, Gráfico de dispersión&#10;&#10;El contenido generado por IA puede ser incorrecto."/>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20000" cy="3305532"/>
                    </a:xfrm>
                    <a:prstGeom prst="rect">
                      <a:avLst/>
                    </a:prstGeom>
                  </pic:spPr>
                </pic:pic>
              </a:graphicData>
            </a:graphic>
          </wp:inline>
        </w:drawing>
      </w:r>
    </w:p>
    <w:p w14:paraId="43317075" w14:textId="55A46FBC" w:rsidR="002D0F14" w:rsidRDefault="0038168B" w:rsidP="00FC0684">
      <w:pPr>
        <w:spacing w:before="240" w:after="240" w:line="240" w:lineRule="auto"/>
        <w:jc w:val="center"/>
        <w:rPr>
          <w:rFonts w:ascii="Arial" w:hAnsi="Arial" w:cs="Arial"/>
          <w:sz w:val="16"/>
          <w:szCs w:val="16"/>
          <w:lang w:val="en-US"/>
        </w:rPr>
      </w:pPr>
      <w:r w:rsidRPr="00FC0684">
        <w:rPr>
          <w:rFonts w:ascii="Arial" w:hAnsi="Arial" w:cs="Arial"/>
          <w:b/>
          <w:bCs/>
          <w:sz w:val="16"/>
          <w:szCs w:val="16"/>
          <w:lang w:val="en-US"/>
        </w:rPr>
        <w:t>Figure S</w:t>
      </w:r>
      <w:r>
        <w:rPr>
          <w:rFonts w:ascii="Arial" w:hAnsi="Arial" w:cs="Arial"/>
          <w:b/>
          <w:bCs/>
          <w:sz w:val="16"/>
          <w:szCs w:val="16"/>
          <w:lang w:val="en-US"/>
        </w:rPr>
        <w:t>2</w:t>
      </w:r>
      <w:r w:rsidRPr="00FC0684">
        <w:rPr>
          <w:rFonts w:ascii="Arial" w:hAnsi="Arial" w:cs="Arial"/>
          <w:b/>
          <w:bCs/>
          <w:sz w:val="16"/>
          <w:szCs w:val="16"/>
          <w:lang w:val="en-US"/>
        </w:rPr>
        <w:t>.</w:t>
      </w:r>
      <w:r w:rsidRPr="00FC0684">
        <w:rPr>
          <w:rFonts w:ascii="Arial" w:hAnsi="Arial" w:cs="Arial"/>
          <w:sz w:val="16"/>
          <w:szCs w:val="16"/>
          <w:lang w:val="en-US"/>
        </w:rPr>
        <w:t xml:space="preserve"> </w:t>
      </w:r>
      <w:r>
        <w:rPr>
          <w:rFonts w:ascii="Arial" w:hAnsi="Arial" w:cs="Arial"/>
          <w:sz w:val="16"/>
          <w:szCs w:val="16"/>
          <w:lang w:val="en-US"/>
        </w:rPr>
        <w:t>CO</w:t>
      </w:r>
      <w:r w:rsidRPr="00FC0684">
        <w:rPr>
          <w:rFonts w:ascii="Arial" w:hAnsi="Arial" w:cs="Arial"/>
          <w:sz w:val="16"/>
          <w:szCs w:val="16"/>
          <w:vertAlign w:val="subscript"/>
          <w:lang w:val="en-US"/>
        </w:rPr>
        <w:t>2</w:t>
      </w:r>
      <w:r w:rsidRPr="00FC0684">
        <w:rPr>
          <w:rFonts w:ascii="Arial" w:hAnsi="Arial" w:cs="Arial"/>
          <w:sz w:val="16"/>
          <w:szCs w:val="16"/>
          <w:lang w:val="en-US"/>
        </w:rPr>
        <w:t xml:space="preserve"> adsorption-desorption isotherms at </w:t>
      </w:r>
      <w:r>
        <w:rPr>
          <w:rFonts w:ascii="Arial" w:hAnsi="Arial" w:cs="Arial"/>
          <w:sz w:val="16"/>
          <w:szCs w:val="16"/>
          <w:lang w:val="en-US"/>
        </w:rPr>
        <w:t>0</w:t>
      </w:r>
      <w:r w:rsidRPr="00FC0684">
        <w:rPr>
          <w:rFonts w:ascii="Arial" w:hAnsi="Arial" w:cs="Arial"/>
          <w:sz w:val="16"/>
          <w:szCs w:val="16"/>
          <w:lang w:val="en-US"/>
        </w:rPr>
        <w:t xml:space="preserve"> ºC of the activated carbon and Pd-based catalysts</w:t>
      </w:r>
      <w:r>
        <w:rPr>
          <w:rFonts w:ascii="Arial" w:hAnsi="Arial" w:cs="Arial"/>
          <w:sz w:val="16"/>
          <w:szCs w:val="16"/>
          <w:lang w:val="en-US"/>
        </w:rPr>
        <w:t>.</w:t>
      </w:r>
    </w:p>
    <w:p w14:paraId="205F6906" w14:textId="77777777" w:rsidR="002D0F14" w:rsidRDefault="002D0F14">
      <w:pPr>
        <w:rPr>
          <w:rFonts w:ascii="Arial" w:hAnsi="Arial" w:cs="Arial"/>
          <w:sz w:val="16"/>
          <w:szCs w:val="16"/>
          <w:lang w:val="en-US"/>
        </w:rPr>
      </w:pPr>
      <w:r>
        <w:rPr>
          <w:rFonts w:ascii="Arial" w:hAnsi="Arial" w:cs="Arial"/>
          <w:sz w:val="16"/>
          <w:szCs w:val="16"/>
          <w:lang w:val="en-US"/>
        </w:rPr>
        <w:br w:type="page"/>
      </w:r>
    </w:p>
    <w:p w14:paraId="045540D2" w14:textId="77777777" w:rsidR="0038168B" w:rsidRDefault="0038168B" w:rsidP="00FC0684">
      <w:pPr>
        <w:spacing w:before="240" w:after="240" w:line="240" w:lineRule="auto"/>
        <w:jc w:val="center"/>
        <w:rPr>
          <w:rFonts w:ascii="Arial" w:hAnsi="Arial" w:cs="Arial"/>
          <w:sz w:val="16"/>
          <w:szCs w:val="16"/>
          <w:lang w:val="en-US"/>
        </w:rPr>
      </w:pPr>
    </w:p>
    <w:p w14:paraId="27ED112D" w14:textId="661B837F" w:rsidR="002D0F14" w:rsidRDefault="002D0F14" w:rsidP="00FC0684">
      <w:pPr>
        <w:spacing w:before="240" w:after="240" w:line="240" w:lineRule="auto"/>
        <w:jc w:val="center"/>
        <w:rPr>
          <w:rFonts w:ascii="Arial" w:hAnsi="Arial" w:cs="Arial"/>
          <w:sz w:val="16"/>
          <w:szCs w:val="16"/>
          <w:lang w:val="en-US"/>
        </w:rPr>
      </w:pPr>
      <w:r>
        <w:rPr>
          <w:rFonts w:ascii="Arial" w:hAnsi="Arial" w:cs="Arial"/>
          <w:noProof/>
          <w:sz w:val="16"/>
          <w:szCs w:val="16"/>
          <w:lang w:val="en-US"/>
        </w:rPr>
        <w:drawing>
          <wp:inline distT="0" distB="0" distL="0" distR="0" wp14:anchorId="48909692" wp14:editId="54EF14C8">
            <wp:extent cx="4320000" cy="3305532"/>
            <wp:effectExtent l="0" t="0" r="4445" b="9525"/>
            <wp:docPr id="1437347882" name="Imagen 3" descr="Imagen que contiene 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347882" name="Imagen 3" descr="Imagen que contiene Gráfico&#10;&#10;El contenido generado por IA puede ser incorrecto."/>
                    <pic:cNvPicPr/>
                  </pic:nvPicPr>
                  <pic:blipFill>
                    <a:blip r:embed="rId6" cstate="print">
                      <a:extLst>
                        <a:ext uri="{28A0092B-C50C-407E-A947-70E740481C1C}">
                          <a14:useLocalDpi xmlns:a14="http://schemas.microsoft.com/office/drawing/2010/main" val="0"/>
                        </a:ext>
                      </a:extLst>
                    </a:blip>
                    <a:stretch>
                      <a:fillRect/>
                    </a:stretch>
                  </pic:blipFill>
                  <pic:spPr>
                    <a:xfrm>
                      <a:off x="0" y="0"/>
                      <a:ext cx="4320000" cy="3305532"/>
                    </a:xfrm>
                    <a:prstGeom prst="rect">
                      <a:avLst/>
                    </a:prstGeom>
                  </pic:spPr>
                </pic:pic>
              </a:graphicData>
            </a:graphic>
          </wp:inline>
        </w:drawing>
      </w:r>
    </w:p>
    <w:p w14:paraId="2708F7B7" w14:textId="0BD0D8A5" w:rsidR="002D0F14" w:rsidRDefault="002D0F14" w:rsidP="002D0F14">
      <w:pPr>
        <w:spacing w:before="240" w:after="240" w:line="240" w:lineRule="auto"/>
        <w:jc w:val="center"/>
        <w:rPr>
          <w:rFonts w:ascii="Arial" w:hAnsi="Arial" w:cs="Arial"/>
          <w:sz w:val="16"/>
          <w:szCs w:val="16"/>
          <w:lang w:val="en-US"/>
        </w:rPr>
      </w:pPr>
      <w:r w:rsidRPr="00FC0684">
        <w:rPr>
          <w:rFonts w:ascii="Arial" w:hAnsi="Arial" w:cs="Arial"/>
          <w:b/>
          <w:bCs/>
          <w:sz w:val="16"/>
          <w:szCs w:val="16"/>
          <w:lang w:val="en-US"/>
        </w:rPr>
        <w:t>Figure S</w:t>
      </w:r>
      <w:r>
        <w:rPr>
          <w:rFonts w:ascii="Arial" w:hAnsi="Arial" w:cs="Arial"/>
          <w:b/>
          <w:bCs/>
          <w:sz w:val="16"/>
          <w:szCs w:val="16"/>
          <w:lang w:val="en-US"/>
        </w:rPr>
        <w:t>3</w:t>
      </w:r>
      <w:r w:rsidRPr="00FC0684">
        <w:rPr>
          <w:rFonts w:ascii="Arial" w:hAnsi="Arial" w:cs="Arial"/>
          <w:b/>
          <w:bCs/>
          <w:sz w:val="16"/>
          <w:szCs w:val="16"/>
          <w:lang w:val="en-US"/>
        </w:rPr>
        <w:t>.</w:t>
      </w:r>
      <w:r w:rsidRPr="00FC0684">
        <w:rPr>
          <w:rFonts w:ascii="Arial" w:hAnsi="Arial" w:cs="Arial"/>
          <w:sz w:val="16"/>
          <w:szCs w:val="16"/>
          <w:lang w:val="en-US"/>
        </w:rPr>
        <w:t xml:space="preserve"> N</w:t>
      </w:r>
      <w:r w:rsidRPr="00FC0684">
        <w:rPr>
          <w:rFonts w:ascii="Arial" w:hAnsi="Arial" w:cs="Arial"/>
          <w:sz w:val="16"/>
          <w:szCs w:val="16"/>
          <w:vertAlign w:val="subscript"/>
          <w:lang w:val="en-US"/>
        </w:rPr>
        <w:t>2</w:t>
      </w:r>
      <w:r w:rsidRPr="00FC0684">
        <w:rPr>
          <w:rFonts w:ascii="Arial" w:hAnsi="Arial" w:cs="Arial"/>
          <w:sz w:val="16"/>
          <w:szCs w:val="16"/>
          <w:lang w:val="en-US"/>
        </w:rPr>
        <w:t xml:space="preserve"> adsorption-desorption isotherms at -196 ºC of the activated carbon and Pd-based catalysts</w:t>
      </w:r>
      <w:r>
        <w:rPr>
          <w:rFonts w:ascii="Arial" w:hAnsi="Arial" w:cs="Arial"/>
          <w:sz w:val="16"/>
          <w:szCs w:val="16"/>
          <w:lang w:val="en-US"/>
        </w:rPr>
        <w:t xml:space="preserve"> after the reaction. </w:t>
      </w:r>
      <w:r w:rsidRPr="002D0F14">
        <w:rPr>
          <w:rFonts w:ascii="Arial" w:hAnsi="Arial" w:cs="Arial"/>
          <w:sz w:val="16"/>
          <w:szCs w:val="16"/>
          <w:lang w:val="en-US"/>
        </w:rPr>
        <w:t>(Experimental conditions: catalyst loading = 0.05 g;</w:t>
      </w:r>
      <w:r w:rsidR="00CB3E7C" w:rsidRPr="00CB3E7C">
        <w:rPr>
          <w:rFonts w:ascii="Arial" w:hAnsi="Arial" w:cs="Arial"/>
          <w:color w:val="0070C0"/>
          <w:sz w:val="16"/>
          <w:szCs w:val="16"/>
          <w:lang w:val="en-US"/>
        </w:rPr>
        <w:t xml:space="preserve"> </w:t>
      </w:r>
      <w:r w:rsidR="00CB3E7C" w:rsidRPr="00CB3E7C">
        <w:rPr>
          <w:rFonts w:ascii="Arial" w:hAnsi="Arial" w:cs="Arial"/>
          <w:color w:val="000000" w:themeColor="text1"/>
          <w:sz w:val="16"/>
          <w:szCs w:val="16"/>
          <w:lang w:val="en-US"/>
        </w:rPr>
        <w:t>amount of FUR = 1 mmol</w:t>
      </w:r>
      <w:r w:rsidR="00CB3E7C">
        <w:rPr>
          <w:rFonts w:ascii="Arial" w:hAnsi="Arial" w:cs="Arial"/>
          <w:sz w:val="16"/>
          <w:szCs w:val="16"/>
          <w:lang w:val="en-US"/>
        </w:rPr>
        <w:t>;</w:t>
      </w:r>
      <w:r w:rsidRPr="002D0F14">
        <w:rPr>
          <w:rFonts w:ascii="Arial" w:hAnsi="Arial" w:cs="Arial"/>
          <w:sz w:val="16"/>
          <w:szCs w:val="16"/>
          <w:lang w:val="en-US"/>
        </w:rPr>
        <w:t xml:space="preserve"> volume of ethanol = 5 mL; Na</w:t>
      </w:r>
      <w:r w:rsidRPr="002D0F14">
        <w:rPr>
          <w:rFonts w:ascii="Arial" w:hAnsi="Arial" w:cs="Arial"/>
          <w:sz w:val="16"/>
          <w:szCs w:val="16"/>
          <w:vertAlign w:val="subscript"/>
          <w:lang w:val="en-US"/>
        </w:rPr>
        <w:t>2</w:t>
      </w:r>
      <w:r w:rsidRPr="002D0F14">
        <w:rPr>
          <w:rFonts w:ascii="Arial" w:hAnsi="Arial" w:cs="Arial"/>
          <w:sz w:val="16"/>
          <w:szCs w:val="16"/>
          <w:lang w:val="en-US"/>
        </w:rPr>
        <w:t>CO</w:t>
      </w:r>
      <w:r w:rsidRPr="002D0F14">
        <w:rPr>
          <w:rFonts w:ascii="Arial" w:hAnsi="Arial" w:cs="Arial"/>
          <w:sz w:val="16"/>
          <w:szCs w:val="16"/>
          <w:vertAlign w:val="subscript"/>
          <w:lang w:val="en-US"/>
        </w:rPr>
        <w:t>3</w:t>
      </w:r>
      <w:r w:rsidRPr="002D0F14">
        <w:rPr>
          <w:rFonts w:ascii="Arial" w:hAnsi="Arial" w:cs="Arial"/>
          <w:sz w:val="16"/>
          <w:szCs w:val="16"/>
          <w:lang w:val="en-US"/>
        </w:rPr>
        <w:t xml:space="preserve"> amount = 0-0.10 g; and H</w:t>
      </w:r>
      <w:r w:rsidRPr="002D0F14">
        <w:rPr>
          <w:rFonts w:ascii="Arial" w:hAnsi="Arial" w:cs="Arial"/>
          <w:sz w:val="16"/>
          <w:szCs w:val="16"/>
          <w:vertAlign w:val="subscript"/>
          <w:lang w:val="en-US"/>
        </w:rPr>
        <w:t>2</w:t>
      </w:r>
      <w:r w:rsidRPr="002D0F14">
        <w:rPr>
          <w:rFonts w:ascii="Arial" w:hAnsi="Arial" w:cs="Arial"/>
          <w:sz w:val="16"/>
          <w:szCs w:val="16"/>
          <w:lang w:val="en-US"/>
        </w:rPr>
        <w:t>O</w:t>
      </w:r>
      <w:r w:rsidRPr="002D0F14">
        <w:rPr>
          <w:rFonts w:ascii="Arial" w:hAnsi="Arial" w:cs="Arial"/>
          <w:sz w:val="16"/>
          <w:szCs w:val="16"/>
          <w:vertAlign w:val="subscript"/>
          <w:lang w:val="en-US"/>
        </w:rPr>
        <w:t>2</w:t>
      </w:r>
      <w:r w:rsidRPr="002D0F14">
        <w:rPr>
          <w:rFonts w:ascii="Arial" w:hAnsi="Arial" w:cs="Arial"/>
          <w:sz w:val="16"/>
          <w:szCs w:val="16"/>
          <w:lang w:val="en-US"/>
        </w:rPr>
        <w:t xml:space="preserve"> (33 vol. %) volume = 0.5 mL; reaction temperature = 130 ºC; reaction time = 6 h; number of cycles = 4)</w:t>
      </w:r>
      <w:r>
        <w:rPr>
          <w:rFonts w:ascii="Arial" w:hAnsi="Arial" w:cs="Arial"/>
          <w:sz w:val="16"/>
          <w:szCs w:val="16"/>
          <w:lang w:val="en-US"/>
        </w:rPr>
        <w:t>.</w:t>
      </w:r>
    </w:p>
    <w:p w14:paraId="507EAEE9" w14:textId="4F1F4D4E" w:rsidR="002D0F14" w:rsidRDefault="002D0F14">
      <w:pPr>
        <w:rPr>
          <w:rFonts w:ascii="Arial" w:hAnsi="Arial" w:cs="Arial"/>
          <w:sz w:val="16"/>
          <w:szCs w:val="16"/>
          <w:lang w:val="en-US"/>
        </w:rPr>
      </w:pPr>
      <w:r>
        <w:rPr>
          <w:rFonts w:ascii="Arial" w:hAnsi="Arial" w:cs="Arial"/>
          <w:sz w:val="16"/>
          <w:szCs w:val="16"/>
          <w:lang w:val="en-US"/>
        </w:rPr>
        <w:br w:type="page"/>
      </w:r>
    </w:p>
    <w:p w14:paraId="7EE57DB4" w14:textId="77777777" w:rsidR="002D0F14" w:rsidRDefault="002D0F14" w:rsidP="00FC0684">
      <w:pPr>
        <w:spacing w:before="240" w:after="240" w:line="240" w:lineRule="auto"/>
        <w:jc w:val="center"/>
        <w:rPr>
          <w:rFonts w:ascii="Arial" w:hAnsi="Arial" w:cs="Arial"/>
          <w:sz w:val="16"/>
          <w:szCs w:val="16"/>
          <w:lang w:val="en-US"/>
        </w:rPr>
      </w:pPr>
    </w:p>
    <w:p w14:paraId="375F9243" w14:textId="50048164" w:rsidR="002D0F14" w:rsidRDefault="002D0F14" w:rsidP="00FC0684">
      <w:pPr>
        <w:spacing w:before="240" w:after="240" w:line="240" w:lineRule="auto"/>
        <w:jc w:val="center"/>
        <w:rPr>
          <w:rFonts w:ascii="Arial" w:hAnsi="Arial" w:cs="Arial"/>
          <w:sz w:val="16"/>
          <w:szCs w:val="16"/>
          <w:lang w:val="en-US"/>
        </w:rPr>
      </w:pPr>
      <w:r>
        <w:rPr>
          <w:rFonts w:ascii="Arial" w:hAnsi="Arial" w:cs="Arial"/>
          <w:noProof/>
          <w:sz w:val="16"/>
          <w:szCs w:val="16"/>
          <w:lang w:val="en-US"/>
        </w:rPr>
        <w:drawing>
          <wp:inline distT="0" distB="0" distL="0" distR="0" wp14:anchorId="57E4ADB2" wp14:editId="05778327">
            <wp:extent cx="4320000" cy="3305532"/>
            <wp:effectExtent l="0" t="0" r="4445" b="9525"/>
            <wp:docPr id="614448043" name="Imagen 4"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448043" name="Imagen 4" descr="Gráfico&#10;&#10;El contenido generado por IA puede ser incorrecto."/>
                    <pic:cNvPicPr/>
                  </pic:nvPicPr>
                  <pic:blipFill>
                    <a:blip r:embed="rId7" cstate="print">
                      <a:extLst>
                        <a:ext uri="{28A0092B-C50C-407E-A947-70E740481C1C}">
                          <a14:useLocalDpi xmlns:a14="http://schemas.microsoft.com/office/drawing/2010/main" val="0"/>
                        </a:ext>
                      </a:extLst>
                    </a:blip>
                    <a:stretch>
                      <a:fillRect/>
                    </a:stretch>
                  </pic:blipFill>
                  <pic:spPr>
                    <a:xfrm>
                      <a:off x="0" y="0"/>
                      <a:ext cx="4320000" cy="3305532"/>
                    </a:xfrm>
                    <a:prstGeom prst="rect">
                      <a:avLst/>
                    </a:prstGeom>
                  </pic:spPr>
                </pic:pic>
              </a:graphicData>
            </a:graphic>
          </wp:inline>
        </w:drawing>
      </w:r>
    </w:p>
    <w:p w14:paraId="5BFE6160" w14:textId="50C8F7EF" w:rsidR="002D0F14" w:rsidRPr="00FC0684" w:rsidRDefault="002D0F14" w:rsidP="00FC0684">
      <w:pPr>
        <w:spacing w:before="240" w:after="240" w:line="240" w:lineRule="auto"/>
        <w:jc w:val="center"/>
        <w:rPr>
          <w:rFonts w:ascii="Arial" w:hAnsi="Arial" w:cs="Arial"/>
          <w:sz w:val="16"/>
          <w:szCs w:val="16"/>
          <w:lang w:val="en-US"/>
        </w:rPr>
      </w:pPr>
      <w:r w:rsidRPr="00FC0684">
        <w:rPr>
          <w:rFonts w:ascii="Arial" w:hAnsi="Arial" w:cs="Arial"/>
          <w:b/>
          <w:bCs/>
          <w:sz w:val="16"/>
          <w:szCs w:val="16"/>
          <w:lang w:val="en-US"/>
        </w:rPr>
        <w:t>Figure S</w:t>
      </w:r>
      <w:r>
        <w:rPr>
          <w:rFonts w:ascii="Arial" w:hAnsi="Arial" w:cs="Arial"/>
          <w:b/>
          <w:bCs/>
          <w:sz w:val="16"/>
          <w:szCs w:val="16"/>
          <w:lang w:val="en-US"/>
        </w:rPr>
        <w:t>4</w:t>
      </w:r>
      <w:r w:rsidRPr="00FC0684">
        <w:rPr>
          <w:rFonts w:ascii="Arial" w:hAnsi="Arial" w:cs="Arial"/>
          <w:b/>
          <w:bCs/>
          <w:sz w:val="16"/>
          <w:szCs w:val="16"/>
          <w:lang w:val="en-US"/>
        </w:rPr>
        <w:t>.</w:t>
      </w:r>
      <w:r w:rsidRPr="00FC0684">
        <w:rPr>
          <w:rFonts w:ascii="Arial" w:hAnsi="Arial" w:cs="Arial"/>
          <w:sz w:val="16"/>
          <w:szCs w:val="16"/>
          <w:lang w:val="en-US"/>
        </w:rPr>
        <w:t xml:space="preserve"> </w:t>
      </w:r>
      <w:r>
        <w:rPr>
          <w:rFonts w:ascii="Arial" w:hAnsi="Arial" w:cs="Arial"/>
          <w:sz w:val="16"/>
          <w:szCs w:val="16"/>
          <w:lang w:val="en-US"/>
        </w:rPr>
        <w:t>CO</w:t>
      </w:r>
      <w:r w:rsidRPr="00FC0684">
        <w:rPr>
          <w:rFonts w:ascii="Arial" w:hAnsi="Arial" w:cs="Arial"/>
          <w:sz w:val="16"/>
          <w:szCs w:val="16"/>
          <w:vertAlign w:val="subscript"/>
          <w:lang w:val="en-US"/>
        </w:rPr>
        <w:t>2</w:t>
      </w:r>
      <w:r w:rsidRPr="00FC0684">
        <w:rPr>
          <w:rFonts w:ascii="Arial" w:hAnsi="Arial" w:cs="Arial"/>
          <w:sz w:val="16"/>
          <w:szCs w:val="16"/>
          <w:lang w:val="en-US"/>
        </w:rPr>
        <w:t xml:space="preserve"> adsorption-desorption isotherms at </w:t>
      </w:r>
      <w:r>
        <w:rPr>
          <w:rFonts w:ascii="Arial" w:hAnsi="Arial" w:cs="Arial"/>
          <w:sz w:val="16"/>
          <w:szCs w:val="16"/>
          <w:lang w:val="en-US"/>
        </w:rPr>
        <w:t>0</w:t>
      </w:r>
      <w:r w:rsidRPr="00FC0684">
        <w:rPr>
          <w:rFonts w:ascii="Arial" w:hAnsi="Arial" w:cs="Arial"/>
          <w:sz w:val="16"/>
          <w:szCs w:val="16"/>
          <w:lang w:val="en-US"/>
        </w:rPr>
        <w:t xml:space="preserve"> ºC of the activated carbon and Pd-based catalysts</w:t>
      </w:r>
      <w:r>
        <w:rPr>
          <w:rFonts w:ascii="Arial" w:hAnsi="Arial" w:cs="Arial"/>
          <w:sz w:val="16"/>
          <w:szCs w:val="16"/>
          <w:lang w:val="en-US"/>
        </w:rPr>
        <w:t xml:space="preserve"> after the reaction. </w:t>
      </w:r>
      <w:r w:rsidRPr="002D0F14">
        <w:rPr>
          <w:rFonts w:ascii="Arial" w:hAnsi="Arial" w:cs="Arial"/>
          <w:sz w:val="16"/>
          <w:szCs w:val="16"/>
          <w:lang w:val="en-US"/>
        </w:rPr>
        <w:t xml:space="preserve">(Experimental conditions: catalyst loading = 0.05 g; </w:t>
      </w:r>
      <w:r w:rsidR="00076FA2" w:rsidRPr="00076FA2">
        <w:rPr>
          <w:rFonts w:ascii="Arial" w:hAnsi="Arial" w:cs="Arial"/>
          <w:color w:val="000000" w:themeColor="text1"/>
          <w:sz w:val="16"/>
          <w:szCs w:val="16"/>
          <w:lang w:val="en-US"/>
        </w:rPr>
        <w:t>amount of FUR = 1 mmol</w:t>
      </w:r>
      <w:r w:rsidR="00076FA2">
        <w:rPr>
          <w:rFonts w:ascii="Arial" w:hAnsi="Arial" w:cs="Arial"/>
          <w:sz w:val="16"/>
          <w:szCs w:val="16"/>
          <w:lang w:val="en-US"/>
        </w:rPr>
        <w:t xml:space="preserve">; </w:t>
      </w:r>
      <w:r w:rsidRPr="002D0F14">
        <w:rPr>
          <w:rFonts w:ascii="Arial" w:hAnsi="Arial" w:cs="Arial"/>
          <w:sz w:val="16"/>
          <w:szCs w:val="16"/>
          <w:lang w:val="en-US"/>
        </w:rPr>
        <w:t>volume of ethanol = 5 mL; Na</w:t>
      </w:r>
      <w:r w:rsidRPr="002D0F14">
        <w:rPr>
          <w:rFonts w:ascii="Arial" w:hAnsi="Arial" w:cs="Arial"/>
          <w:sz w:val="16"/>
          <w:szCs w:val="16"/>
          <w:vertAlign w:val="subscript"/>
          <w:lang w:val="en-US"/>
        </w:rPr>
        <w:t>2</w:t>
      </w:r>
      <w:r w:rsidRPr="002D0F14">
        <w:rPr>
          <w:rFonts w:ascii="Arial" w:hAnsi="Arial" w:cs="Arial"/>
          <w:sz w:val="16"/>
          <w:szCs w:val="16"/>
          <w:lang w:val="en-US"/>
        </w:rPr>
        <w:t>CO</w:t>
      </w:r>
      <w:r w:rsidRPr="002D0F14">
        <w:rPr>
          <w:rFonts w:ascii="Arial" w:hAnsi="Arial" w:cs="Arial"/>
          <w:sz w:val="16"/>
          <w:szCs w:val="16"/>
          <w:vertAlign w:val="subscript"/>
          <w:lang w:val="en-US"/>
        </w:rPr>
        <w:t>3</w:t>
      </w:r>
      <w:r w:rsidRPr="002D0F14">
        <w:rPr>
          <w:rFonts w:ascii="Arial" w:hAnsi="Arial" w:cs="Arial"/>
          <w:sz w:val="16"/>
          <w:szCs w:val="16"/>
          <w:lang w:val="en-US"/>
        </w:rPr>
        <w:t xml:space="preserve"> amount = 0-0.10 g; and H</w:t>
      </w:r>
      <w:r w:rsidRPr="002D0F14">
        <w:rPr>
          <w:rFonts w:ascii="Arial" w:hAnsi="Arial" w:cs="Arial"/>
          <w:sz w:val="16"/>
          <w:szCs w:val="16"/>
          <w:vertAlign w:val="subscript"/>
          <w:lang w:val="en-US"/>
        </w:rPr>
        <w:t>2</w:t>
      </w:r>
      <w:r w:rsidRPr="002D0F14">
        <w:rPr>
          <w:rFonts w:ascii="Arial" w:hAnsi="Arial" w:cs="Arial"/>
          <w:sz w:val="16"/>
          <w:szCs w:val="16"/>
          <w:lang w:val="en-US"/>
        </w:rPr>
        <w:t>O</w:t>
      </w:r>
      <w:r w:rsidRPr="002D0F14">
        <w:rPr>
          <w:rFonts w:ascii="Arial" w:hAnsi="Arial" w:cs="Arial"/>
          <w:sz w:val="16"/>
          <w:szCs w:val="16"/>
          <w:vertAlign w:val="subscript"/>
          <w:lang w:val="en-US"/>
        </w:rPr>
        <w:t>2</w:t>
      </w:r>
      <w:r w:rsidRPr="002D0F14">
        <w:rPr>
          <w:rFonts w:ascii="Arial" w:hAnsi="Arial" w:cs="Arial"/>
          <w:sz w:val="16"/>
          <w:szCs w:val="16"/>
          <w:lang w:val="en-US"/>
        </w:rPr>
        <w:t xml:space="preserve"> (33 vol. %) volume = 0.5 mL; reaction temperature = 130 ºC; reaction time = 6 h; number of cycles = 4)</w:t>
      </w:r>
      <w:r>
        <w:rPr>
          <w:rFonts w:ascii="Arial" w:hAnsi="Arial" w:cs="Arial"/>
          <w:sz w:val="16"/>
          <w:szCs w:val="16"/>
          <w:lang w:val="en-US"/>
        </w:rPr>
        <w:t>.</w:t>
      </w:r>
    </w:p>
    <w:sectPr w:rsidR="002D0F14" w:rsidRPr="00FC068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124F"/>
    <w:rsid w:val="0006790C"/>
    <w:rsid w:val="00076FA2"/>
    <w:rsid w:val="000B6490"/>
    <w:rsid w:val="000C385A"/>
    <w:rsid w:val="00145625"/>
    <w:rsid w:val="001F7A1D"/>
    <w:rsid w:val="0027792E"/>
    <w:rsid w:val="002A5360"/>
    <w:rsid w:val="002D0F14"/>
    <w:rsid w:val="0038168B"/>
    <w:rsid w:val="004C124F"/>
    <w:rsid w:val="00506789"/>
    <w:rsid w:val="00561B2F"/>
    <w:rsid w:val="006A706E"/>
    <w:rsid w:val="006A7D84"/>
    <w:rsid w:val="007F258F"/>
    <w:rsid w:val="00800263"/>
    <w:rsid w:val="00B65492"/>
    <w:rsid w:val="00B65E0F"/>
    <w:rsid w:val="00C26B5D"/>
    <w:rsid w:val="00CB3E7C"/>
    <w:rsid w:val="00D079A3"/>
    <w:rsid w:val="00EB13C1"/>
    <w:rsid w:val="00FC068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606BAF"/>
  <w15:chartTrackingRefBased/>
  <w15:docId w15:val="{70ADEE96-20E2-471D-A400-6CB0F6C2F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C12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4C12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4C124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4C124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4C124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4C124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4C124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4C124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4C124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C124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4C124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4C124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4C124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4C124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4C124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C124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C124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C124F"/>
    <w:rPr>
      <w:rFonts w:eastAsiaTheme="majorEastAsia" w:cstheme="majorBidi"/>
      <w:color w:val="272727" w:themeColor="text1" w:themeTint="D8"/>
    </w:rPr>
  </w:style>
  <w:style w:type="paragraph" w:styleId="Titolo">
    <w:name w:val="Title"/>
    <w:basedOn w:val="Normale"/>
    <w:next w:val="Normale"/>
    <w:link w:val="TitoloCarattere"/>
    <w:uiPriority w:val="10"/>
    <w:qFormat/>
    <w:rsid w:val="004C12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C124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4C124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4C124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C124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4C124F"/>
    <w:rPr>
      <w:i/>
      <w:iCs/>
      <w:color w:val="404040" w:themeColor="text1" w:themeTint="BF"/>
    </w:rPr>
  </w:style>
  <w:style w:type="paragraph" w:styleId="Paragrafoelenco">
    <w:name w:val="List Paragraph"/>
    <w:basedOn w:val="Normale"/>
    <w:uiPriority w:val="34"/>
    <w:qFormat/>
    <w:rsid w:val="004C124F"/>
    <w:pPr>
      <w:ind w:left="720"/>
      <w:contextualSpacing/>
    </w:pPr>
  </w:style>
  <w:style w:type="character" w:styleId="Enfasiintensa">
    <w:name w:val="Intense Emphasis"/>
    <w:basedOn w:val="Carpredefinitoparagrafo"/>
    <w:uiPriority w:val="21"/>
    <w:qFormat/>
    <w:rsid w:val="004C124F"/>
    <w:rPr>
      <w:i/>
      <w:iCs/>
      <w:color w:val="0F4761" w:themeColor="accent1" w:themeShade="BF"/>
    </w:rPr>
  </w:style>
  <w:style w:type="paragraph" w:styleId="Citazioneintensa">
    <w:name w:val="Intense Quote"/>
    <w:basedOn w:val="Normale"/>
    <w:next w:val="Normale"/>
    <w:link w:val="CitazioneintensaCarattere"/>
    <w:uiPriority w:val="30"/>
    <w:qFormat/>
    <w:rsid w:val="004C12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4C124F"/>
    <w:rPr>
      <w:i/>
      <w:iCs/>
      <w:color w:val="0F4761" w:themeColor="accent1" w:themeShade="BF"/>
    </w:rPr>
  </w:style>
  <w:style w:type="character" w:styleId="Riferimentointenso">
    <w:name w:val="Intense Reference"/>
    <w:basedOn w:val="Carpredefinitoparagrafo"/>
    <w:uiPriority w:val="32"/>
    <w:qFormat/>
    <w:rsid w:val="004C124F"/>
    <w:rPr>
      <w:b/>
      <w:bCs/>
      <w:smallCaps/>
      <w:color w:val="0F4761" w:themeColor="accent1" w:themeShade="BF"/>
      <w:spacing w:val="5"/>
    </w:rPr>
  </w:style>
  <w:style w:type="paragraph" w:customStyle="1" w:styleId="Title1">
    <w:name w:val="Title1"/>
    <w:basedOn w:val="Normale"/>
    <w:next w:val="Normale"/>
    <w:qFormat/>
    <w:rsid w:val="00561B2F"/>
    <w:pPr>
      <w:spacing w:before="120" w:after="0" w:line="480" w:lineRule="exact"/>
    </w:pPr>
    <w:rPr>
      <w:rFonts w:ascii="Arial" w:eastAsia="MS Mincho" w:hAnsi="Arial" w:cs="Times New Roman"/>
      <w:b/>
      <w:kern w:val="0"/>
      <w:sz w:val="32"/>
      <w:szCs w:val="28"/>
      <w:lang w:val="de-DE" w:eastAsia="ja-JP"/>
      <w14:ligatures w14:val="none"/>
    </w:rPr>
  </w:style>
  <w:style w:type="paragraph" w:customStyle="1" w:styleId="Authors">
    <w:name w:val="Authors"/>
    <w:basedOn w:val="Normale"/>
    <w:qFormat/>
    <w:rsid w:val="00561B2F"/>
    <w:pPr>
      <w:spacing w:before="120" w:after="120" w:line="320" w:lineRule="exact"/>
    </w:pPr>
    <w:rPr>
      <w:rFonts w:ascii="Arial" w:eastAsia="MS Mincho" w:hAnsi="Arial" w:cs="Times New Roman"/>
      <w:kern w:val="0"/>
      <w:sz w:val="22"/>
      <w:lang w:val="en-GB" w:eastAsia="ja-JP"/>
      <w14:ligatures w14:val="none"/>
    </w:rPr>
  </w:style>
  <w:style w:type="paragraph" w:customStyle="1" w:styleId="Adress">
    <w:name w:val="Adress"/>
    <w:basedOn w:val="Normale"/>
    <w:qFormat/>
    <w:rsid w:val="00561B2F"/>
    <w:pPr>
      <w:spacing w:after="0" w:line="180" w:lineRule="exact"/>
      <w:ind w:left="425" w:hanging="425"/>
    </w:pPr>
    <w:rPr>
      <w:rFonts w:ascii="Arial" w:eastAsia="MS Mincho" w:hAnsi="Arial" w:cs="Times New Roman"/>
      <w:kern w:val="0"/>
      <w:sz w:val="14"/>
      <w:szCs w:val="20"/>
      <w:lang w:val="de-DE" w:eastAsia="ja-JP"/>
      <w14:ligatures w14:val="none"/>
    </w:rPr>
  </w:style>
  <w:style w:type="character" w:styleId="Collegamentoipertestuale">
    <w:name w:val="Hyperlink"/>
    <w:basedOn w:val="Carpredefinitoparagrafo"/>
    <w:uiPriority w:val="99"/>
    <w:unhideWhenUsed/>
    <w:rsid w:val="002A5360"/>
    <w:rPr>
      <w:color w:val="467886" w:themeColor="hyperlink"/>
      <w:u w:val="single"/>
    </w:rPr>
  </w:style>
  <w:style w:type="character" w:styleId="Menzionenonrisolta">
    <w:name w:val="Unresolved Mention"/>
    <w:basedOn w:val="Carpredefinitoparagrafo"/>
    <w:uiPriority w:val="99"/>
    <w:semiHidden/>
    <w:unhideWhenUsed/>
    <w:rsid w:val="002A53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ti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tif"/><Relationship Id="rId5" Type="http://schemas.openxmlformats.org/officeDocument/2006/relationships/image" Target="media/image2.tiff"/><Relationship Id="rId4" Type="http://schemas.openxmlformats.org/officeDocument/2006/relationships/image" Target="media/image1.tif"/><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636</Words>
  <Characters>3630</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Antonio Cecilia</dc:creator>
  <cp:keywords/>
  <dc:description/>
  <cp:lastModifiedBy>Anna Maugeri</cp:lastModifiedBy>
  <cp:revision>2</cp:revision>
  <dcterms:created xsi:type="dcterms:W3CDTF">2026-01-19T08:45:00Z</dcterms:created>
  <dcterms:modified xsi:type="dcterms:W3CDTF">2026-01-19T08:45:00Z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d704fb4c-5d40-4ab6-bbe7-f1ca689496ce</vt:lpwstr>
  </property>
</Properties>
</file>