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692CBE" w14:textId="77777777" w:rsidR="007B29E8" w:rsidRPr="00904303" w:rsidRDefault="007B29E8" w:rsidP="007B29E8">
      <w:pPr>
        <w:spacing w:line="360" w:lineRule="auto"/>
        <w:ind w:firstLine="0"/>
        <w:rPr>
          <w:b/>
          <w:bCs/>
          <w:sz w:val="32"/>
          <w:szCs w:val="28"/>
        </w:rPr>
      </w:pPr>
      <w:bookmarkStart w:id="0" w:name="_GoBack"/>
      <w:bookmarkEnd w:id="0"/>
      <w:r w:rsidRPr="007B29E8">
        <w:rPr>
          <w:b/>
          <w:bCs/>
          <w:kern w:val="2"/>
          <w:sz w:val="32"/>
          <w:szCs w:val="28"/>
          <w14:ligatures w14:val="standardContextual"/>
        </w:rPr>
        <w:t>New</w:t>
      </w:r>
      <w:r w:rsidRPr="00904303">
        <w:rPr>
          <w:b/>
          <w:bCs/>
          <w:sz w:val="32"/>
          <w:szCs w:val="28"/>
        </w:rPr>
        <w:t xml:space="preserve"> insights into Aflatoxin B1 mechanistic toxicology in cattle liver: an integrated approach using molecular docking and biological evaluation in CYP1A1 and CYP3A74 knockout BFH12 cell lines </w:t>
      </w:r>
    </w:p>
    <w:p w14:paraId="05E6493F" w14:textId="01E2B3C2" w:rsidR="007B29E8" w:rsidRPr="007B29E8" w:rsidRDefault="007B29E8" w:rsidP="007B29E8">
      <w:pPr>
        <w:spacing w:line="259" w:lineRule="auto"/>
        <w:ind w:firstLine="0"/>
        <w:jc w:val="left"/>
        <w:rPr>
          <w:kern w:val="2"/>
          <w:sz w:val="24"/>
          <w:szCs w:val="22"/>
          <w:lang w:val="it-IT"/>
          <w14:ligatures w14:val="standardContextual"/>
        </w:rPr>
      </w:pPr>
      <w:bookmarkStart w:id="1" w:name="_Hlk148351124"/>
      <w:r w:rsidRPr="007B29E8">
        <w:rPr>
          <w:kern w:val="2"/>
          <w:sz w:val="24"/>
          <w:szCs w:val="22"/>
          <w:lang w:val="it-IT"/>
          <w14:ligatures w14:val="standardContextual"/>
        </w:rPr>
        <w:t xml:space="preserve">Silvia </w:t>
      </w:r>
      <w:proofErr w:type="spellStart"/>
      <w:r w:rsidRPr="007B29E8">
        <w:rPr>
          <w:kern w:val="2"/>
          <w:sz w:val="24"/>
          <w:szCs w:val="22"/>
          <w:lang w:val="it-IT"/>
          <w14:ligatures w14:val="standardContextual"/>
        </w:rPr>
        <w:t>Iori</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 xml:space="preserve">, </w:t>
      </w:r>
      <w:proofErr w:type="spellStart"/>
      <w:r w:rsidR="00A86666" w:rsidRPr="007B29E8">
        <w:rPr>
          <w:kern w:val="2"/>
          <w:sz w:val="24"/>
          <w:szCs w:val="22"/>
          <w:lang w:val="it-IT"/>
          <w14:ligatures w14:val="standardContextual"/>
        </w:rPr>
        <w:t>Maija</w:t>
      </w:r>
      <w:proofErr w:type="spellEnd"/>
      <w:r w:rsidR="00A86666">
        <w:rPr>
          <w:kern w:val="2"/>
          <w:sz w:val="24"/>
          <w:szCs w:val="22"/>
          <w:lang w:val="it-IT"/>
          <w14:ligatures w14:val="standardContextual"/>
        </w:rPr>
        <w:t xml:space="preserve"> </w:t>
      </w:r>
      <w:proofErr w:type="spellStart"/>
      <w:r w:rsidRPr="007B29E8">
        <w:rPr>
          <w:kern w:val="2"/>
          <w:sz w:val="24"/>
          <w:szCs w:val="22"/>
          <w:lang w:val="it-IT"/>
          <w14:ligatures w14:val="standardContextual"/>
        </w:rPr>
        <w:t>Lahtela-Kakkonen</w:t>
      </w:r>
      <w:r w:rsidRPr="00A86666">
        <w:rPr>
          <w:kern w:val="2"/>
          <w:sz w:val="24"/>
          <w:szCs w:val="22"/>
          <w:vertAlign w:val="superscript"/>
          <w:lang w:val="it-IT"/>
          <w14:ligatures w14:val="standardContextual"/>
        </w:rPr>
        <w:t>b</w:t>
      </w:r>
      <w:proofErr w:type="spellEnd"/>
      <w:r w:rsidRPr="007B29E8">
        <w:rPr>
          <w:kern w:val="2"/>
          <w:sz w:val="24"/>
          <w:szCs w:val="22"/>
          <w:lang w:val="it-IT"/>
          <w14:ligatures w14:val="standardContextual"/>
        </w:rPr>
        <w:t xml:space="preserve">, Caterina D’ </w:t>
      </w:r>
      <w:proofErr w:type="spellStart"/>
      <w:r w:rsidRPr="007B29E8">
        <w:rPr>
          <w:kern w:val="2"/>
          <w:sz w:val="24"/>
          <w:szCs w:val="22"/>
          <w:lang w:val="it-IT"/>
          <w14:ligatures w14:val="standardContextual"/>
        </w:rPr>
        <w:t>Onofrio</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 xml:space="preserve">, Federica </w:t>
      </w:r>
      <w:proofErr w:type="spellStart"/>
      <w:r w:rsidRPr="007B29E8">
        <w:rPr>
          <w:kern w:val="2"/>
          <w:sz w:val="24"/>
          <w:szCs w:val="22"/>
          <w:lang w:val="it-IT"/>
          <w14:ligatures w14:val="standardContextual"/>
        </w:rPr>
        <w:t>Maietti</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 xml:space="preserve">, </w:t>
      </w:r>
      <w:r w:rsidR="00A86666">
        <w:rPr>
          <w:kern w:val="2"/>
          <w:sz w:val="24"/>
          <w:szCs w:val="22"/>
          <w:lang w:val="it-IT"/>
          <w14:ligatures w14:val="standardContextual"/>
        </w:rPr>
        <w:t xml:space="preserve">Greta </w:t>
      </w:r>
      <w:proofErr w:type="spellStart"/>
      <w:r w:rsidR="00A86666">
        <w:rPr>
          <w:kern w:val="2"/>
          <w:sz w:val="24"/>
          <w:szCs w:val="22"/>
          <w:lang w:val="it-IT"/>
          <w14:ligatures w14:val="standardContextual"/>
        </w:rPr>
        <w:t>Mucignat</w:t>
      </w:r>
      <w:r w:rsidR="00A86666" w:rsidRPr="00A86666">
        <w:rPr>
          <w:kern w:val="2"/>
          <w:sz w:val="24"/>
          <w:szCs w:val="22"/>
          <w:vertAlign w:val="superscript"/>
          <w:lang w:val="it-IT"/>
          <w14:ligatures w14:val="standardContextual"/>
        </w:rPr>
        <w:t>a</w:t>
      </w:r>
      <w:proofErr w:type="spellEnd"/>
      <w:r w:rsidR="00A86666">
        <w:rPr>
          <w:kern w:val="2"/>
          <w:sz w:val="24"/>
          <w:szCs w:val="22"/>
          <w:lang w:val="it-IT"/>
          <w14:ligatures w14:val="standardContextual"/>
        </w:rPr>
        <w:t xml:space="preserve">, </w:t>
      </w:r>
      <w:proofErr w:type="spellStart"/>
      <w:r w:rsidRPr="007B29E8">
        <w:rPr>
          <w:kern w:val="2"/>
          <w:sz w:val="24"/>
          <w:szCs w:val="22"/>
          <w:lang w:val="it-IT"/>
          <w14:ligatures w14:val="standardContextual"/>
        </w:rPr>
        <w:t>Anisa</w:t>
      </w:r>
      <w:proofErr w:type="spellEnd"/>
      <w:r w:rsidRPr="007B29E8">
        <w:rPr>
          <w:kern w:val="2"/>
          <w:sz w:val="24"/>
          <w:szCs w:val="22"/>
          <w:lang w:val="it-IT"/>
          <w14:ligatures w14:val="standardContextual"/>
        </w:rPr>
        <w:t xml:space="preserve"> </w:t>
      </w:r>
      <w:proofErr w:type="spellStart"/>
      <w:r w:rsidRPr="007B29E8">
        <w:rPr>
          <w:kern w:val="2"/>
          <w:sz w:val="24"/>
          <w:szCs w:val="22"/>
          <w:lang w:val="it-IT"/>
          <w14:ligatures w14:val="standardContextual"/>
        </w:rPr>
        <w:t>Bardhi</w:t>
      </w:r>
      <w:r w:rsidRPr="00A86666">
        <w:rPr>
          <w:kern w:val="2"/>
          <w:sz w:val="24"/>
          <w:szCs w:val="22"/>
          <w:vertAlign w:val="superscript"/>
          <w:lang w:val="it-IT"/>
          <w14:ligatures w14:val="standardContextual"/>
        </w:rPr>
        <w:t>c</w:t>
      </w:r>
      <w:proofErr w:type="spellEnd"/>
      <w:r w:rsidR="00A86666">
        <w:rPr>
          <w:kern w:val="2"/>
          <w:sz w:val="24"/>
          <w:szCs w:val="22"/>
          <w:lang w:val="it-IT"/>
          <w14:ligatures w14:val="standardContextual"/>
        </w:rPr>
        <w:t>,</w:t>
      </w:r>
      <w:r w:rsidRPr="007B29E8">
        <w:rPr>
          <w:kern w:val="2"/>
          <w:sz w:val="24"/>
          <w:szCs w:val="22"/>
          <w:lang w:val="it-IT"/>
          <w14:ligatures w14:val="standardContextual"/>
        </w:rPr>
        <w:t xml:space="preserve"> Andrea </w:t>
      </w:r>
      <w:proofErr w:type="spellStart"/>
      <w:r w:rsidRPr="007B29E8">
        <w:rPr>
          <w:kern w:val="2"/>
          <w:sz w:val="24"/>
          <w:szCs w:val="22"/>
          <w:lang w:val="it-IT"/>
          <w14:ligatures w14:val="standardContextual"/>
        </w:rPr>
        <w:t>Barbarossa</w:t>
      </w:r>
      <w:r w:rsidRPr="00A86666">
        <w:rPr>
          <w:kern w:val="2"/>
          <w:sz w:val="24"/>
          <w:szCs w:val="22"/>
          <w:vertAlign w:val="superscript"/>
          <w:lang w:val="it-IT"/>
          <w14:ligatures w14:val="standardContextual"/>
        </w:rPr>
        <w:t>c</w:t>
      </w:r>
      <w:proofErr w:type="spellEnd"/>
      <w:r w:rsidRPr="007B29E8">
        <w:rPr>
          <w:kern w:val="2"/>
          <w:sz w:val="24"/>
          <w:szCs w:val="22"/>
          <w:lang w:val="it-IT"/>
          <w14:ligatures w14:val="standardContextual"/>
        </w:rPr>
        <w:t xml:space="preserve">, Anna </w:t>
      </w:r>
      <w:proofErr w:type="spellStart"/>
      <w:r w:rsidRPr="007B29E8">
        <w:rPr>
          <w:kern w:val="2"/>
          <w:sz w:val="24"/>
          <w:szCs w:val="22"/>
          <w:lang w:val="it-IT"/>
          <w14:ligatures w14:val="standardContextual"/>
        </w:rPr>
        <w:t>Zaghini</w:t>
      </w:r>
      <w:r w:rsidRPr="00A86666">
        <w:rPr>
          <w:kern w:val="2"/>
          <w:sz w:val="24"/>
          <w:szCs w:val="22"/>
          <w:vertAlign w:val="superscript"/>
          <w:lang w:val="it-IT"/>
          <w14:ligatures w14:val="standardContextual"/>
        </w:rPr>
        <w:t>c</w:t>
      </w:r>
      <w:proofErr w:type="spellEnd"/>
      <w:r w:rsidRPr="007B29E8">
        <w:rPr>
          <w:kern w:val="2"/>
          <w:sz w:val="24"/>
          <w:szCs w:val="22"/>
          <w:lang w:val="it-IT"/>
          <w14:ligatures w14:val="standardContextual"/>
        </w:rPr>
        <w:t xml:space="preserve">, Marianna </w:t>
      </w:r>
      <w:proofErr w:type="spellStart"/>
      <w:r w:rsidRPr="007B29E8">
        <w:rPr>
          <w:kern w:val="2"/>
          <w:sz w:val="24"/>
          <w:szCs w:val="22"/>
          <w:lang w:val="it-IT"/>
          <w14:ligatures w14:val="standardContextual"/>
        </w:rPr>
        <w:t>Pauletto</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 xml:space="preserve">, Mauro </w:t>
      </w:r>
      <w:proofErr w:type="spellStart"/>
      <w:r w:rsidRPr="007B29E8">
        <w:rPr>
          <w:kern w:val="2"/>
          <w:sz w:val="24"/>
          <w:szCs w:val="22"/>
          <w:lang w:val="it-IT"/>
          <w14:ligatures w14:val="standardContextual"/>
        </w:rPr>
        <w:t>Dacasto</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 xml:space="preserve"> &amp; Mery </w:t>
      </w:r>
      <w:proofErr w:type="spellStart"/>
      <w:proofErr w:type="gramStart"/>
      <w:r w:rsidRPr="007B29E8">
        <w:rPr>
          <w:kern w:val="2"/>
          <w:sz w:val="24"/>
          <w:szCs w:val="22"/>
          <w:lang w:val="it-IT"/>
          <w14:ligatures w14:val="standardContextual"/>
        </w:rPr>
        <w:t>Giantin</w:t>
      </w:r>
      <w:r w:rsidRPr="00A86666">
        <w:rPr>
          <w:kern w:val="2"/>
          <w:sz w:val="24"/>
          <w:szCs w:val="22"/>
          <w:vertAlign w:val="superscript"/>
          <w:lang w:val="it-IT"/>
          <w14:ligatures w14:val="standardContextual"/>
        </w:rPr>
        <w:t>a</w:t>
      </w:r>
      <w:proofErr w:type="spellEnd"/>
      <w:r w:rsidRPr="007B29E8">
        <w:rPr>
          <w:kern w:val="2"/>
          <w:sz w:val="24"/>
          <w:szCs w:val="22"/>
          <w:lang w:val="it-IT"/>
          <w14:ligatures w14:val="standardContextual"/>
        </w:rPr>
        <w:t>,*</w:t>
      </w:r>
      <w:proofErr w:type="gramEnd"/>
      <w:r w:rsidRPr="007B29E8">
        <w:rPr>
          <w:kern w:val="2"/>
          <w:sz w:val="24"/>
          <w:szCs w:val="22"/>
          <w:lang w:val="it-IT"/>
          <w14:ligatures w14:val="standardContextual"/>
        </w:rPr>
        <w:t xml:space="preserve"> </w:t>
      </w:r>
    </w:p>
    <w:bookmarkEnd w:id="1"/>
    <w:p w14:paraId="6E94AFA7" w14:textId="77777777" w:rsidR="007B29E8" w:rsidRPr="00A86666" w:rsidRDefault="007B29E8" w:rsidP="007B29E8">
      <w:pPr>
        <w:spacing w:line="259" w:lineRule="auto"/>
        <w:ind w:firstLine="0"/>
        <w:jc w:val="left"/>
        <w:rPr>
          <w:kern w:val="2"/>
          <w:sz w:val="24"/>
          <w:szCs w:val="22"/>
          <w:lang w:val="en-US"/>
          <w14:ligatures w14:val="standardContextual"/>
        </w:rPr>
      </w:pPr>
      <w:proofErr w:type="spellStart"/>
      <w:r w:rsidRPr="00A86666">
        <w:rPr>
          <w:kern w:val="2"/>
          <w:sz w:val="24"/>
          <w:szCs w:val="22"/>
          <w:vertAlign w:val="superscript"/>
          <w:lang w:val="en-US"/>
          <w14:ligatures w14:val="standardContextual"/>
        </w:rPr>
        <w:t>a</w:t>
      </w:r>
      <w:r w:rsidRPr="00A86666">
        <w:rPr>
          <w:kern w:val="2"/>
          <w:sz w:val="24"/>
          <w:szCs w:val="22"/>
          <w:lang w:val="en-US"/>
          <w14:ligatures w14:val="standardContextual"/>
        </w:rPr>
        <w:t>Department</w:t>
      </w:r>
      <w:proofErr w:type="spellEnd"/>
      <w:r w:rsidRPr="00A86666">
        <w:rPr>
          <w:kern w:val="2"/>
          <w:sz w:val="24"/>
          <w:szCs w:val="22"/>
          <w:lang w:val="en-US"/>
          <w14:ligatures w14:val="standardContextual"/>
        </w:rPr>
        <w:t xml:space="preserve"> of Comparative Biomedicine and Food Science, University of Padua, </w:t>
      </w:r>
      <w:proofErr w:type="spellStart"/>
      <w:r w:rsidRPr="00A86666">
        <w:rPr>
          <w:kern w:val="2"/>
          <w:sz w:val="24"/>
          <w:szCs w:val="22"/>
          <w:lang w:val="en-US"/>
          <w14:ligatures w14:val="standardContextual"/>
        </w:rPr>
        <w:t>Viale</w:t>
      </w:r>
      <w:proofErr w:type="spellEnd"/>
      <w:r w:rsidRPr="00A86666">
        <w:rPr>
          <w:kern w:val="2"/>
          <w:sz w:val="24"/>
          <w:szCs w:val="22"/>
          <w:lang w:val="en-US"/>
          <w14:ligatures w14:val="standardContextual"/>
        </w:rPr>
        <w:t xml:space="preserve"> </w:t>
      </w:r>
      <w:proofErr w:type="spellStart"/>
      <w:r w:rsidRPr="00A86666">
        <w:rPr>
          <w:kern w:val="2"/>
          <w:sz w:val="24"/>
          <w:szCs w:val="22"/>
          <w:lang w:val="en-US"/>
          <w14:ligatures w14:val="standardContextual"/>
        </w:rPr>
        <w:t>dell’Università</w:t>
      </w:r>
      <w:proofErr w:type="spellEnd"/>
      <w:r w:rsidRPr="00A86666">
        <w:rPr>
          <w:kern w:val="2"/>
          <w:sz w:val="24"/>
          <w:szCs w:val="22"/>
          <w:lang w:val="en-US"/>
          <w14:ligatures w14:val="standardContextual"/>
        </w:rPr>
        <w:t xml:space="preserve"> 16, </w:t>
      </w:r>
      <w:proofErr w:type="spellStart"/>
      <w:r w:rsidRPr="00A86666">
        <w:rPr>
          <w:kern w:val="2"/>
          <w:sz w:val="24"/>
          <w:szCs w:val="22"/>
          <w:lang w:val="en-US"/>
          <w14:ligatures w14:val="standardContextual"/>
        </w:rPr>
        <w:t>Legnaro</w:t>
      </w:r>
      <w:proofErr w:type="spellEnd"/>
      <w:r w:rsidRPr="00A86666">
        <w:rPr>
          <w:kern w:val="2"/>
          <w:sz w:val="24"/>
          <w:szCs w:val="22"/>
          <w:lang w:val="en-US"/>
          <w14:ligatures w14:val="standardContextual"/>
        </w:rPr>
        <w:t>, 35020 Padua, Italy</w:t>
      </w:r>
    </w:p>
    <w:p w14:paraId="59239B98" w14:textId="6F77594B" w:rsidR="007B29E8" w:rsidRPr="007B29E8" w:rsidRDefault="007B29E8" w:rsidP="007B29E8">
      <w:pPr>
        <w:spacing w:line="259" w:lineRule="auto"/>
        <w:ind w:firstLine="0"/>
        <w:jc w:val="left"/>
        <w:rPr>
          <w:kern w:val="2"/>
          <w:sz w:val="24"/>
          <w:szCs w:val="22"/>
          <w:lang w:val="en-US"/>
          <w14:ligatures w14:val="standardContextual"/>
        </w:rPr>
      </w:pPr>
      <w:proofErr w:type="spellStart"/>
      <w:r w:rsidRPr="007B29E8">
        <w:rPr>
          <w:kern w:val="2"/>
          <w:sz w:val="24"/>
          <w:szCs w:val="22"/>
          <w:vertAlign w:val="superscript"/>
          <w:lang w:val="en-US"/>
          <w14:ligatures w14:val="standardContextual"/>
        </w:rPr>
        <w:t>b</w:t>
      </w:r>
      <w:r w:rsidRPr="007B29E8">
        <w:rPr>
          <w:kern w:val="2"/>
          <w:sz w:val="24"/>
          <w:szCs w:val="22"/>
          <w:lang w:val="en-US"/>
          <w14:ligatures w14:val="standardContextual"/>
        </w:rPr>
        <w:t>University</w:t>
      </w:r>
      <w:proofErr w:type="spellEnd"/>
      <w:r w:rsidRPr="007B29E8">
        <w:rPr>
          <w:kern w:val="2"/>
          <w:sz w:val="24"/>
          <w:szCs w:val="22"/>
          <w:lang w:val="en-US"/>
          <w14:ligatures w14:val="standardContextual"/>
        </w:rPr>
        <w:t xml:space="preserve"> of Eastern Finland, School of Pharmacy, </w:t>
      </w:r>
      <w:proofErr w:type="spellStart"/>
      <w:r w:rsidRPr="007B29E8">
        <w:rPr>
          <w:kern w:val="2"/>
          <w:sz w:val="24"/>
          <w:szCs w:val="22"/>
          <w:lang w:val="en-US"/>
          <w14:ligatures w14:val="standardContextual"/>
        </w:rPr>
        <w:t>Yliopistonrinne</w:t>
      </w:r>
      <w:proofErr w:type="spellEnd"/>
      <w:r w:rsidRPr="007B29E8">
        <w:rPr>
          <w:kern w:val="2"/>
          <w:sz w:val="24"/>
          <w:szCs w:val="22"/>
          <w:lang w:val="en-US"/>
          <w14:ligatures w14:val="standardContextual"/>
        </w:rPr>
        <w:t xml:space="preserve"> 3, 70210 Kuopio, Finland</w:t>
      </w:r>
    </w:p>
    <w:p w14:paraId="4614EEDC" w14:textId="50A98F3A" w:rsidR="007B29E8" w:rsidRPr="007B29E8" w:rsidRDefault="007B29E8" w:rsidP="007B29E8">
      <w:pPr>
        <w:spacing w:line="259" w:lineRule="auto"/>
        <w:ind w:firstLine="0"/>
        <w:jc w:val="left"/>
        <w:rPr>
          <w:kern w:val="2"/>
          <w:sz w:val="24"/>
          <w:szCs w:val="22"/>
          <w:lang w:val="it-IT"/>
          <w14:ligatures w14:val="standardContextual"/>
        </w:rPr>
      </w:pPr>
      <w:proofErr w:type="spellStart"/>
      <w:r w:rsidRPr="007B29E8">
        <w:rPr>
          <w:kern w:val="2"/>
          <w:sz w:val="24"/>
          <w:szCs w:val="22"/>
          <w:vertAlign w:val="superscript"/>
          <w:lang w:val="it-IT"/>
          <w14:ligatures w14:val="standardContextual"/>
        </w:rPr>
        <w:t>c</w:t>
      </w:r>
      <w:r w:rsidRPr="007B29E8">
        <w:rPr>
          <w:kern w:val="2"/>
          <w:sz w:val="24"/>
          <w:szCs w:val="22"/>
          <w:lang w:val="it-IT"/>
          <w14:ligatures w14:val="standardContextual"/>
        </w:rPr>
        <w:t>Department</w:t>
      </w:r>
      <w:proofErr w:type="spellEnd"/>
      <w:r w:rsidRPr="007B29E8">
        <w:rPr>
          <w:kern w:val="2"/>
          <w:sz w:val="24"/>
          <w:szCs w:val="22"/>
          <w:lang w:val="it-IT"/>
          <w14:ligatures w14:val="standardContextual"/>
        </w:rPr>
        <w:t xml:space="preserve"> of </w:t>
      </w:r>
      <w:proofErr w:type="spellStart"/>
      <w:r w:rsidRPr="007B29E8">
        <w:rPr>
          <w:kern w:val="2"/>
          <w:sz w:val="24"/>
          <w:szCs w:val="22"/>
          <w:lang w:val="it-IT"/>
          <w14:ligatures w14:val="standardContextual"/>
        </w:rPr>
        <w:t>Veterinary</w:t>
      </w:r>
      <w:proofErr w:type="spellEnd"/>
      <w:r w:rsidRPr="007B29E8">
        <w:rPr>
          <w:kern w:val="2"/>
          <w:sz w:val="24"/>
          <w:szCs w:val="22"/>
          <w:lang w:val="it-IT"/>
          <w14:ligatures w14:val="standardContextual"/>
        </w:rPr>
        <w:t xml:space="preserve"> </w:t>
      </w:r>
      <w:proofErr w:type="spellStart"/>
      <w:r w:rsidRPr="007B29E8">
        <w:rPr>
          <w:kern w:val="2"/>
          <w:sz w:val="24"/>
          <w:szCs w:val="22"/>
          <w:lang w:val="it-IT"/>
          <w14:ligatures w14:val="standardContextual"/>
        </w:rPr>
        <w:t>Medical</w:t>
      </w:r>
      <w:proofErr w:type="spellEnd"/>
      <w:r w:rsidRPr="007B29E8">
        <w:rPr>
          <w:kern w:val="2"/>
          <w:sz w:val="24"/>
          <w:szCs w:val="22"/>
          <w:lang w:val="it-IT"/>
          <w14:ligatures w14:val="standardContextual"/>
        </w:rPr>
        <w:t xml:space="preserve"> Sciences, Alma Mater Studiorum </w:t>
      </w:r>
      <w:proofErr w:type="spellStart"/>
      <w:r w:rsidRPr="007B29E8">
        <w:rPr>
          <w:kern w:val="2"/>
          <w:sz w:val="24"/>
          <w:szCs w:val="22"/>
          <w:lang w:val="it-IT"/>
          <w14:ligatures w14:val="standardContextual"/>
        </w:rPr>
        <w:t>University</w:t>
      </w:r>
      <w:proofErr w:type="spellEnd"/>
      <w:r w:rsidRPr="007B29E8">
        <w:rPr>
          <w:kern w:val="2"/>
          <w:sz w:val="24"/>
          <w:szCs w:val="22"/>
          <w:lang w:val="it-IT"/>
          <w14:ligatures w14:val="standardContextual"/>
        </w:rPr>
        <w:t xml:space="preserve"> of Bologna, Via </w:t>
      </w:r>
      <w:proofErr w:type="spellStart"/>
      <w:r w:rsidRPr="007B29E8">
        <w:rPr>
          <w:kern w:val="2"/>
          <w:sz w:val="24"/>
          <w:szCs w:val="22"/>
          <w:lang w:val="it-IT"/>
          <w14:ligatures w14:val="standardContextual"/>
        </w:rPr>
        <w:t>Tolara</w:t>
      </w:r>
      <w:proofErr w:type="spellEnd"/>
      <w:r w:rsidRPr="007B29E8">
        <w:rPr>
          <w:kern w:val="2"/>
          <w:sz w:val="24"/>
          <w:szCs w:val="22"/>
          <w:lang w:val="it-IT"/>
          <w14:ligatures w14:val="standardContextual"/>
        </w:rPr>
        <w:t xml:space="preserve"> di Sopra 50, Ozzano dell’Emilia, 40064 Bologna, </w:t>
      </w:r>
      <w:proofErr w:type="spellStart"/>
      <w:r w:rsidRPr="007B29E8">
        <w:rPr>
          <w:kern w:val="2"/>
          <w:sz w:val="24"/>
          <w:szCs w:val="22"/>
          <w:lang w:val="it-IT"/>
          <w14:ligatures w14:val="standardContextual"/>
        </w:rPr>
        <w:t>Italy</w:t>
      </w:r>
      <w:proofErr w:type="spellEnd"/>
    </w:p>
    <w:p w14:paraId="2C1C4331" w14:textId="77777777" w:rsidR="007B29E8" w:rsidRPr="00A86666" w:rsidRDefault="007B29E8" w:rsidP="007B29E8">
      <w:pPr>
        <w:spacing w:line="259" w:lineRule="auto"/>
        <w:ind w:firstLine="0"/>
        <w:jc w:val="left"/>
        <w:rPr>
          <w:kern w:val="2"/>
          <w:sz w:val="24"/>
          <w:szCs w:val="22"/>
          <w:lang w:val="en-US"/>
          <w14:ligatures w14:val="standardContextual"/>
        </w:rPr>
      </w:pPr>
      <w:r w:rsidRPr="00A86666">
        <w:rPr>
          <w:kern w:val="2"/>
          <w:sz w:val="24"/>
          <w:szCs w:val="22"/>
          <w:lang w:val="en-US"/>
          <w14:ligatures w14:val="standardContextual"/>
        </w:rPr>
        <w:t xml:space="preserve">*corresponding author at: Department of Comparative Biomedicine and Food Science, University of Padua, </w:t>
      </w:r>
      <w:proofErr w:type="spellStart"/>
      <w:r w:rsidRPr="00A86666">
        <w:rPr>
          <w:kern w:val="2"/>
          <w:sz w:val="24"/>
          <w:szCs w:val="22"/>
          <w:lang w:val="en-US"/>
          <w14:ligatures w14:val="standardContextual"/>
        </w:rPr>
        <w:t>Viale</w:t>
      </w:r>
      <w:proofErr w:type="spellEnd"/>
      <w:r w:rsidRPr="00A86666">
        <w:rPr>
          <w:kern w:val="2"/>
          <w:sz w:val="24"/>
          <w:szCs w:val="22"/>
          <w:lang w:val="en-US"/>
          <w14:ligatures w14:val="standardContextual"/>
        </w:rPr>
        <w:t xml:space="preserve"> </w:t>
      </w:r>
      <w:proofErr w:type="spellStart"/>
      <w:r w:rsidRPr="00A86666">
        <w:rPr>
          <w:kern w:val="2"/>
          <w:sz w:val="24"/>
          <w:szCs w:val="22"/>
          <w:lang w:val="en-US"/>
          <w14:ligatures w14:val="standardContextual"/>
        </w:rPr>
        <w:t>dell’Università</w:t>
      </w:r>
      <w:proofErr w:type="spellEnd"/>
      <w:r w:rsidRPr="00A86666">
        <w:rPr>
          <w:kern w:val="2"/>
          <w:sz w:val="24"/>
          <w:szCs w:val="22"/>
          <w:lang w:val="en-US"/>
          <w14:ligatures w14:val="standardContextual"/>
        </w:rPr>
        <w:t xml:space="preserve"> 16, </w:t>
      </w:r>
      <w:proofErr w:type="spellStart"/>
      <w:r w:rsidRPr="00A86666">
        <w:rPr>
          <w:kern w:val="2"/>
          <w:sz w:val="24"/>
          <w:szCs w:val="22"/>
          <w:lang w:val="en-US"/>
          <w14:ligatures w14:val="standardContextual"/>
        </w:rPr>
        <w:t>Legnaro</w:t>
      </w:r>
      <w:proofErr w:type="spellEnd"/>
      <w:r w:rsidRPr="00A86666">
        <w:rPr>
          <w:kern w:val="2"/>
          <w:sz w:val="24"/>
          <w:szCs w:val="22"/>
          <w:lang w:val="en-US"/>
          <w14:ligatures w14:val="standardContextual"/>
        </w:rPr>
        <w:t xml:space="preserve">, 35020 Padua, Italy. </w:t>
      </w:r>
      <w:r w:rsidRPr="00A86666">
        <w:rPr>
          <w:kern w:val="2"/>
          <w:sz w:val="24"/>
          <w:szCs w:val="22"/>
          <w:lang w:val="en-US"/>
          <w14:ligatures w14:val="standardContextual"/>
        </w:rPr>
        <w:br/>
        <w:t>E-mail address: mery.giantin@unipd.it (M. Giantin).</w:t>
      </w:r>
    </w:p>
    <w:p w14:paraId="6228AF3E" w14:textId="77777777" w:rsidR="00B95E7B" w:rsidRDefault="00B95E7B"/>
    <w:p w14:paraId="4DD7CD3E" w14:textId="77777777" w:rsidR="00B95E7B" w:rsidRPr="007B29E8" w:rsidRDefault="00B95E7B" w:rsidP="00B95E7B">
      <w:pPr>
        <w:pStyle w:val="TITOLO"/>
        <w:spacing w:after="0"/>
        <w:rPr>
          <w:bCs/>
          <w:kern w:val="2"/>
          <w:sz w:val="32"/>
          <w:szCs w:val="28"/>
          <w14:ligatures w14:val="standardContextual"/>
        </w:rPr>
      </w:pPr>
      <w:r w:rsidRPr="007B29E8">
        <w:rPr>
          <w:bCs/>
          <w:kern w:val="2"/>
          <w:sz w:val="32"/>
          <w:szCs w:val="28"/>
          <w14:ligatures w14:val="standardContextual"/>
        </w:rPr>
        <w:t>Supplementary file</w:t>
      </w:r>
    </w:p>
    <w:p w14:paraId="1E46F5F8" w14:textId="77777777" w:rsidR="008E6E99" w:rsidRPr="007B29E8" w:rsidRDefault="008E6E99" w:rsidP="008E6E99">
      <w:pPr>
        <w:pStyle w:val="TITOLO"/>
        <w:spacing w:after="0"/>
        <w:rPr>
          <w:bCs/>
          <w:kern w:val="2"/>
          <w:sz w:val="32"/>
          <w:szCs w:val="28"/>
          <w14:ligatures w14:val="standardContextual"/>
        </w:rPr>
      </w:pPr>
    </w:p>
    <w:p w14:paraId="2356F3B4" w14:textId="77777777" w:rsidR="008E6E99" w:rsidRPr="007B29E8" w:rsidRDefault="008E6E99" w:rsidP="00B95E7B">
      <w:pPr>
        <w:pStyle w:val="TITOLO"/>
        <w:spacing w:after="0"/>
        <w:rPr>
          <w:bCs/>
          <w:kern w:val="2"/>
          <w:sz w:val="24"/>
          <w:szCs w:val="24"/>
          <w14:ligatures w14:val="standardContextual"/>
        </w:rPr>
      </w:pPr>
      <w:r w:rsidRPr="007B29E8">
        <w:rPr>
          <w:bCs/>
          <w:kern w:val="2"/>
          <w:sz w:val="24"/>
          <w:szCs w:val="24"/>
          <w14:ligatures w14:val="standardContextual"/>
        </w:rPr>
        <w:t>Materials and Methods</w:t>
      </w:r>
      <w:r w:rsidR="00F9774E" w:rsidRPr="007B29E8">
        <w:rPr>
          <w:bCs/>
          <w:kern w:val="2"/>
          <w:sz w:val="24"/>
          <w:szCs w:val="24"/>
          <w14:ligatures w14:val="standardContextual"/>
        </w:rPr>
        <w:tab/>
      </w:r>
      <w:r w:rsidR="00F9774E" w:rsidRPr="007B29E8">
        <w:rPr>
          <w:bCs/>
          <w:kern w:val="2"/>
          <w:sz w:val="24"/>
          <w:szCs w:val="24"/>
          <w14:ligatures w14:val="standardContextual"/>
        </w:rPr>
        <w:tab/>
        <w:t>page 2</w:t>
      </w:r>
    </w:p>
    <w:p w14:paraId="59CFF43D" w14:textId="77777777" w:rsidR="00BE495E" w:rsidRPr="007B29E8" w:rsidRDefault="00BE495E" w:rsidP="00B95E7B">
      <w:pPr>
        <w:pStyle w:val="TITOLO"/>
        <w:spacing w:after="0"/>
        <w:rPr>
          <w:bCs/>
          <w:kern w:val="2"/>
          <w:sz w:val="24"/>
          <w:szCs w:val="24"/>
          <w14:ligatures w14:val="standardContextual"/>
        </w:rPr>
      </w:pPr>
    </w:p>
    <w:p w14:paraId="7A1CEDC8" w14:textId="55E820F7" w:rsidR="008E6E99" w:rsidRPr="007B29E8" w:rsidRDefault="00BE495E" w:rsidP="009D5456">
      <w:pPr>
        <w:pStyle w:val="TITOLO"/>
        <w:spacing w:after="0"/>
        <w:rPr>
          <w:sz w:val="24"/>
          <w:szCs w:val="24"/>
        </w:rPr>
      </w:pPr>
      <w:r w:rsidRPr="007B29E8">
        <w:rPr>
          <w:bCs/>
          <w:kern w:val="2"/>
          <w:sz w:val="24"/>
          <w:szCs w:val="24"/>
          <w14:ligatures w14:val="standardContextual"/>
        </w:rPr>
        <w:t>References</w:t>
      </w:r>
      <w:r w:rsidR="00F9774E" w:rsidRPr="007B29E8">
        <w:rPr>
          <w:bCs/>
          <w:kern w:val="2"/>
          <w:sz w:val="24"/>
          <w:szCs w:val="24"/>
          <w14:ligatures w14:val="standardContextual"/>
        </w:rPr>
        <w:tab/>
      </w:r>
      <w:r w:rsidR="00F9774E" w:rsidRPr="007B29E8">
        <w:rPr>
          <w:bCs/>
          <w:kern w:val="2"/>
          <w:sz w:val="24"/>
          <w:szCs w:val="24"/>
          <w14:ligatures w14:val="standardContextual"/>
        </w:rPr>
        <w:tab/>
      </w:r>
      <w:r w:rsidR="00F9774E" w:rsidRPr="007B29E8">
        <w:rPr>
          <w:bCs/>
          <w:kern w:val="2"/>
          <w:sz w:val="24"/>
          <w:szCs w:val="24"/>
          <w14:ligatures w14:val="standardContextual"/>
        </w:rPr>
        <w:tab/>
      </w:r>
      <w:r w:rsidR="007B29E8">
        <w:rPr>
          <w:bCs/>
          <w:kern w:val="2"/>
          <w:sz w:val="24"/>
          <w:szCs w:val="24"/>
          <w14:ligatures w14:val="standardContextual"/>
        </w:rPr>
        <w:tab/>
      </w:r>
      <w:r w:rsidR="00F9774E" w:rsidRPr="007B29E8">
        <w:rPr>
          <w:bCs/>
          <w:kern w:val="2"/>
          <w:sz w:val="24"/>
          <w:szCs w:val="24"/>
          <w14:ligatures w14:val="standardContextual"/>
        </w:rPr>
        <w:t xml:space="preserve">page </w:t>
      </w:r>
      <w:r w:rsidR="00932D7E">
        <w:rPr>
          <w:bCs/>
          <w:kern w:val="2"/>
          <w:sz w:val="24"/>
          <w:szCs w:val="24"/>
          <w14:ligatures w14:val="standardContextual"/>
        </w:rPr>
        <w:t>4</w:t>
      </w:r>
      <w:r w:rsidR="008E6E99" w:rsidRPr="007B29E8">
        <w:rPr>
          <w:sz w:val="24"/>
          <w:szCs w:val="24"/>
        </w:rPr>
        <w:br w:type="page"/>
      </w:r>
    </w:p>
    <w:p w14:paraId="42DB100F" w14:textId="77777777" w:rsidR="00B95E7B" w:rsidRPr="00932D7E" w:rsidRDefault="00B95E7B" w:rsidP="00B95E7B">
      <w:pPr>
        <w:pStyle w:val="TITOLO"/>
        <w:spacing w:after="0"/>
        <w:rPr>
          <w:sz w:val="24"/>
          <w:szCs w:val="24"/>
        </w:rPr>
      </w:pPr>
      <w:r w:rsidRPr="00932D7E">
        <w:rPr>
          <w:sz w:val="24"/>
          <w:szCs w:val="24"/>
        </w:rPr>
        <w:lastRenderedPageBreak/>
        <w:t>Materials and Methods</w:t>
      </w:r>
    </w:p>
    <w:p w14:paraId="6903F9C5" w14:textId="77777777" w:rsidR="00B95E7B" w:rsidRPr="00932D7E" w:rsidRDefault="00B95E7B" w:rsidP="00B95E7B">
      <w:pPr>
        <w:pStyle w:val="TITOLO"/>
        <w:spacing w:after="0"/>
        <w:rPr>
          <w:sz w:val="24"/>
          <w:szCs w:val="24"/>
        </w:rPr>
      </w:pPr>
    </w:p>
    <w:p w14:paraId="5891F11A" w14:textId="77777777" w:rsidR="00B95E7B" w:rsidRPr="00932D7E" w:rsidRDefault="00B95E7B" w:rsidP="00B95E7B">
      <w:pPr>
        <w:pStyle w:val="SOTTOTILO"/>
        <w:spacing w:after="0"/>
        <w:rPr>
          <w:sz w:val="24"/>
          <w:szCs w:val="24"/>
        </w:rPr>
      </w:pPr>
      <w:r w:rsidRPr="00932D7E">
        <w:rPr>
          <w:sz w:val="24"/>
          <w:szCs w:val="24"/>
        </w:rPr>
        <w:t>Homology modelling and molecular docking of AFB1 into CYP1A1 and CYP3A74 models</w:t>
      </w:r>
    </w:p>
    <w:p w14:paraId="71DB59EB" w14:textId="077E0CFE" w:rsidR="00B95E7B" w:rsidRPr="00932D7E" w:rsidRDefault="00B95E7B" w:rsidP="00BB0664">
      <w:pPr>
        <w:rPr>
          <w:sz w:val="24"/>
          <w:szCs w:val="24"/>
        </w:rPr>
      </w:pPr>
      <w:r w:rsidRPr="00932D7E">
        <w:rPr>
          <w:sz w:val="24"/>
          <w:szCs w:val="24"/>
        </w:rPr>
        <w:t>Bovine CYP1A1 model was obtained starting from the x-ray human CYP1A1 in complex with alpha-naphthoflavone (PDB:4I8V, R=2.6 Å) (Walsh et al. 2013), while the homology model of bovine CYP3A74 was built using as template the crystal structure of midazolam bound to human CYP3A4 (PDB:5TE8, R=2.7 Å) (</w:t>
      </w:r>
      <w:proofErr w:type="spellStart"/>
      <w:r w:rsidRPr="00932D7E">
        <w:rPr>
          <w:sz w:val="24"/>
          <w:szCs w:val="24"/>
        </w:rPr>
        <w:t>Sevrioukova</w:t>
      </w:r>
      <w:proofErr w:type="spellEnd"/>
      <w:r w:rsidRPr="00932D7E">
        <w:rPr>
          <w:sz w:val="24"/>
          <w:szCs w:val="24"/>
        </w:rPr>
        <w:t xml:space="preserve"> and Poulos 2017). Molecular modelling was performed using the Schrödinger Maestro version 12.8 (Small-Molecule Drug Discovery Suite 2021-2, Schrödinger, LLC, New York, NY). Templates were firstly prepared with Protein Preparation Wizard. Bond orders and hydrogens were added, and missing chains as well as missing loops were filled using Prime</w:t>
      </w:r>
      <w:r w:rsidR="00E8470E" w:rsidRPr="00932D7E">
        <w:rPr>
          <w:sz w:val="24"/>
          <w:szCs w:val="24"/>
        </w:rPr>
        <w:t xml:space="preserve"> module</w:t>
      </w:r>
      <w:r w:rsidRPr="00932D7E">
        <w:rPr>
          <w:sz w:val="24"/>
          <w:szCs w:val="24"/>
        </w:rPr>
        <w:t xml:space="preserve">. Chain A was applied in the study and het states were generated using </w:t>
      </w:r>
      <w:proofErr w:type="spellStart"/>
      <w:r w:rsidRPr="00932D7E">
        <w:rPr>
          <w:sz w:val="24"/>
          <w:szCs w:val="24"/>
        </w:rPr>
        <w:t>Epik</w:t>
      </w:r>
      <w:proofErr w:type="spellEnd"/>
      <w:r w:rsidRPr="00932D7E">
        <w:rPr>
          <w:sz w:val="24"/>
          <w:szCs w:val="24"/>
        </w:rPr>
        <w:t xml:space="preserve"> (pH 7±2). The </w:t>
      </w:r>
      <w:proofErr w:type="spellStart"/>
      <w:r w:rsidRPr="00932D7E">
        <w:rPr>
          <w:sz w:val="24"/>
          <w:szCs w:val="24"/>
        </w:rPr>
        <w:t>heme</w:t>
      </w:r>
      <w:proofErr w:type="spellEnd"/>
      <w:r w:rsidRPr="00932D7E">
        <w:rPr>
          <w:sz w:val="24"/>
          <w:szCs w:val="24"/>
        </w:rPr>
        <w:t xml:space="preserve"> iron was set as Fe</w:t>
      </w:r>
      <w:r w:rsidRPr="00932D7E">
        <w:rPr>
          <w:sz w:val="24"/>
          <w:szCs w:val="24"/>
          <w:vertAlign w:val="superscript"/>
        </w:rPr>
        <w:t>3+</w:t>
      </w:r>
      <w:r w:rsidRPr="00932D7E">
        <w:rPr>
          <w:sz w:val="24"/>
          <w:szCs w:val="24"/>
        </w:rPr>
        <w:t xml:space="preserve"> and it was connected via zero-order bonds to the conserved cysteine sulphur and to the four </w:t>
      </w:r>
      <w:proofErr w:type="spellStart"/>
      <w:r w:rsidRPr="00932D7E">
        <w:rPr>
          <w:sz w:val="24"/>
          <w:szCs w:val="24"/>
        </w:rPr>
        <w:t>heme</w:t>
      </w:r>
      <w:proofErr w:type="spellEnd"/>
      <w:r w:rsidRPr="00932D7E">
        <w:rPr>
          <w:sz w:val="24"/>
          <w:szCs w:val="24"/>
        </w:rPr>
        <w:t xml:space="preserve"> </w:t>
      </w:r>
      <w:proofErr w:type="spellStart"/>
      <w:r w:rsidRPr="00932D7E">
        <w:rPr>
          <w:sz w:val="24"/>
          <w:szCs w:val="24"/>
        </w:rPr>
        <w:t>nitrogens</w:t>
      </w:r>
      <w:proofErr w:type="spellEnd"/>
      <w:r w:rsidRPr="00932D7E">
        <w:rPr>
          <w:sz w:val="24"/>
          <w:szCs w:val="24"/>
        </w:rPr>
        <w:t xml:space="preserve">. The hydrogen bonds were assigned using PROPKA (pH 7.0) and waters having less than 3 H-bonds to non-waters were removed (default parameters). Then, protein minimization was conducted using the OPLS2005 force field, with heavy atom converging 0.30 Å RMSD. For homology modelling, sequence alignment was performed using a Smith-Waterman algorithm in Multiple Sequence Viewer/Editor; then, the Build Homology Model was used to obtain the 3D model of CYP1A1 and CYP3A74. For each obtained model, Structurally Conserved Regions (SCRs) were checked and Ramachandran plot was built to evaluate the quality of homology models. By means of </w:t>
      </w:r>
      <w:proofErr w:type="spellStart"/>
      <w:r w:rsidRPr="00932D7E">
        <w:rPr>
          <w:sz w:val="24"/>
          <w:szCs w:val="24"/>
        </w:rPr>
        <w:t>LigPrep</w:t>
      </w:r>
      <w:proofErr w:type="spellEnd"/>
      <w:r w:rsidRPr="00932D7E">
        <w:rPr>
          <w:sz w:val="24"/>
          <w:szCs w:val="24"/>
        </w:rPr>
        <w:t xml:space="preserve">, co-crystalized ligands and AFB1 (PubChem CID: 186907) were prepared and minimized using OPLS4 force filed. Compounds were ionized at pH 7 +/- 2 and desalts and </w:t>
      </w:r>
      <w:proofErr w:type="spellStart"/>
      <w:r w:rsidRPr="00932D7E">
        <w:rPr>
          <w:sz w:val="24"/>
          <w:szCs w:val="24"/>
        </w:rPr>
        <w:t>tautomers</w:t>
      </w:r>
      <w:proofErr w:type="spellEnd"/>
      <w:r w:rsidRPr="00932D7E">
        <w:rPr>
          <w:sz w:val="24"/>
          <w:szCs w:val="24"/>
        </w:rPr>
        <w:t xml:space="preserve"> were generated using </w:t>
      </w:r>
      <w:proofErr w:type="spellStart"/>
      <w:r w:rsidRPr="00932D7E">
        <w:rPr>
          <w:sz w:val="24"/>
          <w:szCs w:val="24"/>
        </w:rPr>
        <w:t>Epik</w:t>
      </w:r>
      <w:proofErr w:type="spellEnd"/>
      <w:r w:rsidRPr="00932D7E">
        <w:rPr>
          <w:sz w:val="24"/>
          <w:szCs w:val="24"/>
        </w:rPr>
        <w:t>. The binding site of each CYP was set with Receptor Grid Generation tool based on the binding of co-crystallized ligand, i.e. alpha-naphthoflavone and midazolam for CYP1A1, and for CYP3A4, respectively. Co-crystallized ligands of templates were docked in the respective deriving models to assure a correct binding mode for the target (i.e., AFB1). Then, AFB1 was docked into the models. Specifically, co-crystallized ligands as well as AFB1 were docked into the CYPs using Glide SP (Scaling factor of van der Waals radii was set 0.60).</w:t>
      </w:r>
    </w:p>
    <w:p w14:paraId="071586A8" w14:textId="77777777" w:rsidR="00B95E7B" w:rsidRPr="00932D7E" w:rsidRDefault="00B95E7B" w:rsidP="00B95E7B">
      <w:pPr>
        <w:pStyle w:val="SOTTOTILO"/>
        <w:spacing w:after="0"/>
        <w:rPr>
          <w:sz w:val="24"/>
          <w:szCs w:val="24"/>
        </w:rPr>
      </w:pPr>
      <w:r w:rsidRPr="00932D7E">
        <w:rPr>
          <w:sz w:val="24"/>
          <w:szCs w:val="24"/>
        </w:rPr>
        <w:t>LC-MS/MS quantification of AFB1, AFM1, AFL and AFQ1</w:t>
      </w:r>
    </w:p>
    <w:p w14:paraId="5FDB9F4A" w14:textId="77777777" w:rsidR="00B95E7B" w:rsidRPr="00932D7E" w:rsidRDefault="00B95E7B" w:rsidP="008E6E99">
      <w:pPr>
        <w:spacing w:after="0"/>
        <w:rPr>
          <w:sz w:val="24"/>
          <w:szCs w:val="24"/>
        </w:rPr>
      </w:pPr>
      <w:r w:rsidRPr="00932D7E">
        <w:rPr>
          <w:sz w:val="24"/>
          <w:szCs w:val="24"/>
        </w:rPr>
        <w:t xml:space="preserve">AFB1 and its metabolites (AFM1, AFL, and AFQ1) were </w:t>
      </w:r>
      <w:r w:rsidR="005243C1" w:rsidRPr="00932D7E">
        <w:rPr>
          <w:sz w:val="24"/>
          <w:szCs w:val="24"/>
        </w:rPr>
        <w:t xml:space="preserve">quantified </w:t>
      </w:r>
      <w:r w:rsidR="00571898" w:rsidRPr="00932D7E">
        <w:rPr>
          <w:sz w:val="24"/>
          <w:szCs w:val="24"/>
        </w:rPr>
        <w:t xml:space="preserve">by LC-MS/MS </w:t>
      </w:r>
      <w:r w:rsidRPr="00932D7E">
        <w:rPr>
          <w:sz w:val="24"/>
          <w:szCs w:val="24"/>
        </w:rPr>
        <w:t xml:space="preserve">in the medium of </w:t>
      </w:r>
      <w:r w:rsidR="005243C1" w:rsidRPr="00932D7E">
        <w:rPr>
          <w:sz w:val="24"/>
          <w:szCs w:val="24"/>
        </w:rPr>
        <w:t>CTL and KO cells incubated with 0.9 and 1.8 µM AFB1</w:t>
      </w:r>
      <w:r w:rsidRPr="00932D7E">
        <w:rPr>
          <w:sz w:val="24"/>
          <w:szCs w:val="24"/>
        </w:rPr>
        <w:t xml:space="preserve">. Samples were thawed at room temperature (20°C) and mixed by </w:t>
      </w:r>
      <w:proofErr w:type="spellStart"/>
      <w:r w:rsidRPr="00932D7E">
        <w:rPr>
          <w:sz w:val="24"/>
          <w:szCs w:val="24"/>
        </w:rPr>
        <w:t>vortexing</w:t>
      </w:r>
      <w:proofErr w:type="spellEnd"/>
      <w:r w:rsidRPr="00932D7E">
        <w:rPr>
          <w:sz w:val="24"/>
          <w:szCs w:val="24"/>
        </w:rPr>
        <w:t xml:space="preserve"> for 30 s. Then, 20 µL of sample were transferred into a LC vial containing 180 µL of ultrapure water with 0.1% formic acid, and 20 µL of the internal standard AFM2 (200 ng/mL in acetonitrile). Finally, 5 µL were injected in the analytical system. The LC consisted of a Waters </w:t>
      </w:r>
      <w:proofErr w:type="spellStart"/>
      <w:r w:rsidRPr="00932D7E">
        <w:rPr>
          <w:sz w:val="24"/>
          <w:szCs w:val="24"/>
        </w:rPr>
        <w:t>Acquity</w:t>
      </w:r>
      <w:proofErr w:type="spellEnd"/>
      <w:r w:rsidRPr="00932D7E">
        <w:rPr>
          <w:sz w:val="24"/>
          <w:szCs w:val="24"/>
        </w:rPr>
        <w:t xml:space="preserve"> UPLC binary pump, equipped with an </w:t>
      </w:r>
      <w:proofErr w:type="spellStart"/>
      <w:r w:rsidRPr="00932D7E">
        <w:rPr>
          <w:sz w:val="24"/>
          <w:szCs w:val="24"/>
        </w:rPr>
        <w:t>Acquity</w:t>
      </w:r>
      <w:proofErr w:type="spellEnd"/>
      <w:r w:rsidRPr="00932D7E">
        <w:rPr>
          <w:sz w:val="24"/>
          <w:szCs w:val="24"/>
        </w:rPr>
        <w:t xml:space="preserve"> BEH C18 (50 × 2.1 mm, 1.7 µm) reversed-phase column, kept at 40°C (Waters, Milford, MA, USA). Chromatographic separation was obtained in a 4 min run under programmed conditions, with a variable mixture of 0.1% formic acid in water and acetonitrile flowing at 0.3 mL/min. The detector was a Waters </w:t>
      </w:r>
      <w:proofErr w:type="spellStart"/>
      <w:r w:rsidRPr="00932D7E">
        <w:rPr>
          <w:sz w:val="24"/>
          <w:szCs w:val="24"/>
        </w:rPr>
        <w:t>Xevo</w:t>
      </w:r>
      <w:proofErr w:type="spellEnd"/>
      <w:r w:rsidRPr="00932D7E">
        <w:rPr>
          <w:sz w:val="24"/>
          <w:szCs w:val="24"/>
        </w:rPr>
        <w:t xml:space="preserve"> TQ-S Micro triple quadrupole mass spectrometer (Waters, Milford, MA, USA), operating in positive electrospray ionization (ESI+) with 3.5 kV capillary voltage. Source temperature was 150°C and </w:t>
      </w:r>
      <w:proofErr w:type="spellStart"/>
      <w:r w:rsidRPr="00932D7E">
        <w:rPr>
          <w:sz w:val="24"/>
          <w:szCs w:val="24"/>
        </w:rPr>
        <w:t>desolvation</w:t>
      </w:r>
      <w:proofErr w:type="spellEnd"/>
      <w:r w:rsidRPr="00932D7E">
        <w:rPr>
          <w:sz w:val="24"/>
          <w:szCs w:val="24"/>
        </w:rPr>
        <w:t xml:space="preserve"> temperature was 600°C; </w:t>
      </w:r>
      <w:proofErr w:type="spellStart"/>
      <w:r w:rsidRPr="00932D7E">
        <w:rPr>
          <w:sz w:val="24"/>
          <w:szCs w:val="24"/>
        </w:rPr>
        <w:t>desolvation</w:t>
      </w:r>
      <w:proofErr w:type="spellEnd"/>
      <w:r w:rsidRPr="00932D7E">
        <w:rPr>
          <w:sz w:val="24"/>
          <w:szCs w:val="24"/>
        </w:rPr>
        <w:t xml:space="preserve"> and cone gas flow were 900 and 50 L/h, respectively. For each analyte, the following specific transitions (with relative Cone Voltage and Collision Energy values) were monitored: 313.18 &gt; 241.18 </w:t>
      </w:r>
      <w:r w:rsidRPr="00932D7E">
        <w:rPr>
          <w:i/>
          <w:sz w:val="24"/>
          <w:szCs w:val="24"/>
        </w:rPr>
        <w:t>m/z</w:t>
      </w:r>
      <w:r w:rsidRPr="00932D7E">
        <w:rPr>
          <w:sz w:val="24"/>
          <w:szCs w:val="24"/>
        </w:rPr>
        <w:t xml:space="preserve"> (CV 52 V; CE 33 eV) and 313.18 &gt; 285.03 </w:t>
      </w:r>
      <w:r w:rsidRPr="00932D7E">
        <w:rPr>
          <w:i/>
          <w:sz w:val="24"/>
          <w:szCs w:val="24"/>
        </w:rPr>
        <w:t>m/z</w:t>
      </w:r>
      <w:r w:rsidRPr="00932D7E">
        <w:rPr>
          <w:sz w:val="24"/>
          <w:szCs w:val="24"/>
        </w:rPr>
        <w:t xml:space="preserve"> (CV 52 V; CE 18 eV) for AFB1; 297.20 &gt; 225.24 </w:t>
      </w:r>
      <w:r w:rsidRPr="00932D7E">
        <w:rPr>
          <w:i/>
          <w:sz w:val="24"/>
          <w:szCs w:val="24"/>
        </w:rPr>
        <w:t>m/z</w:t>
      </w:r>
      <w:r w:rsidRPr="00932D7E">
        <w:rPr>
          <w:sz w:val="24"/>
          <w:szCs w:val="24"/>
        </w:rPr>
        <w:t xml:space="preserve"> (CV 52V; CE 31 eV) and 297.20 &gt; 268.78 </w:t>
      </w:r>
      <w:r w:rsidRPr="00932D7E">
        <w:rPr>
          <w:i/>
          <w:sz w:val="24"/>
          <w:szCs w:val="24"/>
        </w:rPr>
        <w:t>m/z</w:t>
      </w:r>
      <w:r w:rsidRPr="00932D7E">
        <w:rPr>
          <w:sz w:val="24"/>
          <w:szCs w:val="24"/>
        </w:rPr>
        <w:t xml:space="preserve"> (CV 52 </w:t>
      </w:r>
      <w:r w:rsidRPr="00932D7E">
        <w:rPr>
          <w:sz w:val="24"/>
          <w:szCs w:val="24"/>
        </w:rPr>
        <w:lastRenderedPageBreak/>
        <w:t xml:space="preserve">V; CE 15 eV) for AFL; 329.17 &gt; 229.19 </w:t>
      </w:r>
      <w:r w:rsidRPr="00932D7E">
        <w:rPr>
          <w:i/>
          <w:sz w:val="24"/>
          <w:szCs w:val="24"/>
        </w:rPr>
        <w:t>m/z</w:t>
      </w:r>
      <w:r w:rsidRPr="00932D7E">
        <w:rPr>
          <w:sz w:val="24"/>
          <w:szCs w:val="24"/>
        </w:rPr>
        <w:t xml:space="preserve"> (CV 52 V; CE 35 eV) and 329.17 &gt; 273.18 </w:t>
      </w:r>
      <w:r w:rsidRPr="00932D7E">
        <w:rPr>
          <w:i/>
          <w:sz w:val="24"/>
          <w:szCs w:val="24"/>
        </w:rPr>
        <w:t>m/z</w:t>
      </w:r>
      <w:r w:rsidRPr="00932D7E">
        <w:rPr>
          <w:sz w:val="24"/>
          <w:szCs w:val="24"/>
        </w:rPr>
        <w:t xml:space="preserve"> (CV 52 V; CE 18 eV) for AFM1; 329.17 &gt; 206.12 </w:t>
      </w:r>
      <w:r w:rsidRPr="00932D7E">
        <w:rPr>
          <w:i/>
          <w:sz w:val="24"/>
          <w:szCs w:val="24"/>
        </w:rPr>
        <w:t>m/z</w:t>
      </w:r>
      <w:r w:rsidRPr="00932D7E">
        <w:rPr>
          <w:sz w:val="24"/>
          <w:szCs w:val="24"/>
        </w:rPr>
        <w:t xml:space="preserve"> (CV 52 V; CE 18 eV) and  329.17 &gt; 177.29 </w:t>
      </w:r>
      <w:r w:rsidRPr="00932D7E">
        <w:rPr>
          <w:i/>
          <w:sz w:val="24"/>
          <w:szCs w:val="24"/>
        </w:rPr>
        <w:t>m/z</w:t>
      </w:r>
      <w:r w:rsidRPr="00932D7E">
        <w:rPr>
          <w:sz w:val="24"/>
          <w:szCs w:val="24"/>
        </w:rPr>
        <w:t xml:space="preserve"> (CV 52 V; CE 28 eV) for AFQ1; 331.19 &gt; 273.18 (CV 52; CE 16 V) for AFM2. Data acquisition and analysis were carried out with </w:t>
      </w:r>
      <w:proofErr w:type="spellStart"/>
      <w:r w:rsidRPr="00932D7E">
        <w:rPr>
          <w:sz w:val="24"/>
          <w:szCs w:val="24"/>
        </w:rPr>
        <w:t>MassLynx</w:t>
      </w:r>
      <w:proofErr w:type="spellEnd"/>
      <w:r w:rsidRPr="00932D7E">
        <w:rPr>
          <w:sz w:val="24"/>
          <w:szCs w:val="24"/>
        </w:rPr>
        <w:t xml:space="preserve"> 4.2 software (Waters, Milford, MA, USA). </w:t>
      </w:r>
      <w:r w:rsidR="00051625" w:rsidRPr="00932D7E">
        <w:rPr>
          <w:sz w:val="24"/>
          <w:szCs w:val="24"/>
        </w:rPr>
        <w:t>The linearity of the method was assessed (r</w:t>
      </w:r>
      <w:r w:rsidR="00051625" w:rsidRPr="00932D7E">
        <w:rPr>
          <w:sz w:val="24"/>
          <w:szCs w:val="24"/>
          <w:vertAlign w:val="superscript"/>
        </w:rPr>
        <w:t>2</w:t>
      </w:r>
      <w:r w:rsidR="00051625" w:rsidRPr="00932D7E">
        <w:rPr>
          <w:sz w:val="24"/>
          <w:szCs w:val="24"/>
        </w:rPr>
        <w:t xml:space="preserve"> &gt; 0.99) over the 0.045-1.8 µM range for AFB1 and the 0.001-0.06 µM range for the metabolites through matrix-matched calibrators prepared and analysed in parallel to each batch of samples. The lower limit of quantification (LLOQ), intended as the lowest measured concentration providing a signal/noise ratio above 10:1, was 0.001 µM for all analytes. The recovery was within 90-105 % for all compounds.</w:t>
      </w:r>
    </w:p>
    <w:p w14:paraId="077AC5EF" w14:textId="77777777" w:rsidR="00B95E7B" w:rsidRPr="00932D7E" w:rsidRDefault="00B95E7B" w:rsidP="00B95E7B">
      <w:pPr>
        <w:pStyle w:val="SOTTOTILO"/>
        <w:spacing w:after="0" w:line="240" w:lineRule="auto"/>
        <w:rPr>
          <w:sz w:val="24"/>
          <w:szCs w:val="24"/>
        </w:rPr>
      </w:pPr>
    </w:p>
    <w:p w14:paraId="0C081275" w14:textId="77777777" w:rsidR="00B95E7B" w:rsidRPr="00932D7E" w:rsidRDefault="00B95E7B" w:rsidP="00B95E7B">
      <w:pPr>
        <w:pStyle w:val="SOTTOTILO"/>
        <w:spacing w:after="0"/>
        <w:rPr>
          <w:sz w:val="24"/>
          <w:szCs w:val="24"/>
        </w:rPr>
      </w:pPr>
      <w:r w:rsidRPr="00932D7E">
        <w:rPr>
          <w:sz w:val="24"/>
          <w:szCs w:val="24"/>
        </w:rPr>
        <w:t>RNA-seq</w:t>
      </w:r>
      <w:r w:rsidR="00BB0664" w:rsidRPr="00932D7E">
        <w:rPr>
          <w:sz w:val="24"/>
          <w:szCs w:val="24"/>
        </w:rPr>
        <w:t>uencing</w:t>
      </w:r>
      <w:r w:rsidR="008F643B" w:rsidRPr="00932D7E">
        <w:rPr>
          <w:sz w:val="24"/>
          <w:szCs w:val="24"/>
        </w:rPr>
        <w:t xml:space="preserve"> </w:t>
      </w:r>
      <w:r w:rsidR="001D2AA6" w:rsidRPr="00932D7E">
        <w:rPr>
          <w:sz w:val="24"/>
          <w:szCs w:val="24"/>
        </w:rPr>
        <w:t>data analyses</w:t>
      </w:r>
    </w:p>
    <w:p w14:paraId="2CB8C18F" w14:textId="77777777" w:rsidR="00B95E7B" w:rsidRPr="00932D7E" w:rsidRDefault="00B95E7B" w:rsidP="00B95E7B">
      <w:pPr>
        <w:rPr>
          <w:sz w:val="24"/>
          <w:szCs w:val="24"/>
        </w:rPr>
      </w:pPr>
      <w:bookmarkStart w:id="2" w:name="_Hlk154054779"/>
      <w:r w:rsidRPr="00932D7E">
        <w:rPr>
          <w:sz w:val="24"/>
          <w:szCs w:val="24"/>
        </w:rPr>
        <w:t xml:space="preserve">Raw reads were trimmed using the </w:t>
      </w:r>
      <w:proofErr w:type="spellStart"/>
      <w:r w:rsidRPr="00932D7E">
        <w:rPr>
          <w:sz w:val="24"/>
          <w:szCs w:val="24"/>
        </w:rPr>
        <w:t>BBDuk</w:t>
      </w:r>
      <w:proofErr w:type="spellEnd"/>
      <w:r w:rsidRPr="00932D7E">
        <w:rPr>
          <w:sz w:val="24"/>
          <w:szCs w:val="24"/>
        </w:rPr>
        <w:t xml:space="preserve"> program (</w:t>
      </w:r>
      <w:proofErr w:type="spellStart"/>
      <w:r w:rsidRPr="00932D7E">
        <w:rPr>
          <w:sz w:val="24"/>
          <w:szCs w:val="24"/>
        </w:rPr>
        <w:t>BBTools</w:t>
      </w:r>
      <w:proofErr w:type="spellEnd"/>
      <w:r w:rsidRPr="00932D7E">
        <w:rPr>
          <w:sz w:val="24"/>
          <w:szCs w:val="24"/>
        </w:rPr>
        <w:t xml:space="preserve"> suite) and then mapped against the </w:t>
      </w:r>
      <w:r w:rsidRPr="00932D7E">
        <w:rPr>
          <w:i/>
          <w:sz w:val="24"/>
          <w:szCs w:val="24"/>
        </w:rPr>
        <w:t xml:space="preserve">Bos </w:t>
      </w:r>
      <w:proofErr w:type="spellStart"/>
      <w:r w:rsidRPr="00932D7E">
        <w:rPr>
          <w:i/>
          <w:sz w:val="24"/>
          <w:szCs w:val="24"/>
        </w:rPr>
        <w:t>taurus</w:t>
      </w:r>
      <w:proofErr w:type="spellEnd"/>
      <w:r w:rsidRPr="00932D7E">
        <w:rPr>
          <w:sz w:val="24"/>
          <w:szCs w:val="24"/>
        </w:rPr>
        <w:t xml:space="preserve"> ARS-UCD1.2 reference genome</w:t>
      </w:r>
      <w:r w:rsidR="008F643B" w:rsidRPr="00932D7E">
        <w:rPr>
          <w:sz w:val="24"/>
          <w:szCs w:val="24"/>
        </w:rPr>
        <w:t xml:space="preserve"> (Iori et al., 2024a)</w:t>
      </w:r>
      <w:r w:rsidRPr="00932D7E">
        <w:rPr>
          <w:sz w:val="24"/>
          <w:szCs w:val="24"/>
        </w:rPr>
        <w:t xml:space="preserve">. The differential expression analysis was conducted using the </w:t>
      </w:r>
      <w:proofErr w:type="spellStart"/>
      <w:r w:rsidRPr="00932D7E">
        <w:rPr>
          <w:sz w:val="24"/>
          <w:szCs w:val="24"/>
        </w:rPr>
        <w:t>EdgeR</w:t>
      </w:r>
      <w:proofErr w:type="spellEnd"/>
      <w:r w:rsidRPr="00932D7E">
        <w:rPr>
          <w:sz w:val="24"/>
          <w:szCs w:val="24"/>
        </w:rPr>
        <w:t xml:space="preserve"> Bioconductor package (Robinson et al. 2010). Pair-wise comparisons </w:t>
      </w:r>
      <w:bookmarkStart w:id="3" w:name="_Hlk127201687"/>
      <w:r w:rsidRPr="00932D7E">
        <w:rPr>
          <w:sz w:val="24"/>
          <w:szCs w:val="24"/>
        </w:rPr>
        <w:t xml:space="preserve">were carried out to highlight </w:t>
      </w:r>
      <w:bookmarkStart w:id="4" w:name="_Hlk127201578"/>
      <w:r w:rsidRPr="00932D7E">
        <w:rPr>
          <w:sz w:val="24"/>
          <w:szCs w:val="24"/>
        </w:rPr>
        <w:t xml:space="preserve">transcriptional changes induced </w:t>
      </w:r>
      <w:bookmarkEnd w:id="4"/>
      <w:r w:rsidRPr="00932D7E">
        <w:rPr>
          <w:sz w:val="24"/>
          <w:szCs w:val="24"/>
        </w:rPr>
        <w:t xml:space="preserve">by AFB1 exposure in KO and CTL cells, setting </w:t>
      </w:r>
      <w:bookmarkStart w:id="5" w:name="_Hlk127201632"/>
      <w:r w:rsidRPr="00932D7E">
        <w:rPr>
          <w:sz w:val="24"/>
          <w:szCs w:val="24"/>
        </w:rPr>
        <w:t>a False Discovery Rate (FDR) of 5%</w:t>
      </w:r>
      <w:bookmarkEnd w:id="3"/>
      <w:bookmarkEnd w:id="5"/>
      <w:r w:rsidRPr="00932D7E">
        <w:rPr>
          <w:sz w:val="24"/>
          <w:szCs w:val="24"/>
        </w:rPr>
        <w:t xml:space="preserve">. </w:t>
      </w:r>
      <w:proofErr w:type="spellStart"/>
      <w:r w:rsidRPr="00932D7E">
        <w:rPr>
          <w:sz w:val="24"/>
          <w:szCs w:val="24"/>
        </w:rPr>
        <w:t>ClusterProfiler</w:t>
      </w:r>
      <w:proofErr w:type="spellEnd"/>
      <w:r w:rsidRPr="00932D7E">
        <w:rPr>
          <w:sz w:val="24"/>
          <w:szCs w:val="24"/>
        </w:rPr>
        <w:t xml:space="preserve"> package (Yu et al. 2012) was then implemented in R environment to functionally interpret significant differentially expressed genes (DEGs) through the Kyoto </w:t>
      </w:r>
      <w:proofErr w:type="spellStart"/>
      <w:r w:rsidRPr="00932D7E">
        <w:rPr>
          <w:sz w:val="24"/>
          <w:szCs w:val="24"/>
        </w:rPr>
        <w:t>Encyclopedia</w:t>
      </w:r>
      <w:proofErr w:type="spellEnd"/>
      <w:r w:rsidRPr="00932D7E">
        <w:rPr>
          <w:sz w:val="24"/>
          <w:szCs w:val="24"/>
        </w:rPr>
        <w:t xml:space="preserve"> of Genes and Genomes (KEGG) over-representation test. </w:t>
      </w:r>
      <w:bookmarkEnd w:id="2"/>
    </w:p>
    <w:p w14:paraId="46E6677C" w14:textId="77777777" w:rsidR="00EB700C" w:rsidRPr="00932D7E" w:rsidRDefault="0067552C" w:rsidP="00BE495E">
      <w:pPr>
        <w:pStyle w:val="SOTTOTILO"/>
        <w:spacing w:after="0"/>
        <w:rPr>
          <w:sz w:val="24"/>
          <w:szCs w:val="24"/>
        </w:rPr>
      </w:pPr>
      <w:r w:rsidRPr="00932D7E">
        <w:rPr>
          <w:sz w:val="24"/>
          <w:szCs w:val="24"/>
        </w:rPr>
        <w:t>I</w:t>
      </w:r>
      <w:r w:rsidR="00EB700C" w:rsidRPr="00932D7E">
        <w:rPr>
          <w:sz w:val="24"/>
          <w:szCs w:val="24"/>
        </w:rPr>
        <w:t>mmunoblotting</w:t>
      </w:r>
    </w:p>
    <w:p w14:paraId="08D0C489" w14:textId="447AA4D6" w:rsidR="00AD0C5F" w:rsidRPr="00932D7E" w:rsidRDefault="00AD0C5F" w:rsidP="00AD0C5F">
      <w:pPr>
        <w:rPr>
          <w:sz w:val="24"/>
          <w:szCs w:val="24"/>
        </w:rPr>
      </w:pPr>
      <w:r w:rsidRPr="00932D7E">
        <w:rPr>
          <w:sz w:val="24"/>
          <w:szCs w:val="24"/>
        </w:rPr>
        <w:t xml:space="preserve">Fifteen µg of total proteins were separated on </w:t>
      </w:r>
      <w:proofErr w:type="spellStart"/>
      <w:r w:rsidRPr="00932D7E">
        <w:rPr>
          <w:sz w:val="24"/>
          <w:szCs w:val="24"/>
        </w:rPr>
        <w:t>NuPAGE</w:t>
      </w:r>
      <w:proofErr w:type="spellEnd"/>
      <w:r w:rsidRPr="00932D7E">
        <w:rPr>
          <w:sz w:val="24"/>
          <w:szCs w:val="24"/>
        </w:rPr>
        <w:t>® </w:t>
      </w:r>
      <w:proofErr w:type="spellStart"/>
      <w:r w:rsidRPr="00932D7E">
        <w:rPr>
          <w:sz w:val="24"/>
          <w:szCs w:val="24"/>
        </w:rPr>
        <w:t>Novex</w:t>
      </w:r>
      <w:proofErr w:type="spellEnd"/>
      <w:r w:rsidRPr="00932D7E">
        <w:rPr>
          <w:sz w:val="24"/>
          <w:szCs w:val="24"/>
        </w:rPr>
        <w:t xml:space="preserve">® 4–12% Bis–Tris Gels by using the </w:t>
      </w:r>
      <w:proofErr w:type="spellStart"/>
      <w:r w:rsidRPr="00932D7E">
        <w:rPr>
          <w:sz w:val="24"/>
          <w:szCs w:val="24"/>
        </w:rPr>
        <w:t>XCell</w:t>
      </w:r>
      <w:proofErr w:type="spellEnd"/>
      <w:r w:rsidRPr="00932D7E">
        <w:rPr>
          <w:sz w:val="24"/>
          <w:szCs w:val="24"/>
        </w:rPr>
        <w:t xml:space="preserve"> </w:t>
      </w:r>
      <w:proofErr w:type="spellStart"/>
      <w:r w:rsidRPr="00932D7E">
        <w:rPr>
          <w:sz w:val="24"/>
          <w:szCs w:val="24"/>
        </w:rPr>
        <w:t>SureLock</w:t>
      </w:r>
      <w:proofErr w:type="spellEnd"/>
      <w:r w:rsidRPr="00932D7E">
        <w:rPr>
          <w:sz w:val="24"/>
          <w:szCs w:val="24"/>
        </w:rPr>
        <w:t>™ Mini-Cell electrophoresis system (Invitrogen, Eugene, OR, USA), and then transferred onto nitrocellulose filters as previously described (</w:t>
      </w:r>
      <w:proofErr w:type="spellStart"/>
      <w:r w:rsidRPr="00932D7E">
        <w:rPr>
          <w:sz w:val="24"/>
          <w:szCs w:val="24"/>
        </w:rPr>
        <w:t>Zancanella</w:t>
      </w:r>
      <w:proofErr w:type="spellEnd"/>
      <w:r w:rsidRPr="00932D7E">
        <w:rPr>
          <w:sz w:val="24"/>
          <w:szCs w:val="24"/>
        </w:rPr>
        <w:t xml:space="preserve"> et al., 2012). Proteins from HepG2 and BT474 human cell lines were used as positive controls. Membranes were incubated with anti-ACTB (1:6000 final concentration, 2 h</w:t>
      </w:r>
      <w:r w:rsidR="002E06CC" w:rsidRPr="00932D7E">
        <w:rPr>
          <w:sz w:val="24"/>
          <w:szCs w:val="24"/>
        </w:rPr>
        <w:t>rs</w:t>
      </w:r>
      <w:r w:rsidRPr="00932D7E">
        <w:rPr>
          <w:sz w:val="24"/>
          <w:szCs w:val="24"/>
        </w:rPr>
        <w:t>), TLR2 (1:1000, overnight), MAPK11 (1:1000, overnight), AKT3 (1:3000, overnight) and P21 (1:500, overnight) primary antibodies, then with horseradish peroxidase-conjugated goat anti-rabbit (1:6000, 1.5 h</w:t>
      </w:r>
      <w:r w:rsidR="002E06CC" w:rsidRPr="00932D7E">
        <w:rPr>
          <w:sz w:val="24"/>
          <w:szCs w:val="24"/>
        </w:rPr>
        <w:t>rs)</w:t>
      </w:r>
      <w:r w:rsidRPr="00932D7E">
        <w:rPr>
          <w:sz w:val="24"/>
          <w:szCs w:val="24"/>
        </w:rPr>
        <w:t xml:space="preserve"> for ACTB, TLR2, AKT3 and P21 or anti-mouse IgG (1:</w:t>
      </w:r>
      <w:r w:rsidR="00987BDB">
        <w:rPr>
          <w:sz w:val="24"/>
          <w:szCs w:val="24"/>
        </w:rPr>
        <w:t>5</w:t>
      </w:r>
      <w:r w:rsidRPr="00932D7E">
        <w:rPr>
          <w:sz w:val="24"/>
          <w:szCs w:val="24"/>
        </w:rPr>
        <w:t>000, 1.5 h</w:t>
      </w:r>
      <w:r w:rsidR="002E06CC" w:rsidRPr="00932D7E">
        <w:rPr>
          <w:sz w:val="24"/>
          <w:szCs w:val="24"/>
        </w:rPr>
        <w:t>rs)</w:t>
      </w:r>
      <w:r w:rsidRPr="00932D7E">
        <w:rPr>
          <w:sz w:val="24"/>
          <w:szCs w:val="24"/>
        </w:rPr>
        <w:t xml:space="preserve"> for MAPK11. The specific proteins were detected using </w:t>
      </w:r>
      <w:proofErr w:type="spellStart"/>
      <w:r w:rsidRPr="00932D7E">
        <w:rPr>
          <w:sz w:val="24"/>
          <w:szCs w:val="24"/>
        </w:rPr>
        <w:t>SuperSignal</w:t>
      </w:r>
      <w:proofErr w:type="spellEnd"/>
      <w:r w:rsidRPr="00932D7E">
        <w:rPr>
          <w:sz w:val="24"/>
          <w:szCs w:val="24"/>
        </w:rPr>
        <w:t xml:space="preserve">® West Pico chemiluminescence substrate (Pierce, Life Technologies, Foster City, CA, USA) according to the manufacturer’s instructions. </w:t>
      </w:r>
      <w:proofErr w:type="spellStart"/>
      <w:r w:rsidRPr="00932D7E">
        <w:rPr>
          <w:sz w:val="24"/>
          <w:szCs w:val="24"/>
        </w:rPr>
        <w:t>Immunopositive</w:t>
      </w:r>
      <w:proofErr w:type="spellEnd"/>
      <w:r w:rsidRPr="00932D7E">
        <w:rPr>
          <w:sz w:val="24"/>
          <w:szCs w:val="24"/>
        </w:rPr>
        <w:t xml:space="preserve"> bands were captured by the </w:t>
      </w:r>
      <w:proofErr w:type="spellStart"/>
      <w:r w:rsidRPr="00932D7E">
        <w:rPr>
          <w:sz w:val="24"/>
          <w:szCs w:val="24"/>
        </w:rPr>
        <w:t>iBright</w:t>
      </w:r>
      <w:proofErr w:type="spellEnd"/>
      <w:r w:rsidRPr="00932D7E">
        <w:rPr>
          <w:sz w:val="24"/>
          <w:szCs w:val="24"/>
        </w:rPr>
        <w:t xml:space="preserve"> Imaging Systems (</w:t>
      </w:r>
      <w:proofErr w:type="spellStart"/>
      <w:r w:rsidRPr="00932D7E">
        <w:rPr>
          <w:sz w:val="24"/>
          <w:szCs w:val="24"/>
        </w:rPr>
        <w:t>iBright</w:t>
      </w:r>
      <w:proofErr w:type="spellEnd"/>
      <w:r w:rsidRPr="00932D7E">
        <w:rPr>
          <w:sz w:val="24"/>
          <w:szCs w:val="24"/>
        </w:rPr>
        <w:t xml:space="preserve"> FL1500, Thermo Fisher Scientific, Waltham, MA, USA) and their Integrated Optical Density (IOD) was acquired by means of ImageJ 1.44p image analysis software. For the semi-quantification analysis, IOD of each sample was normalized to the IOD of the loading control (ACTB). </w:t>
      </w:r>
    </w:p>
    <w:p w14:paraId="38A44AD9" w14:textId="328F8411" w:rsidR="00F9774E" w:rsidRPr="00932D7E" w:rsidRDefault="00F9774E">
      <w:pPr>
        <w:spacing w:line="259" w:lineRule="auto"/>
        <w:ind w:firstLine="0"/>
        <w:jc w:val="left"/>
        <w:rPr>
          <w:b/>
          <w:sz w:val="24"/>
          <w:szCs w:val="24"/>
        </w:rPr>
      </w:pPr>
    </w:p>
    <w:p w14:paraId="3F7F3778" w14:textId="77777777" w:rsidR="00932D7E" w:rsidRDefault="00932D7E" w:rsidP="00DE37C6">
      <w:pPr>
        <w:ind w:firstLine="0"/>
        <w:rPr>
          <w:b/>
          <w:sz w:val="24"/>
          <w:szCs w:val="24"/>
        </w:rPr>
      </w:pPr>
      <w:r>
        <w:rPr>
          <w:b/>
          <w:sz w:val="24"/>
          <w:szCs w:val="24"/>
        </w:rPr>
        <w:br w:type="page"/>
      </w:r>
    </w:p>
    <w:p w14:paraId="11D826E6" w14:textId="4DF15CBA" w:rsidR="00DE37C6" w:rsidRPr="00932D7E" w:rsidRDefault="00DE37C6" w:rsidP="00DE37C6">
      <w:pPr>
        <w:ind w:firstLine="0"/>
        <w:rPr>
          <w:b/>
          <w:sz w:val="24"/>
          <w:szCs w:val="24"/>
        </w:rPr>
      </w:pPr>
      <w:r w:rsidRPr="00932D7E">
        <w:rPr>
          <w:b/>
          <w:sz w:val="24"/>
          <w:szCs w:val="24"/>
        </w:rPr>
        <w:lastRenderedPageBreak/>
        <w:t>References</w:t>
      </w:r>
    </w:p>
    <w:p w14:paraId="2C5904A5" w14:textId="4B52F7C8" w:rsidR="005B75B5" w:rsidRDefault="005B75B5" w:rsidP="005B75B5">
      <w:pPr>
        <w:pStyle w:val="Bibliografia"/>
        <w:rPr>
          <w:sz w:val="24"/>
          <w:szCs w:val="24"/>
          <w:lang w:val="en-US"/>
        </w:rPr>
      </w:pPr>
      <w:r w:rsidRPr="00932D7E">
        <w:rPr>
          <w:sz w:val="24"/>
          <w:szCs w:val="24"/>
          <w:lang w:val="en-US"/>
        </w:rPr>
        <w:t xml:space="preserve">Iori S, D’Onofrio C, </w:t>
      </w:r>
      <w:proofErr w:type="spellStart"/>
      <w:r w:rsidRPr="00932D7E">
        <w:rPr>
          <w:sz w:val="24"/>
          <w:szCs w:val="24"/>
          <w:lang w:val="en-US"/>
        </w:rPr>
        <w:t>Laham</w:t>
      </w:r>
      <w:proofErr w:type="spellEnd"/>
      <w:r w:rsidRPr="00932D7E">
        <w:rPr>
          <w:sz w:val="24"/>
          <w:szCs w:val="24"/>
          <w:lang w:val="en-US"/>
        </w:rPr>
        <w:t xml:space="preserve">-Karam N, et al (2024a) Establishment and characterization of cytochrome P450 1A1 CRISPR/Cas9 Knockout Bovine </w:t>
      </w:r>
      <w:proofErr w:type="spellStart"/>
      <w:r w:rsidRPr="00932D7E">
        <w:rPr>
          <w:sz w:val="24"/>
          <w:szCs w:val="24"/>
          <w:lang w:val="en-US"/>
        </w:rPr>
        <w:t>Foetal</w:t>
      </w:r>
      <w:proofErr w:type="spellEnd"/>
      <w:r w:rsidRPr="00932D7E">
        <w:rPr>
          <w:sz w:val="24"/>
          <w:szCs w:val="24"/>
          <w:lang w:val="en-US"/>
        </w:rPr>
        <w:t xml:space="preserve"> Hepatocyte Cell Line (BFH12). Cell Biol </w:t>
      </w:r>
      <w:proofErr w:type="spellStart"/>
      <w:r w:rsidRPr="00932D7E">
        <w:rPr>
          <w:sz w:val="24"/>
          <w:szCs w:val="24"/>
          <w:lang w:val="en-US"/>
        </w:rPr>
        <w:t>Toxicol</w:t>
      </w:r>
      <w:proofErr w:type="spellEnd"/>
      <w:r w:rsidRPr="00932D7E">
        <w:rPr>
          <w:sz w:val="24"/>
          <w:szCs w:val="24"/>
          <w:lang w:val="en-US"/>
        </w:rPr>
        <w:t xml:space="preserve"> 40:18. </w:t>
      </w:r>
      <w:r w:rsidR="00E424B5" w:rsidRPr="00E424B5">
        <w:rPr>
          <w:sz w:val="24"/>
          <w:szCs w:val="24"/>
          <w:lang w:val="en-US"/>
        </w:rPr>
        <w:t>https://doi.org/10.1007/s10565-024-09856-7</w:t>
      </w:r>
    </w:p>
    <w:p w14:paraId="15D5E53D" w14:textId="1559701D" w:rsidR="00E424B5" w:rsidRPr="00E424B5" w:rsidRDefault="00E424B5" w:rsidP="00E424B5">
      <w:pPr>
        <w:pStyle w:val="Bibliografia"/>
        <w:rPr>
          <w:sz w:val="24"/>
          <w:szCs w:val="24"/>
          <w:lang w:val="en-US"/>
        </w:rPr>
      </w:pPr>
      <w:r w:rsidRPr="00E424B5">
        <w:rPr>
          <w:sz w:val="24"/>
          <w:szCs w:val="24"/>
          <w:lang w:val="en-US"/>
        </w:rPr>
        <w:t xml:space="preserve">Robinson MD, McCarthy DJ, Smyth GK (2010) </w:t>
      </w:r>
      <w:proofErr w:type="spellStart"/>
      <w:r w:rsidRPr="00E424B5">
        <w:rPr>
          <w:sz w:val="24"/>
          <w:szCs w:val="24"/>
          <w:lang w:val="en-US"/>
        </w:rPr>
        <w:t>edgeR</w:t>
      </w:r>
      <w:proofErr w:type="spellEnd"/>
      <w:r w:rsidRPr="00E424B5">
        <w:rPr>
          <w:sz w:val="24"/>
          <w:szCs w:val="24"/>
          <w:lang w:val="en-US"/>
        </w:rPr>
        <w:t>: a Bioconductor package for differential expression analysis of digital gene expression data. Bioinformatics 26:139–140. https://doi.org/10.1093/bioinformatics/btp616</w:t>
      </w:r>
    </w:p>
    <w:p w14:paraId="6E140588" w14:textId="77777777" w:rsidR="00DE37C6" w:rsidRPr="00932D7E" w:rsidRDefault="005B75B5" w:rsidP="005B75B5">
      <w:pPr>
        <w:pStyle w:val="Bibliografia"/>
        <w:rPr>
          <w:sz w:val="24"/>
          <w:szCs w:val="24"/>
          <w:highlight w:val="green"/>
        </w:rPr>
      </w:pPr>
      <w:proofErr w:type="spellStart"/>
      <w:r w:rsidRPr="00932D7E">
        <w:rPr>
          <w:sz w:val="24"/>
          <w:szCs w:val="24"/>
        </w:rPr>
        <w:t>Sevrioukova</w:t>
      </w:r>
      <w:proofErr w:type="spellEnd"/>
      <w:r w:rsidRPr="00932D7E">
        <w:rPr>
          <w:sz w:val="24"/>
          <w:szCs w:val="24"/>
        </w:rPr>
        <w:t xml:space="preserve"> IF, Poulos TL (2017) Structural basis for regiospecific midazolam oxidation by human cytochrome P450 3A4. P Proc Natl </w:t>
      </w:r>
      <w:proofErr w:type="spellStart"/>
      <w:r w:rsidRPr="00932D7E">
        <w:rPr>
          <w:sz w:val="24"/>
          <w:szCs w:val="24"/>
        </w:rPr>
        <w:t>Acad</w:t>
      </w:r>
      <w:proofErr w:type="spellEnd"/>
      <w:r w:rsidRPr="00932D7E">
        <w:rPr>
          <w:sz w:val="24"/>
          <w:szCs w:val="24"/>
        </w:rPr>
        <w:t xml:space="preserve"> Sci U S A 114:486–491. https://doi.org/10.1073/pnas.1616198114</w:t>
      </w:r>
    </w:p>
    <w:p w14:paraId="11251936" w14:textId="77777777" w:rsidR="005B75B5" w:rsidRPr="00932D7E" w:rsidRDefault="005B75B5" w:rsidP="005B75B5">
      <w:pPr>
        <w:pStyle w:val="Bibliografia"/>
        <w:rPr>
          <w:sz w:val="24"/>
          <w:szCs w:val="24"/>
        </w:rPr>
      </w:pPr>
      <w:r w:rsidRPr="00932D7E">
        <w:rPr>
          <w:sz w:val="24"/>
          <w:szCs w:val="24"/>
        </w:rPr>
        <w:t xml:space="preserve">Walsh AA, </w:t>
      </w:r>
      <w:proofErr w:type="spellStart"/>
      <w:r w:rsidRPr="00932D7E">
        <w:rPr>
          <w:sz w:val="24"/>
          <w:szCs w:val="24"/>
        </w:rPr>
        <w:t>Szklarz</w:t>
      </w:r>
      <w:proofErr w:type="spellEnd"/>
      <w:r w:rsidRPr="00932D7E">
        <w:rPr>
          <w:sz w:val="24"/>
          <w:szCs w:val="24"/>
        </w:rPr>
        <w:t xml:space="preserve"> GD, Scott EE (2013) Human cytochrome P450 1A1 structure and utility in understanding drug and xenobiotic metabolism. J </w:t>
      </w:r>
      <w:proofErr w:type="spellStart"/>
      <w:r w:rsidRPr="00932D7E">
        <w:rPr>
          <w:sz w:val="24"/>
          <w:szCs w:val="24"/>
        </w:rPr>
        <w:t>Biol</w:t>
      </w:r>
      <w:proofErr w:type="spellEnd"/>
      <w:r w:rsidRPr="00932D7E">
        <w:rPr>
          <w:sz w:val="24"/>
          <w:szCs w:val="24"/>
        </w:rPr>
        <w:t xml:space="preserve"> Chem 288:12932–12943. https://doi.org/10.1074/JBC.M113.452953</w:t>
      </w:r>
    </w:p>
    <w:p w14:paraId="5744E82F" w14:textId="77777777" w:rsidR="00DE37C6" w:rsidRPr="00932D7E" w:rsidRDefault="005B75B5" w:rsidP="005B75B5">
      <w:pPr>
        <w:pStyle w:val="Bibliografia"/>
        <w:rPr>
          <w:sz w:val="24"/>
          <w:szCs w:val="24"/>
        </w:rPr>
      </w:pPr>
      <w:r w:rsidRPr="00932D7E">
        <w:rPr>
          <w:sz w:val="24"/>
          <w:szCs w:val="24"/>
        </w:rPr>
        <w:t xml:space="preserve">Yu G, Wang L-G, Han Y, He Q-Y (2012) </w:t>
      </w:r>
      <w:proofErr w:type="spellStart"/>
      <w:r w:rsidR="009E6F74" w:rsidRPr="00932D7E">
        <w:rPr>
          <w:sz w:val="24"/>
          <w:szCs w:val="24"/>
        </w:rPr>
        <w:t>C</w:t>
      </w:r>
      <w:r w:rsidRPr="00932D7E">
        <w:rPr>
          <w:sz w:val="24"/>
          <w:szCs w:val="24"/>
        </w:rPr>
        <w:t>lusterProfiler</w:t>
      </w:r>
      <w:proofErr w:type="spellEnd"/>
      <w:r w:rsidRPr="00932D7E">
        <w:rPr>
          <w:sz w:val="24"/>
          <w:szCs w:val="24"/>
        </w:rPr>
        <w:t xml:space="preserve">: </w:t>
      </w:r>
      <w:proofErr w:type="gramStart"/>
      <w:r w:rsidRPr="00932D7E">
        <w:rPr>
          <w:sz w:val="24"/>
          <w:szCs w:val="24"/>
        </w:rPr>
        <w:t>an</w:t>
      </w:r>
      <w:proofErr w:type="gramEnd"/>
      <w:r w:rsidRPr="00932D7E">
        <w:rPr>
          <w:sz w:val="24"/>
          <w:szCs w:val="24"/>
        </w:rPr>
        <w:t xml:space="preserve"> R Package for Comparing Biological Themes Among Gene Clusters. OMICS 16:284–287. https://doi.org/10.1089/omi.2011.0118</w:t>
      </w:r>
    </w:p>
    <w:p w14:paraId="098C3C6D" w14:textId="77777777" w:rsidR="00DE37C6" w:rsidRPr="00932D7E" w:rsidRDefault="005B75B5" w:rsidP="005B75B5">
      <w:pPr>
        <w:pStyle w:val="Bibliografia"/>
        <w:rPr>
          <w:sz w:val="24"/>
          <w:szCs w:val="24"/>
          <w:lang w:val="it-IT"/>
        </w:rPr>
      </w:pPr>
      <w:proofErr w:type="spellStart"/>
      <w:r w:rsidRPr="00932D7E">
        <w:rPr>
          <w:sz w:val="24"/>
          <w:szCs w:val="24"/>
        </w:rPr>
        <w:t>Zancanella</w:t>
      </w:r>
      <w:proofErr w:type="spellEnd"/>
      <w:r w:rsidRPr="00932D7E">
        <w:rPr>
          <w:sz w:val="24"/>
          <w:szCs w:val="24"/>
        </w:rPr>
        <w:t xml:space="preserve"> V, Giantin M, </w:t>
      </w:r>
      <w:proofErr w:type="spellStart"/>
      <w:r w:rsidRPr="00932D7E">
        <w:rPr>
          <w:sz w:val="24"/>
          <w:szCs w:val="24"/>
        </w:rPr>
        <w:t>Lopparelli</w:t>
      </w:r>
      <w:proofErr w:type="spellEnd"/>
      <w:r w:rsidRPr="00932D7E">
        <w:rPr>
          <w:sz w:val="24"/>
          <w:szCs w:val="24"/>
        </w:rPr>
        <w:t xml:space="preserve"> RM, et al (2012) Constitutive Expression and Phenobarbital Modulation of Drug Metabolizing Enzymes and Related Nuclear Receptors in Cattle Liver and Extra-Hepatic Tissues. </w:t>
      </w:r>
      <w:r w:rsidRPr="00932D7E">
        <w:rPr>
          <w:sz w:val="24"/>
          <w:szCs w:val="24"/>
          <w:lang w:val="it-IT"/>
        </w:rPr>
        <w:t>Xenobiotica 42:1096–1109</w:t>
      </w:r>
      <w:r w:rsidR="0018073A" w:rsidRPr="00932D7E">
        <w:rPr>
          <w:sz w:val="24"/>
          <w:szCs w:val="24"/>
          <w:lang w:val="it-IT"/>
        </w:rPr>
        <w:t xml:space="preserve">. </w:t>
      </w:r>
      <w:r w:rsidR="000522F4" w:rsidRPr="00932D7E">
        <w:rPr>
          <w:sz w:val="24"/>
          <w:szCs w:val="24"/>
          <w:lang w:val="it-IT"/>
        </w:rPr>
        <w:t>https://doi.org/10.3109/00498254.2012.694493</w:t>
      </w:r>
    </w:p>
    <w:p w14:paraId="63F6E3E8" w14:textId="77777777" w:rsidR="000522F4" w:rsidRPr="008F40A1" w:rsidRDefault="000522F4" w:rsidP="000522F4">
      <w:pPr>
        <w:rPr>
          <w:lang w:val="it-IT"/>
        </w:rPr>
      </w:pPr>
    </w:p>
    <w:p w14:paraId="119231F9" w14:textId="77777777" w:rsidR="000522F4" w:rsidRPr="008F40A1" w:rsidRDefault="000522F4" w:rsidP="000522F4">
      <w:pPr>
        <w:rPr>
          <w:lang w:val="it-IT"/>
        </w:rPr>
      </w:pPr>
    </w:p>
    <w:p w14:paraId="3093C625" w14:textId="77CD17B6" w:rsidR="000522F4" w:rsidRPr="008F40A1" w:rsidRDefault="000522F4" w:rsidP="000522F4">
      <w:pPr>
        <w:rPr>
          <w:lang w:val="it-IT"/>
        </w:rPr>
      </w:pPr>
    </w:p>
    <w:sectPr w:rsidR="000522F4" w:rsidRPr="008F40A1">
      <w:footerReference w:type="default" r:id="rId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50EEB3" w14:textId="77777777" w:rsidR="00890A2E" w:rsidRDefault="00890A2E" w:rsidP="00F9774E">
      <w:pPr>
        <w:spacing w:after="0" w:line="240" w:lineRule="auto"/>
      </w:pPr>
      <w:r>
        <w:separator/>
      </w:r>
    </w:p>
  </w:endnote>
  <w:endnote w:type="continuationSeparator" w:id="0">
    <w:p w14:paraId="1E7511F3" w14:textId="77777777" w:rsidR="00890A2E" w:rsidRDefault="00890A2E" w:rsidP="00F977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3743916"/>
      <w:docPartObj>
        <w:docPartGallery w:val="Page Numbers (Bottom of Page)"/>
        <w:docPartUnique/>
      </w:docPartObj>
    </w:sdtPr>
    <w:sdtEndPr/>
    <w:sdtContent>
      <w:p w14:paraId="125C3CBD" w14:textId="77777777" w:rsidR="00F9774E" w:rsidRDefault="00F9774E">
        <w:pPr>
          <w:pStyle w:val="Pidipagina"/>
          <w:jc w:val="center"/>
        </w:pPr>
        <w:r>
          <w:fldChar w:fldCharType="begin"/>
        </w:r>
        <w:r>
          <w:instrText>PAGE   \* MERGEFORMAT</w:instrText>
        </w:r>
        <w:r>
          <w:fldChar w:fldCharType="separate"/>
        </w:r>
        <w:r w:rsidR="008F40A1" w:rsidRPr="008F40A1">
          <w:rPr>
            <w:noProof/>
            <w:lang w:val="it-IT"/>
          </w:rPr>
          <w:t>5</w:t>
        </w:r>
        <w:r>
          <w:fldChar w:fldCharType="end"/>
        </w:r>
      </w:p>
    </w:sdtContent>
  </w:sdt>
  <w:p w14:paraId="7792E863" w14:textId="77777777" w:rsidR="00F9774E" w:rsidRDefault="00F9774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54A39B" w14:textId="77777777" w:rsidR="00890A2E" w:rsidRDefault="00890A2E" w:rsidP="00F9774E">
      <w:pPr>
        <w:spacing w:after="0" w:line="240" w:lineRule="auto"/>
      </w:pPr>
      <w:r>
        <w:separator/>
      </w:r>
    </w:p>
  </w:footnote>
  <w:footnote w:type="continuationSeparator" w:id="0">
    <w:p w14:paraId="2691BB3C" w14:textId="77777777" w:rsidR="00890A2E" w:rsidRDefault="00890A2E" w:rsidP="00F9774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E7B"/>
    <w:rsid w:val="00051625"/>
    <w:rsid w:val="000522F4"/>
    <w:rsid w:val="000A7EFC"/>
    <w:rsid w:val="000F47B3"/>
    <w:rsid w:val="0017098B"/>
    <w:rsid w:val="001755BC"/>
    <w:rsid w:val="0018073A"/>
    <w:rsid w:val="001D2AA6"/>
    <w:rsid w:val="002A36B2"/>
    <w:rsid w:val="002A4C86"/>
    <w:rsid w:val="002E06CC"/>
    <w:rsid w:val="003B1B20"/>
    <w:rsid w:val="003D2784"/>
    <w:rsid w:val="00467933"/>
    <w:rsid w:val="00473B17"/>
    <w:rsid w:val="00486F0F"/>
    <w:rsid w:val="004A34F1"/>
    <w:rsid w:val="004C1190"/>
    <w:rsid w:val="004D53FF"/>
    <w:rsid w:val="004E02B1"/>
    <w:rsid w:val="005243C1"/>
    <w:rsid w:val="00537D9A"/>
    <w:rsid w:val="00571898"/>
    <w:rsid w:val="00574EAD"/>
    <w:rsid w:val="005B75B5"/>
    <w:rsid w:val="0063129C"/>
    <w:rsid w:val="0067552C"/>
    <w:rsid w:val="007114FC"/>
    <w:rsid w:val="00721D39"/>
    <w:rsid w:val="007B29E8"/>
    <w:rsid w:val="00890A2E"/>
    <w:rsid w:val="008A3852"/>
    <w:rsid w:val="008E6E99"/>
    <w:rsid w:val="008F40A1"/>
    <w:rsid w:val="008F643B"/>
    <w:rsid w:val="00932D7E"/>
    <w:rsid w:val="00987BDB"/>
    <w:rsid w:val="009D5456"/>
    <w:rsid w:val="009E6F74"/>
    <w:rsid w:val="00A552E3"/>
    <w:rsid w:val="00A86666"/>
    <w:rsid w:val="00AD0C5F"/>
    <w:rsid w:val="00B95E7B"/>
    <w:rsid w:val="00BB0664"/>
    <w:rsid w:val="00BD7875"/>
    <w:rsid w:val="00BE495E"/>
    <w:rsid w:val="00CD0119"/>
    <w:rsid w:val="00D046D7"/>
    <w:rsid w:val="00D52B24"/>
    <w:rsid w:val="00DA5AB7"/>
    <w:rsid w:val="00DB1BFE"/>
    <w:rsid w:val="00DE37C6"/>
    <w:rsid w:val="00E424B5"/>
    <w:rsid w:val="00E8470E"/>
    <w:rsid w:val="00EB700C"/>
    <w:rsid w:val="00F74C2A"/>
    <w:rsid w:val="00F9774E"/>
    <w:rsid w:val="00FA7C75"/>
    <w:rsid w:val="00FF7A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8C2E9"/>
  <w15:chartTrackingRefBased/>
  <w15:docId w15:val="{BF02E6C8-89A7-4E82-A208-032A363A1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B95E7B"/>
    <w:pPr>
      <w:spacing w:line="276" w:lineRule="auto"/>
      <w:ind w:firstLine="284"/>
      <w:jc w:val="both"/>
    </w:pPr>
    <w:rPr>
      <w:rFonts w:ascii="Times New Roman" w:hAnsi="Times New Roman" w:cs="Times New Roman"/>
      <w:sz w:val="20"/>
      <w:szCs w:val="20"/>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
    <w:name w:val="TITOLO"/>
    <w:basedOn w:val="Normale"/>
    <w:link w:val="TITOLOCarattere"/>
    <w:qFormat/>
    <w:rsid w:val="00B95E7B"/>
    <w:pPr>
      <w:ind w:firstLine="0"/>
    </w:pPr>
    <w:rPr>
      <w:b/>
    </w:rPr>
  </w:style>
  <w:style w:type="paragraph" w:customStyle="1" w:styleId="SOTTOTILO">
    <w:name w:val="SOTTOTILO"/>
    <w:basedOn w:val="TITOLO"/>
    <w:link w:val="SOTTOTILOCarattere"/>
    <w:qFormat/>
    <w:rsid w:val="00B95E7B"/>
    <w:pPr>
      <w:numPr>
        <w:ilvl w:val="1"/>
      </w:numPr>
    </w:pPr>
  </w:style>
  <w:style w:type="character" w:customStyle="1" w:styleId="TITOLOCarattere">
    <w:name w:val="TITOLO Carattere"/>
    <w:basedOn w:val="Carpredefinitoparagrafo"/>
    <w:link w:val="TITOLO"/>
    <w:rsid w:val="00B95E7B"/>
    <w:rPr>
      <w:rFonts w:ascii="Times New Roman" w:hAnsi="Times New Roman" w:cs="Times New Roman"/>
      <w:b/>
      <w:sz w:val="20"/>
      <w:szCs w:val="20"/>
      <w:lang w:val="en-GB"/>
    </w:rPr>
  </w:style>
  <w:style w:type="character" w:customStyle="1" w:styleId="SOTTOTILOCarattere">
    <w:name w:val="SOTTOTILO Carattere"/>
    <w:basedOn w:val="Carpredefinitoparagrafo"/>
    <w:link w:val="SOTTOTILO"/>
    <w:rsid w:val="00B95E7B"/>
    <w:rPr>
      <w:rFonts w:ascii="Times New Roman" w:hAnsi="Times New Roman" w:cs="Times New Roman"/>
      <w:b/>
      <w:sz w:val="20"/>
      <w:szCs w:val="20"/>
      <w:lang w:val="en-GB"/>
    </w:rPr>
  </w:style>
  <w:style w:type="character" w:styleId="Collegamentoipertestuale">
    <w:name w:val="Hyperlink"/>
    <w:basedOn w:val="Carpredefinitoparagrafo"/>
    <w:uiPriority w:val="99"/>
    <w:unhideWhenUsed/>
    <w:rsid w:val="005B75B5"/>
    <w:rPr>
      <w:color w:val="0000FF"/>
      <w:u w:val="single"/>
    </w:rPr>
  </w:style>
  <w:style w:type="character" w:customStyle="1" w:styleId="Menzionenonrisolta1">
    <w:name w:val="Menzione non risolta1"/>
    <w:basedOn w:val="Carpredefinitoparagrafo"/>
    <w:uiPriority w:val="99"/>
    <w:semiHidden/>
    <w:unhideWhenUsed/>
    <w:rsid w:val="005B75B5"/>
    <w:rPr>
      <w:color w:val="605E5C"/>
      <w:shd w:val="clear" w:color="auto" w:fill="E1DFDD"/>
    </w:rPr>
  </w:style>
  <w:style w:type="character" w:customStyle="1" w:styleId="html-italic">
    <w:name w:val="html-italic"/>
    <w:basedOn w:val="Carpredefinitoparagrafo"/>
    <w:rsid w:val="005B75B5"/>
  </w:style>
  <w:style w:type="paragraph" w:styleId="Bibliografia">
    <w:name w:val="Bibliography"/>
    <w:basedOn w:val="Normale"/>
    <w:next w:val="Normale"/>
    <w:uiPriority w:val="37"/>
    <w:unhideWhenUsed/>
    <w:rsid w:val="005B75B5"/>
    <w:pPr>
      <w:spacing w:after="240" w:line="240" w:lineRule="auto"/>
      <w:ind w:left="720" w:hanging="720"/>
    </w:pPr>
  </w:style>
  <w:style w:type="paragraph" w:styleId="Intestazione">
    <w:name w:val="header"/>
    <w:basedOn w:val="Normale"/>
    <w:link w:val="IntestazioneCarattere"/>
    <w:uiPriority w:val="99"/>
    <w:unhideWhenUsed/>
    <w:rsid w:val="00F9774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9774E"/>
    <w:rPr>
      <w:rFonts w:ascii="Times New Roman" w:hAnsi="Times New Roman" w:cs="Times New Roman"/>
      <w:sz w:val="20"/>
      <w:szCs w:val="20"/>
      <w:lang w:val="en-GB"/>
    </w:rPr>
  </w:style>
  <w:style w:type="paragraph" w:styleId="Pidipagina">
    <w:name w:val="footer"/>
    <w:basedOn w:val="Normale"/>
    <w:link w:val="PidipaginaCarattere"/>
    <w:uiPriority w:val="99"/>
    <w:unhideWhenUsed/>
    <w:rsid w:val="00F9774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9774E"/>
    <w:rPr>
      <w:rFonts w:ascii="Times New Roman" w:hAnsi="Times New Roman" w:cs="Times New Roman"/>
      <w:sz w:val="20"/>
      <w:szCs w:val="20"/>
      <w:lang w:val="en-GB"/>
    </w:rPr>
  </w:style>
  <w:style w:type="character" w:styleId="Rimandocommento">
    <w:name w:val="annotation reference"/>
    <w:basedOn w:val="Carpredefinitoparagrafo"/>
    <w:uiPriority w:val="99"/>
    <w:semiHidden/>
    <w:unhideWhenUsed/>
    <w:rsid w:val="000522F4"/>
    <w:rPr>
      <w:sz w:val="16"/>
      <w:szCs w:val="16"/>
    </w:rPr>
  </w:style>
  <w:style w:type="paragraph" w:styleId="Testocommento">
    <w:name w:val="annotation text"/>
    <w:basedOn w:val="Normale"/>
    <w:link w:val="TestocommentoCarattere"/>
    <w:uiPriority w:val="99"/>
    <w:unhideWhenUsed/>
    <w:rsid w:val="000522F4"/>
    <w:pPr>
      <w:spacing w:after="0" w:line="240" w:lineRule="auto"/>
      <w:ind w:firstLine="0"/>
      <w:jc w:val="left"/>
    </w:pPr>
    <w:rPr>
      <w:rFonts w:eastAsia="Times New Roman"/>
      <w:lang w:val="it-IT" w:eastAsia="it-IT"/>
    </w:rPr>
  </w:style>
  <w:style w:type="character" w:customStyle="1" w:styleId="TestocommentoCarattere">
    <w:name w:val="Testo commento Carattere"/>
    <w:basedOn w:val="Carpredefinitoparagrafo"/>
    <w:link w:val="Testocommento"/>
    <w:uiPriority w:val="99"/>
    <w:rsid w:val="000522F4"/>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E8470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8470E"/>
    <w:rPr>
      <w:rFonts w:ascii="Segoe UI" w:hAnsi="Segoe UI" w:cs="Segoe UI"/>
      <w:sz w:val="18"/>
      <w:szCs w:val="18"/>
      <w:lang w:val="en-GB"/>
    </w:rPr>
  </w:style>
  <w:style w:type="character" w:styleId="Menzionenonrisolta">
    <w:name w:val="Unresolved Mention"/>
    <w:basedOn w:val="Carpredefinitoparagrafo"/>
    <w:uiPriority w:val="99"/>
    <w:semiHidden/>
    <w:unhideWhenUsed/>
    <w:rsid w:val="00E424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1342</Words>
  <Characters>7650</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Padova</Company>
  <LinksUpToDate>false</LinksUpToDate>
  <CharactersWithSpaces>8975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Giantin</dc:creator>
  <cp:keywords/>
  <dc:description/>
  <cp:lastModifiedBy>Iori</cp:lastModifiedBy>
  <cp:revision>2</cp:revision>
  <dcterms:created xsi:type="dcterms:W3CDTF">2024-05-28T08:57:00Z</dcterms:created>
  <dcterms:modified xsi:type="dcterms:W3CDTF">2024-05-28T08:57:00Z</dcterms:modified>
</cp:coreProperties>
</file>